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65E12" w:rsidRPr="009851E0">
        <w:trPr>
          <w:cantSplit/>
        </w:trPr>
        <w:tc>
          <w:tcPr>
            <w:tcW w:w="6911" w:type="dxa"/>
          </w:tcPr>
          <w:p w:rsidR="00A65E12" w:rsidRPr="009851E0" w:rsidRDefault="004F71C3" w:rsidP="00BE551C">
            <w:pPr>
              <w:tabs>
                <w:tab w:val="clear" w:pos="1588"/>
                <w:tab w:val="clear" w:pos="1985"/>
                <w:tab w:val="left" w:pos="4804"/>
              </w:tabs>
              <w:spacing w:before="360" w:after="48" w:line="240" w:lineRule="atLeast"/>
              <w:rPr>
                <w:position w:val="6"/>
                <w:lang w:val="ru-RU"/>
              </w:rPr>
            </w:pPr>
            <w:r w:rsidRPr="009851E0">
              <w:rPr>
                <w:b/>
                <w:smallCaps/>
                <w:sz w:val="28"/>
                <w:szCs w:val="28"/>
                <w:lang w:val="ru-RU"/>
              </w:rPr>
              <w:t>СОВЕТ 2018</w:t>
            </w:r>
            <w:r w:rsidRPr="009851E0">
              <w:rPr>
                <w:b/>
                <w:smallCaps/>
                <w:sz w:val="24"/>
                <w:szCs w:val="24"/>
                <w:lang w:val="ru-RU"/>
              </w:rPr>
              <w:br/>
            </w:r>
            <w:r w:rsidR="00BE551C" w:rsidRPr="009851E0">
              <w:rPr>
                <w:rFonts w:cs="Arial"/>
                <w:b/>
                <w:bCs/>
                <w:szCs w:val="22"/>
                <w:lang w:val="ru-RU"/>
              </w:rPr>
              <w:t>Заключительное заседание</w:t>
            </w:r>
            <w:r w:rsidRPr="009851E0">
              <w:rPr>
                <w:b/>
                <w:bCs/>
                <w:szCs w:val="22"/>
                <w:lang w:val="ru-RU"/>
              </w:rPr>
              <w:t>,</w:t>
            </w:r>
            <w:r w:rsidR="00BE551C" w:rsidRPr="009851E0">
              <w:rPr>
                <w:b/>
                <w:bCs/>
                <w:szCs w:val="22"/>
                <w:lang w:val="ru-RU"/>
              </w:rPr>
              <w:t xml:space="preserve"> </w:t>
            </w:r>
            <w:r w:rsidR="0003293F" w:rsidRPr="009851E0">
              <w:rPr>
                <w:b/>
                <w:bCs/>
                <w:szCs w:val="22"/>
                <w:lang w:val="ru-RU"/>
              </w:rPr>
              <w:t xml:space="preserve">Дубай, </w:t>
            </w:r>
            <w:r w:rsidRPr="009851E0">
              <w:rPr>
                <w:b/>
                <w:bCs/>
                <w:lang w:val="ru-RU"/>
              </w:rPr>
              <w:t>27</w:t>
            </w:r>
            <w:r w:rsidRPr="009851E0">
              <w:rPr>
                <w:b/>
                <w:szCs w:val="22"/>
                <w:lang w:val="ru-RU"/>
              </w:rPr>
              <w:t xml:space="preserve"> </w:t>
            </w:r>
            <w:r w:rsidR="00BE551C" w:rsidRPr="009851E0">
              <w:rPr>
                <w:b/>
                <w:szCs w:val="22"/>
                <w:lang w:val="ru-RU"/>
              </w:rPr>
              <w:t>октября</w:t>
            </w:r>
            <w:r w:rsidRPr="009851E0">
              <w:rPr>
                <w:b/>
                <w:bCs/>
                <w:lang w:val="ru-RU"/>
              </w:rPr>
              <w:t xml:space="preserve"> 2018 года</w:t>
            </w:r>
          </w:p>
        </w:tc>
        <w:tc>
          <w:tcPr>
            <w:tcW w:w="3120" w:type="dxa"/>
          </w:tcPr>
          <w:p w:rsidR="00A65E12" w:rsidRPr="009851E0" w:rsidRDefault="00C35BC0" w:rsidP="00C35BC0">
            <w:pPr>
              <w:spacing w:before="0" w:line="240" w:lineRule="atLeast"/>
              <w:rPr>
                <w:lang w:val="ru-RU"/>
              </w:rPr>
            </w:pPr>
            <w:bookmarkStart w:id="0" w:name="ditulogo"/>
            <w:bookmarkEnd w:id="0"/>
            <w:r w:rsidRPr="009851E0">
              <w:rPr>
                <w:noProof/>
                <w:lang w:val="en-US" w:eastAsia="zh-CN"/>
              </w:rPr>
              <w:drawing>
                <wp:inline distT="0" distB="0" distL="0" distR="0" wp14:anchorId="0B4CE736" wp14:editId="204EC322">
                  <wp:extent cx="1314450" cy="695325"/>
                  <wp:effectExtent l="0" t="0" r="0" b="9525"/>
                  <wp:docPr id="5" name="Picture 5"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A65E12" w:rsidRPr="009851E0">
        <w:trPr>
          <w:cantSplit/>
        </w:trPr>
        <w:tc>
          <w:tcPr>
            <w:tcW w:w="6911" w:type="dxa"/>
            <w:tcBorders>
              <w:bottom w:val="single" w:sz="12" w:space="0" w:color="auto"/>
            </w:tcBorders>
          </w:tcPr>
          <w:p w:rsidR="00A65E12" w:rsidRPr="009851E0" w:rsidRDefault="00A65E12" w:rsidP="00E82A5B">
            <w:pPr>
              <w:spacing w:before="0" w:after="48" w:line="240" w:lineRule="atLeast"/>
              <w:rPr>
                <w:b/>
                <w:smallCaps/>
                <w:szCs w:val="24"/>
                <w:lang w:val="ru-RU"/>
              </w:rPr>
            </w:pPr>
          </w:p>
        </w:tc>
        <w:tc>
          <w:tcPr>
            <w:tcW w:w="3120" w:type="dxa"/>
            <w:tcBorders>
              <w:bottom w:val="single" w:sz="12" w:space="0" w:color="auto"/>
            </w:tcBorders>
          </w:tcPr>
          <w:p w:rsidR="00A65E12" w:rsidRPr="009851E0" w:rsidRDefault="00A65E12">
            <w:pPr>
              <w:spacing w:before="0" w:line="240" w:lineRule="atLeast"/>
              <w:rPr>
                <w:szCs w:val="24"/>
                <w:lang w:val="ru-RU"/>
              </w:rPr>
            </w:pPr>
          </w:p>
        </w:tc>
      </w:tr>
      <w:tr w:rsidR="00A65E12" w:rsidRPr="009851E0">
        <w:trPr>
          <w:cantSplit/>
        </w:trPr>
        <w:tc>
          <w:tcPr>
            <w:tcW w:w="6911" w:type="dxa"/>
            <w:tcBorders>
              <w:top w:val="single" w:sz="12" w:space="0" w:color="auto"/>
            </w:tcBorders>
          </w:tcPr>
          <w:p w:rsidR="00A65E12" w:rsidRPr="009851E0" w:rsidRDefault="00A65E12" w:rsidP="001708A0">
            <w:pPr>
              <w:spacing w:before="0"/>
              <w:rPr>
                <w:b/>
                <w:smallCaps/>
                <w:szCs w:val="24"/>
                <w:lang w:val="ru-RU"/>
              </w:rPr>
            </w:pPr>
          </w:p>
        </w:tc>
        <w:tc>
          <w:tcPr>
            <w:tcW w:w="3120" w:type="dxa"/>
            <w:tcBorders>
              <w:top w:val="single" w:sz="12" w:space="0" w:color="auto"/>
            </w:tcBorders>
          </w:tcPr>
          <w:p w:rsidR="00A65E12" w:rsidRPr="009851E0" w:rsidRDefault="00A65E12" w:rsidP="001708A0">
            <w:pPr>
              <w:spacing w:before="0"/>
              <w:rPr>
                <w:szCs w:val="24"/>
                <w:lang w:val="ru-RU"/>
              </w:rPr>
            </w:pPr>
          </w:p>
        </w:tc>
      </w:tr>
      <w:tr w:rsidR="00A65E12" w:rsidRPr="009851E0">
        <w:trPr>
          <w:cantSplit/>
          <w:trHeight w:val="23"/>
        </w:trPr>
        <w:tc>
          <w:tcPr>
            <w:tcW w:w="6911" w:type="dxa"/>
            <w:vMerge w:val="restart"/>
          </w:tcPr>
          <w:p w:rsidR="00A65E12" w:rsidRPr="009851E0" w:rsidRDefault="00E6733A" w:rsidP="007B4584">
            <w:pPr>
              <w:tabs>
                <w:tab w:val="left" w:pos="851"/>
              </w:tabs>
              <w:spacing w:before="0"/>
              <w:rPr>
                <w:b/>
                <w:lang w:val="ru-RU"/>
              </w:rPr>
            </w:pPr>
            <w:bookmarkStart w:id="1" w:name="dmeeting" w:colFirst="0" w:colLast="0"/>
            <w:bookmarkStart w:id="2" w:name="dnum" w:colFirst="1" w:colLast="1"/>
            <w:r w:rsidRPr="009851E0">
              <w:rPr>
                <w:b/>
                <w:lang w:val="ru-RU"/>
              </w:rPr>
              <w:t>Пункт повестки дня</w:t>
            </w:r>
            <w:r w:rsidR="00A65E12" w:rsidRPr="009851E0">
              <w:rPr>
                <w:b/>
                <w:lang w:val="ru-RU"/>
              </w:rPr>
              <w:t xml:space="preserve">: </w:t>
            </w:r>
            <w:r w:rsidR="006D5B51" w:rsidRPr="009851E0">
              <w:rPr>
                <w:b/>
                <w:lang w:val="ru-RU"/>
              </w:rPr>
              <w:t xml:space="preserve">ADM </w:t>
            </w:r>
            <w:r w:rsidR="00966394" w:rsidRPr="009851E0">
              <w:rPr>
                <w:b/>
                <w:lang w:val="ru-RU"/>
              </w:rPr>
              <w:t>10</w:t>
            </w:r>
          </w:p>
        </w:tc>
        <w:tc>
          <w:tcPr>
            <w:tcW w:w="3120" w:type="dxa"/>
          </w:tcPr>
          <w:p w:rsidR="00A65E12" w:rsidRPr="009851E0" w:rsidRDefault="00E6733A" w:rsidP="004F71C3">
            <w:pPr>
              <w:tabs>
                <w:tab w:val="left" w:pos="851"/>
              </w:tabs>
              <w:spacing w:before="0"/>
              <w:rPr>
                <w:b/>
                <w:lang w:val="ru-RU"/>
              </w:rPr>
            </w:pPr>
            <w:r w:rsidRPr="009851E0">
              <w:rPr>
                <w:b/>
                <w:lang w:val="ru-RU"/>
              </w:rPr>
              <w:t>Документ</w:t>
            </w:r>
            <w:r w:rsidR="00A65E12" w:rsidRPr="009851E0">
              <w:rPr>
                <w:b/>
                <w:lang w:val="ru-RU"/>
              </w:rPr>
              <w:t xml:space="preserve"> C1</w:t>
            </w:r>
            <w:r w:rsidR="004F71C3" w:rsidRPr="009851E0">
              <w:rPr>
                <w:b/>
                <w:lang w:val="ru-RU"/>
              </w:rPr>
              <w:t>8</w:t>
            </w:r>
            <w:r w:rsidR="00A65E12" w:rsidRPr="009851E0">
              <w:rPr>
                <w:b/>
                <w:lang w:val="ru-RU"/>
              </w:rPr>
              <w:t>/</w:t>
            </w:r>
            <w:r w:rsidR="00352C43" w:rsidRPr="009851E0">
              <w:rPr>
                <w:b/>
                <w:lang w:val="ru-RU"/>
              </w:rPr>
              <w:t>40</w:t>
            </w:r>
            <w:r w:rsidR="00A65E12" w:rsidRPr="009851E0">
              <w:rPr>
                <w:b/>
                <w:lang w:val="ru-RU"/>
              </w:rPr>
              <w:t>-</w:t>
            </w:r>
            <w:r w:rsidRPr="009851E0">
              <w:rPr>
                <w:b/>
                <w:lang w:val="ru-RU"/>
              </w:rPr>
              <w:t>R</w:t>
            </w:r>
          </w:p>
        </w:tc>
      </w:tr>
      <w:tr w:rsidR="00A65E12" w:rsidRPr="009851E0">
        <w:trPr>
          <w:cantSplit/>
          <w:trHeight w:val="23"/>
        </w:trPr>
        <w:tc>
          <w:tcPr>
            <w:tcW w:w="6911" w:type="dxa"/>
            <w:vMerge/>
          </w:tcPr>
          <w:p w:rsidR="00A65E12" w:rsidRPr="009851E0" w:rsidRDefault="00A65E12" w:rsidP="001708A0">
            <w:pPr>
              <w:tabs>
                <w:tab w:val="left" w:pos="851"/>
              </w:tabs>
              <w:spacing w:before="0"/>
              <w:rPr>
                <w:b/>
                <w:lang w:val="ru-RU"/>
              </w:rPr>
            </w:pPr>
            <w:bookmarkStart w:id="3" w:name="ddate" w:colFirst="1" w:colLast="1"/>
            <w:bookmarkEnd w:id="1"/>
            <w:bookmarkEnd w:id="2"/>
          </w:p>
        </w:tc>
        <w:tc>
          <w:tcPr>
            <w:tcW w:w="3120" w:type="dxa"/>
          </w:tcPr>
          <w:p w:rsidR="00A65E12" w:rsidRPr="009851E0" w:rsidRDefault="00BE551C" w:rsidP="00B649CF">
            <w:pPr>
              <w:tabs>
                <w:tab w:val="left" w:pos="993"/>
              </w:tabs>
              <w:spacing w:before="0"/>
              <w:rPr>
                <w:b/>
                <w:lang w:val="ru-RU"/>
              </w:rPr>
            </w:pPr>
            <w:r w:rsidRPr="009851E0">
              <w:rPr>
                <w:b/>
                <w:lang w:val="ru-RU"/>
              </w:rPr>
              <w:t xml:space="preserve">23 июля </w:t>
            </w:r>
            <w:r w:rsidR="00A65E12" w:rsidRPr="009851E0">
              <w:rPr>
                <w:b/>
                <w:lang w:val="ru-RU"/>
              </w:rPr>
              <w:t>201</w:t>
            </w:r>
            <w:r w:rsidR="00B649CF" w:rsidRPr="009851E0">
              <w:rPr>
                <w:b/>
                <w:lang w:val="ru-RU"/>
              </w:rPr>
              <w:t>8</w:t>
            </w:r>
            <w:r w:rsidR="00E6733A" w:rsidRPr="009851E0">
              <w:rPr>
                <w:b/>
                <w:lang w:val="ru-RU"/>
              </w:rPr>
              <w:t xml:space="preserve"> г</w:t>
            </w:r>
            <w:r w:rsidR="00B369AD" w:rsidRPr="009851E0">
              <w:rPr>
                <w:b/>
                <w:lang w:val="ru-RU"/>
              </w:rPr>
              <w:t>ода</w:t>
            </w:r>
          </w:p>
        </w:tc>
      </w:tr>
      <w:tr w:rsidR="00A65E12" w:rsidRPr="009851E0">
        <w:trPr>
          <w:cantSplit/>
          <w:trHeight w:val="23"/>
        </w:trPr>
        <w:tc>
          <w:tcPr>
            <w:tcW w:w="6911" w:type="dxa"/>
            <w:vMerge/>
          </w:tcPr>
          <w:p w:rsidR="00A65E12" w:rsidRPr="009851E0" w:rsidRDefault="00A65E12" w:rsidP="001708A0">
            <w:pPr>
              <w:tabs>
                <w:tab w:val="left" w:pos="851"/>
              </w:tabs>
              <w:spacing w:before="0"/>
              <w:rPr>
                <w:b/>
                <w:lang w:val="ru-RU"/>
              </w:rPr>
            </w:pPr>
            <w:bookmarkStart w:id="4" w:name="dorlang" w:colFirst="1" w:colLast="1"/>
            <w:bookmarkEnd w:id="3"/>
          </w:p>
        </w:tc>
        <w:tc>
          <w:tcPr>
            <w:tcW w:w="3120" w:type="dxa"/>
          </w:tcPr>
          <w:p w:rsidR="00A65E12" w:rsidRPr="009851E0" w:rsidRDefault="00E6733A" w:rsidP="00966394">
            <w:pPr>
              <w:tabs>
                <w:tab w:val="left" w:pos="993"/>
              </w:tabs>
              <w:spacing w:before="0"/>
              <w:rPr>
                <w:b/>
                <w:lang w:val="ru-RU"/>
              </w:rPr>
            </w:pPr>
            <w:r w:rsidRPr="009851E0">
              <w:rPr>
                <w:b/>
                <w:lang w:val="ru-RU"/>
              </w:rPr>
              <w:t>Оригинал</w:t>
            </w:r>
            <w:r w:rsidR="00A65E12" w:rsidRPr="009851E0">
              <w:rPr>
                <w:b/>
                <w:lang w:val="ru-RU"/>
              </w:rPr>
              <w:t xml:space="preserve">: </w:t>
            </w:r>
            <w:r w:rsidR="00966394" w:rsidRPr="009851E0">
              <w:rPr>
                <w:b/>
                <w:lang w:val="ru-RU"/>
              </w:rPr>
              <w:t>английский</w:t>
            </w:r>
          </w:p>
        </w:tc>
      </w:tr>
      <w:tr w:rsidR="00DB4196" w:rsidRPr="009851E0">
        <w:trPr>
          <w:cantSplit/>
        </w:trPr>
        <w:tc>
          <w:tcPr>
            <w:tcW w:w="10031" w:type="dxa"/>
            <w:gridSpan w:val="2"/>
          </w:tcPr>
          <w:p w:rsidR="00DB4196" w:rsidRPr="009851E0" w:rsidRDefault="00DB4196" w:rsidP="00DB4196">
            <w:pPr>
              <w:pStyle w:val="Source"/>
              <w:spacing w:before="720"/>
              <w:rPr>
                <w:szCs w:val="22"/>
                <w:lang w:val="ru-RU"/>
              </w:rPr>
            </w:pPr>
            <w:bookmarkStart w:id="5" w:name="dsource" w:colFirst="0" w:colLast="0"/>
            <w:bookmarkEnd w:id="4"/>
            <w:r w:rsidRPr="009851E0">
              <w:rPr>
                <w:lang w:val="ru-RU"/>
              </w:rPr>
              <w:t>Отчет Генерального секретаря</w:t>
            </w:r>
          </w:p>
        </w:tc>
      </w:tr>
      <w:tr w:rsidR="00DB4196" w:rsidRPr="009851E0">
        <w:trPr>
          <w:cantSplit/>
        </w:trPr>
        <w:tc>
          <w:tcPr>
            <w:tcW w:w="10031" w:type="dxa"/>
            <w:gridSpan w:val="2"/>
          </w:tcPr>
          <w:p w:rsidR="00DB4196" w:rsidRPr="009851E0" w:rsidRDefault="00542F98" w:rsidP="00352C43">
            <w:pPr>
              <w:pStyle w:val="Title1"/>
              <w:rPr>
                <w:szCs w:val="22"/>
                <w:lang w:val="ru-RU"/>
              </w:rPr>
            </w:pPr>
            <w:bookmarkStart w:id="6" w:name="dtitle1" w:colFirst="0" w:colLast="0"/>
            <w:bookmarkEnd w:id="5"/>
            <w:r w:rsidRPr="009851E0">
              <w:rPr>
                <w:lang w:val="ru-RU"/>
              </w:rPr>
              <w:t>ВНЕШНЯЯ</w:t>
            </w:r>
            <w:r w:rsidR="00DB4196" w:rsidRPr="009851E0">
              <w:rPr>
                <w:lang w:val="ru-RU"/>
              </w:rPr>
              <w:t xml:space="preserve"> АУДИТОРСКАЯ проверка</w:t>
            </w:r>
          </w:p>
        </w:tc>
      </w:tr>
      <w:bookmarkEnd w:id="6"/>
    </w:tbl>
    <w:p w:rsidR="00DB4196" w:rsidRPr="009851E0" w:rsidRDefault="00DB4196" w:rsidP="00DB4196">
      <w:pPr>
        <w:spacing w:before="240"/>
        <w:rPr>
          <w:lang w:val="ru-RU"/>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DB4196" w:rsidRPr="00E65E97" w:rsidTr="002F7DB3">
        <w:trPr>
          <w:trHeight w:val="3372"/>
        </w:trPr>
        <w:tc>
          <w:tcPr>
            <w:tcW w:w="8080" w:type="dxa"/>
            <w:tcBorders>
              <w:top w:val="single" w:sz="12" w:space="0" w:color="auto"/>
              <w:left w:val="single" w:sz="12" w:space="0" w:color="auto"/>
              <w:bottom w:val="single" w:sz="12" w:space="0" w:color="auto"/>
              <w:right w:val="single" w:sz="12" w:space="0" w:color="auto"/>
            </w:tcBorders>
          </w:tcPr>
          <w:p w:rsidR="00DB4196" w:rsidRPr="009851E0" w:rsidRDefault="00DB4196" w:rsidP="002F7DB3">
            <w:pPr>
              <w:pStyle w:val="Headingb"/>
              <w:rPr>
                <w:lang w:val="ru-RU"/>
              </w:rPr>
            </w:pPr>
            <w:bookmarkStart w:id="7" w:name="_Toc358196984"/>
            <w:bookmarkStart w:id="8" w:name="_Toc358197245"/>
            <w:bookmarkStart w:id="9" w:name="_Toc399768422"/>
            <w:bookmarkStart w:id="10" w:name="_Toc399768566"/>
            <w:bookmarkStart w:id="11" w:name="_Toc452123325"/>
            <w:bookmarkStart w:id="12" w:name="_Toc452157285"/>
            <w:bookmarkStart w:id="13" w:name="_Toc452158608"/>
            <w:bookmarkStart w:id="14" w:name="_Toc482995152"/>
            <w:r w:rsidRPr="009851E0">
              <w:rPr>
                <w:lang w:val="ru-RU"/>
              </w:rPr>
              <w:t>Резюме</w:t>
            </w:r>
            <w:bookmarkEnd w:id="7"/>
            <w:bookmarkEnd w:id="8"/>
            <w:bookmarkEnd w:id="9"/>
            <w:bookmarkEnd w:id="10"/>
            <w:bookmarkEnd w:id="11"/>
            <w:bookmarkEnd w:id="12"/>
            <w:bookmarkEnd w:id="13"/>
            <w:bookmarkEnd w:id="14"/>
          </w:p>
          <w:p w:rsidR="00DB4196" w:rsidRPr="009851E0" w:rsidRDefault="00542F98" w:rsidP="00966394">
            <w:pPr>
              <w:rPr>
                <w:lang w:val="ru-RU"/>
              </w:rPr>
            </w:pPr>
            <w:r w:rsidRPr="009851E0">
              <w:rPr>
                <w:lang w:val="ru-RU"/>
              </w:rPr>
              <w:t>Отчет Внешнего аудитора касается аудита финансовой отчетности за 201</w:t>
            </w:r>
            <w:r w:rsidR="00180D51" w:rsidRPr="009851E0">
              <w:rPr>
                <w:lang w:val="ru-RU"/>
              </w:rPr>
              <w:t>7</w:t>
            </w:r>
            <w:r w:rsidRPr="009851E0">
              <w:rPr>
                <w:lang w:val="ru-RU"/>
              </w:rPr>
              <w:t xml:space="preserve"> год.</w:t>
            </w:r>
          </w:p>
          <w:p w:rsidR="00DB4196" w:rsidRPr="009851E0" w:rsidRDefault="00DB4196" w:rsidP="002F7DB3">
            <w:pPr>
              <w:pStyle w:val="Headingb"/>
              <w:rPr>
                <w:lang w:val="ru-RU"/>
              </w:rPr>
            </w:pPr>
            <w:bookmarkStart w:id="15" w:name="_Toc358196985"/>
            <w:bookmarkStart w:id="16" w:name="_Toc358197246"/>
            <w:bookmarkStart w:id="17" w:name="_Toc399768423"/>
            <w:bookmarkStart w:id="18" w:name="_Toc399768567"/>
            <w:bookmarkStart w:id="19" w:name="_Toc452123326"/>
            <w:bookmarkStart w:id="20" w:name="_Toc452157286"/>
            <w:bookmarkStart w:id="21" w:name="_Toc452158609"/>
            <w:bookmarkStart w:id="22" w:name="_Toc482995153"/>
            <w:r w:rsidRPr="009851E0">
              <w:rPr>
                <w:lang w:val="ru-RU"/>
              </w:rPr>
              <w:t>Необходимые действия</w:t>
            </w:r>
            <w:bookmarkEnd w:id="15"/>
            <w:bookmarkEnd w:id="16"/>
            <w:bookmarkEnd w:id="17"/>
            <w:bookmarkEnd w:id="18"/>
            <w:bookmarkEnd w:id="19"/>
            <w:bookmarkEnd w:id="20"/>
            <w:bookmarkEnd w:id="21"/>
            <w:bookmarkEnd w:id="22"/>
          </w:p>
          <w:p w:rsidR="00DB4196" w:rsidRPr="009851E0" w:rsidRDefault="00542F98" w:rsidP="00966394">
            <w:pPr>
              <w:rPr>
                <w:lang w:val="ru-RU"/>
              </w:rPr>
            </w:pPr>
            <w:r w:rsidRPr="009851E0">
              <w:rPr>
                <w:lang w:val="ru-RU"/>
              </w:rPr>
              <w:t>Совету предлагается рассмотреть отчет Внешнего аудитора по счетам за 201</w:t>
            </w:r>
            <w:r w:rsidR="00180D51" w:rsidRPr="009851E0">
              <w:rPr>
                <w:lang w:val="ru-RU"/>
              </w:rPr>
              <w:t>7</w:t>
            </w:r>
            <w:r w:rsidRPr="009851E0">
              <w:rPr>
                <w:lang w:val="ru-RU"/>
              </w:rPr>
              <w:t xml:space="preserve"> год и </w:t>
            </w:r>
            <w:r w:rsidRPr="009851E0">
              <w:rPr>
                <w:b/>
                <w:bCs/>
                <w:lang w:val="ru-RU"/>
              </w:rPr>
              <w:t>утвердить</w:t>
            </w:r>
            <w:r w:rsidRPr="009851E0">
              <w:rPr>
                <w:lang w:val="ru-RU"/>
              </w:rPr>
              <w:t xml:space="preserve"> счета в том виде, в каком они были проверены</w:t>
            </w:r>
            <w:r w:rsidRPr="009851E0">
              <w:rPr>
                <w:szCs w:val="22"/>
                <w:lang w:val="ru-RU"/>
              </w:rPr>
              <w:t>.</w:t>
            </w:r>
          </w:p>
          <w:p w:rsidR="00DB4196" w:rsidRPr="009851E0" w:rsidRDefault="00DB4196" w:rsidP="002F7DB3">
            <w:pPr>
              <w:spacing w:before="240"/>
              <w:jc w:val="center"/>
              <w:rPr>
                <w:caps/>
                <w:szCs w:val="22"/>
                <w:lang w:val="ru-RU"/>
              </w:rPr>
            </w:pPr>
            <w:r w:rsidRPr="009851E0">
              <w:rPr>
                <w:caps/>
                <w:szCs w:val="22"/>
                <w:lang w:val="ru-RU"/>
              </w:rPr>
              <w:t>____________</w:t>
            </w:r>
          </w:p>
          <w:p w:rsidR="00DB4196" w:rsidRPr="009851E0" w:rsidRDefault="00DB4196" w:rsidP="002F7DB3">
            <w:pPr>
              <w:pStyle w:val="Headingb"/>
              <w:rPr>
                <w:lang w:val="ru-RU"/>
              </w:rPr>
            </w:pPr>
            <w:bookmarkStart w:id="23" w:name="_Toc358196986"/>
            <w:bookmarkStart w:id="24" w:name="_Toc358197247"/>
            <w:bookmarkStart w:id="25" w:name="_Toc399768424"/>
            <w:bookmarkStart w:id="26" w:name="_Toc399768568"/>
            <w:bookmarkStart w:id="27" w:name="_Toc452123327"/>
            <w:bookmarkStart w:id="28" w:name="_Toc452157287"/>
            <w:bookmarkStart w:id="29" w:name="_Toc452158610"/>
            <w:bookmarkStart w:id="30" w:name="_Toc482995154"/>
            <w:r w:rsidRPr="009851E0">
              <w:rPr>
                <w:lang w:val="ru-RU"/>
              </w:rPr>
              <w:t>Справочные материалы</w:t>
            </w:r>
            <w:bookmarkEnd w:id="23"/>
            <w:bookmarkEnd w:id="24"/>
            <w:bookmarkEnd w:id="25"/>
            <w:bookmarkEnd w:id="26"/>
            <w:bookmarkEnd w:id="27"/>
            <w:bookmarkEnd w:id="28"/>
            <w:bookmarkEnd w:id="29"/>
            <w:bookmarkEnd w:id="30"/>
          </w:p>
          <w:p w:rsidR="00DB4196" w:rsidRPr="009851E0" w:rsidRDefault="00E65E97" w:rsidP="002F7DB3">
            <w:pPr>
              <w:spacing w:after="120"/>
              <w:rPr>
                <w:i/>
                <w:iCs/>
                <w:lang w:val="ru-RU"/>
              </w:rPr>
            </w:pPr>
            <w:hyperlink r:id="rId9" w:history="1">
              <w:r w:rsidR="00DB4196" w:rsidRPr="009851E0">
                <w:rPr>
                  <w:rStyle w:val="Hyperlink"/>
                  <w:i/>
                  <w:iCs/>
                  <w:lang w:val="ru-RU"/>
                </w:rPr>
                <w:t>Финансовый регламент (издание 2010 г.)</w:t>
              </w:r>
            </w:hyperlink>
            <w:r w:rsidR="00DB4196" w:rsidRPr="009851E0">
              <w:rPr>
                <w:i/>
                <w:iCs/>
                <w:lang w:val="ru-RU"/>
              </w:rPr>
              <w:t>: Статья 28 и Дополнительные полномочия</w:t>
            </w:r>
          </w:p>
        </w:tc>
      </w:tr>
    </w:tbl>
    <w:p w:rsidR="00542F98" w:rsidRPr="009851E0" w:rsidRDefault="00542F98" w:rsidP="00CB7F68">
      <w:pPr>
        <w:rPr>
          <w:lang w:val="ru-RU"/>
        </w:rPr>
      </w:pPr>
    </w:p>
    <w:p w:rsidR="00542F98" w:rsidRPr="009851E0" w:rsidRDefault="00542F98">
      <w:pPr>
        <w:tabs>
          <w:tab w:val="clear" w:pos="794"/>
          <w:tab w:val="clear" w:pos="1191"/>
          <w:tab w:val="clear" w:pos="1588"/>
          <w:tab w:val="clear" w:pos="1985"/>
        </w:tabs>
        <w:overflowPunct/>
        <w:autoSpaceDE/>
        <w:autoSpaceDN/>
        <w:adjustRightInd/>
        <w:spacing w:before="0"/>
        <w:textAlignment w:val="auto"/>
        <w:rPr>
          <w:lang w:val="ru-RU"/>
        </w:rPr>
      </w:pPr>
      <w:r w:rsidRPr="009851E0">
        <w:rPr>
          <w:lang w:val="ru-RU"/>
        </w:rPr>
        <w:br w:type="page"/>
      </w:r>
    </w:p>
    <w:p w:rsidR="00542F98" w:rsidRPr="009851E0" w:rsidRDefault="00542F98" w:rsidP="00542F98">
      <w:pPr>
        <w:spacing w:before="4000"/>
        <w:ind w:left="4253" w:right="108"/>
        <w:rPr>
          <w:lang w:val="ru-RU"/>
        </w:rPr>
      </w:pPr>
      <w:bookmarkStart w:id="31" w:name="_Toc358129144"/>
      <w:bookmarkStart w:id="32" w:name="_Toc358192649"/>
      <w:bookmarkStart w:id="33" w:name="_Toc358192810"/>
      <w:bookmarkStart w:id="34" w:name="_Toc398125295"/>
      <w:bookmarkStart w:id="35" w:name="_Toc398125774"/>
      <w:r w:rsidRPr="009851E0">
        <w:rPr>
          <w:noProof/>
          <w:lang w:val="en-US" w:eastAsia="zh-CN"/>
        </w:rPr>
        <w:lastRenderedPageBreak/>
        <w:drawing>
          <wp:inline distT="0" distB="0" distL="0" distR="0" wp14:anchorId="4B73B0B3" wp14:editId="304EA4BC">
            <wp:extent cx="796060" cy="895082"/>
            <wp:effectExtent l="0" t="0" r="4445" b="635"/>
            <wp:docPr id="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_repubbli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162" cy="895197"/>
                    </a:xfrm>
                    <a:prstGeom prst="rect">
                      <a:avLst/>
                    </a:prstGeom>
                  </pic:spPr>
                </pic:pic>
              </a:graphicData>
            </a:graphic>
          </wp:inline>
        </w:drawing>
      </w:r>
    </w:p>
    <w:p w:rsidR="00542F98" w:rsidRPr="009851E0" w:rsidRDefault="00542F98" w:rsidP="00542F98">
      <w:pPr>
        <w:ind w:right="107"/>
        <w:jc w:val="center"/>
        <w:rPr>
          <w:lang w:val="ru-RU"/>
        </w:rPr>
      </w:pPr>
      <w:r w:rsidRPr="009851E0">
        <w:rPr>
          <w:rFonts w:ascii="Kunstler Script" w:hAnsi="Kunstler Script"/>
          <w:sz w:val="72"/>
          <w:szCs w:val="72"/>
          <w:lang w:val="ru-RU"/>
        </w:rPr>
        <w:t>Corte dei conti</w:t>
      </w:r>
    </w:p>
    <w:p w:rsidR="00542F98" w:rsidRPr="009851E0" w:rsidRDefault="00542F98" w:rsidP="00542F98">
      <w:pPr>
        <w:jc w:val="center"/>
        <w:rPr>
          <w:lang w:val="ru-RU"/>
        </w:rPr>
      </w:pPr>
      <w:r w:rsidRPr="009851E0">
        <w:rPr>
          <w:lang w:val="ru-RU"/>
        </w:rPr>
        <w:t>Государственная счетная палата Италии</w:t>
      </w:r>
    </w:p>
    <w:p w:rsidR="00542F98" w:rsidRPr="009851E0" w:rsidRDefault="00542F98" w:rsidP="005507BB">
      <w:pPr>
        <w:spacing w:before="4000"/>
        <w:jc w:val="center"/>
        <w:rPr>
          <w:sz w:val="26"/>
          <w:szCs w:val="26"/>
          <w:lang w:val="ru-RU"/>
        </w:rPr>
      </w:pPr>
      <w:r w:rsidRPr="009851E0">
        <w:rPr>
          <w:sz w:val="26"/>
          <w:szCs w:val="26"/>
          <w:lang w:val="ru-RU"/>
        </w:rPr>
        <w:t>ОТЧЕТ ВНЕШНЕГО АУДИТОРА</w:t>
      </w:r>
    </w:p>
    <w:bookmarkEnd w:id="31"/>
    <w:bookmarkEnd w:id="32"/>
    <w:bookmarkEnd w:id="33"/>
    <w:bookmarkEnd w:id="34"/>
    <w:bookmarkEnd w:id="35"/>
    <w:p w:rsidR="00542F98" w:rsidRPr="009851E0" w:rsidRDefault="00542F98" w:rsidP="00542F98">
      <w:pPr>
        <w:spacing w:before="1440"/>
        <w:jc w:val="center"/>
        <w:rPr>
          <w:b/>
          <w:bCs/>
          <w:sz w:val="26"/>
          <w:szCs w:val="26"/>
          <w:lang w:val="ru-RU"/>
        </w:rPr>
      </w:pPr>
      <w:r w:rsidRPr="009851E0">
        <w:rPr>
          <w:b/>
          <w:bCs/>
          <w:sz w:val="26"/>
          <w:szCs w:val="26"/>
          <w:lang w:val="ru-RU"/>
        </w:rPr>
        <w:t>МЕЖДУНАРОДНЫЙ СОЮЗ ЭЛЕКТРОСВЯЗИ</w:t>
      </w:r>
      <w:r w:rsidRPr="009851E0">
        <w:rPr>
          <w:b/>
          <w:bCs/>
          <w:sz w:val="26"/>
          <w:szCs w:val="26"/>
          <w:lang w:val="ru-RU"/>
        </w:rPr>
        <w:br/>
        <w:t>(МСЭ)</w:t>
      </w:r>
    </w:p>
    <w:p w:rsidR="00542F98" w:rsidRPr="009851E0" w:rsidRDefault="00542F98" w:rsidP="00180D51">
      <w:pPr>
        <w:jc w:val="center"/>
        <w:rPr>
          <w:b/>
          <w:bCs/>
          <w:lang w:val="ru-RU"/>
        </w:rPr>
      </w:pPr>
      <w:r w:rsidRPr="009851E0">
        <w:rPr>
          <w:b/>
          <w:bCs/>
          <w:lang w:val="ru-RU"/>
        </w:rPr>
        <w:t>Аудиторская проверка финансовой отчетности за 201</w:t>
      </w:r>
      <w:r w:rsidR="00180D51" w:rsidRPr="009851E0">
        <w:rPr>
          <w:b/>
          <w:bCs/>
          <w:lang w:val="ru-RU"/>
        </w:rPr>
        <w:t>7</w:t>
      </w:r>
      <w:r w:rsidRPr="009851E0">
        <w:rPr>
          <w:b/>
          <w:bCs/>
          <w:lang w:val="ru-RU"/>
        </w:rPr>
        <w:t xml:space="preserve"> год</w:t>
      </w:r>
    </w:p>
    <w:p w:rsidR="00542F98" w:rsidRPr="009851E0" w:rsidRDefault="00180D51" w:rsidP="00180D51">
      <w:pPr>
        <w:spacing w:before="4200"/>
        <w:jc w:val="center"/>
        <w:rPr>
          <w:lang w:val="ru-RU"/>
        </w:rPr>
      </w:pPr>
      <w:r w:rsidRPr="009851E0">
        <w:rPr>
          <w:lang w:val="ru-RU"/>
        </w:rPr>
        <w:t>22 июня</w:t>
      </w:r>
      <w:r w:rsidR="00542F98" w:rsidRPr="009851E0">
        <w:rPr>
          <w:lang w:val="ru-RU"/>
        </w:rPr>
        <w:t xml:space="preserve"> 201</w:t>
      </w:r>
      <w:r w:rsidRPr="009851E0">
        <w:rPr>
          <w:lang w:val="ru-RU"/>
        </w:rPr>
        <w:t>8</w:t>
      </w:r>
      <w:r w:rsidR="00542F98" w:rsidRPr="009851E0">
        <w:rPr>
          <w:lang w:val="ru-RU"/>
        </w:rPr>
        <w:t xml:space="preserve"> года</w:t>
      </w:r>
      <w:r w:rsidR="00542F98" w:rsidRPr="009851E0">
        <w:rPr>
          <w:lang w:val="ru-RU"/>
        </w:rPr>
        <w:br w:type="page"/>
      </w:r>
    </w:p>
    <w:p w:rsidR="00542F98" w:rsidRPr="009851E0" w:rsidRDefault="00542F98" w:rsidP="00542F98">
      <w:pPr>
        <w:tabs>
          <w:tab w:val="clear" w:pos="794"/>
          <w:tab w:val="clear" w:pos="1191"/>
          <w:tab w:val="clear" w:pos="1588"/>
          <w:tab w:val="clear" w:pos="1985"/>
        </w:tabs>
        <w:overflowPunct/>
        <w:autoSpaceDE/>
        <w:autoSpaceDN/>
        <w:adjustRightInd/>
        <w:spacing w:before="0"/>
        <w:jc w:val="center"/>
        <w:textAlignment w:val="auto"/>
        <w:rPr>
          <w:szCs w:val="22"/>
          <w:lang w:val="ru-RU"/>
        </w:rPr>
      </w:pPr>
      <w:r w:rsidRPr="009851E0">
        <w:rPr>
          <w:szCs w:val="22"/>
          <w:lang w:val="ru-RU"/>
        </w:rPr>
        <w:t>СОДЕРЖАНИЕ</w:t>
      </w:r>
    </w:p>
    <w:p w:rsidR="00542F98" w:rsidRPr="009851E0" w:rsidRDefault="00542F98" w:rsidP="00542F98">
      <w:pPr>
        <w:tabs>
          <w:tab w:val="clear" w:pos="794"/>
          <w:tab w:val="clear" w:pos="1191"/>
          <w:tab w:val="clear" w:pos="1588"/>
          <w:tab w:val="clear" w:pos="1985"/>
        </w:tabs>
        <w:overflowPunct/>
        <w:autoSpaceDE/>
        <w:autoSpaceDN/>
        <w:adjustRightInd/>
        <w:jc w:val="right"/>
        <w:textAlignment w:val="auto"/>
        <w:rPr>
          <w:lang w:val="ru-RU"/>
        </w:rPr>
      </w:pPr>
      <w:r w:rsidRPr="009851E0">
        <w:rPr>
          <w:b/>
          <w:bCs/>
          <w:lang w:val="ru-RU"/>
        </w:rPr>
        <w:t>Стр</w:t>
      </w:r>
      <w:r w:rsidRPr="009851E0">
        <w:rPr>
          <w:lang w:val="ru-RU"/>
        </w:rPr>
        <w:t>.</w:t>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fldChar w:fldCharType="begin"/>
      </w:r>
      <w:r w:rsidRPr="009851E0">
        <w:rPr>
          <w:b/>
          <w:bCs/>
          <w:lang w:val="ru-RU"/>
        </w:rPr>
        <w:instrText xml:space="preserve"> TOC \o "1-1" \u </w:instrText>
      </w:r>
      <w:r w:rsidRPr="009851E0">
        <w:rPr>
          <w:b/>
          <w:bCs/>
          <w:lang w:val="ru-RU"/>
        </w:rPr>
        <w:fldChar w:fldCharType="separate"/>
      </w:r>
      <w:r w:rsidRPr="009851E0">
        <w:rPr>
          <w:b/>
          <w:bCs/>
          <w:lang w:val="ru-RU"/>
        </w:rPr>
        <w:t>ВВЕДЕНИЕ</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_Toc522633552 \h </w:instrText>
      </w:r>
      <w:r w:rsidRPr="009851E0">
        <w:rPr>
          <w:b/>
          <w:bCs/>
          <w:lang w:val="ru-RU"/>
        </w:rPr>
      </w:r>
      <w:r w:rsidRPr="009851E0">
        <w:rPr>
          <w:b/>
          <w:bCs/>
          <w:lang w:val="ru-RU"/>
        </w:rPr>
        <w:fldChar w:fldCharType="separate"/>
      </w:r>
      <w:r w:rsidRPr="009851E0">
        <w:rPr>
          <w:b/>
          <w:bCs/>
          <w:lang w:val="ru-RU"/>
        </w:rPr>
        <w:t>6</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АУДИТОРСКОЕ ЗАКЛЮЧЕНИЕ</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_Toc522633553 \h </w:instrText>
      </w:r>
      <w:r w:rsidRPr="009851E0">
        <w:rPr>
          <w:b/>
          <w:bCs/>
          <w:lang w:val="ru-RU"/>
        </w:rPr>
      </w:r>
      <w:r w:rsidRPr="009851E0">
        <w:rPr>
          <w:b/>
          <w:bCs/>
          <w:lang w:val="ru-RU"/>
        </w:rPr>
        <w:fldChar w:fldCharType="separate"/>
      </w:r>
      <w:r w:rsidRPr="009851E0">
        <w:rPr>
          <w:b/>
          <w:bCs/>
          <w:lang w:val="ru-RU"/>
        </w:rPr>
        <w:t>8</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СТРУКТУРА БУХГАЛТЕРСКОЙ ОТЧЕТНОСТИ</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_Toc522633554 \h </w:instrText>
      </w:r>
      <w:r w:rsidRPr="009851E0">
        <w:rPr>
          <w:b/>
          <w:bCs/>
          <w:lang w:val="ru-RU"/>
        </w:rPr>
      </w:r>
      <w:r w:rsidRPr="009851E0">
        <w:rPr>
          <w:b/>
          <w:bCs/>
          <w:lang w:val="ru-RU"/>
        </w:rPr>
        <w:fldChar w:fldCharType="separate"/>
      </w:r>
      <w:r w:rsidRPr="009851E0">
        <w:rPr>
          <w:b/>
          <w:bCs/>
          <w:lang w:val="ru-RU"/>
        </w:rPr>
        <w:t>11</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ОТЧЕТ О ФИНАНСОВОМ ПОЛОЖЕНИИ ЗА 2017 ГОД</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_Toc522633555 \h </w:instrText>
      </w:r>
      <w:r w:rsidRPr="009851E0">
        <w:rPr>
          <w:b/>
          <w:bCs/>
          <w:lang w:val="ru-RU"/>
        </w:rPr>
      </w:r>
      <w:r w:rsidRPr="009851E0">
        <w:rPr>
          <w:b/>
          <w:bCs/>
          <w:lang w:val="ru-RU"/>
        </w:rPr>
        <w:fldChar w:fldCharType="separate"/>
      </w:r>
      <w:r w:rsidRPr="009851E0">
        <w:rPr>
          <w:b/>
          <w:bCs/>
          <w:lang w:val="ru-RU"/>
        </w:rPr>
        <w:t>11</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АКТИВЫ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_Toc522633556 \h </w:instrText>
      </w:r>
      <w:r w:rsidRPr="009851E0">
        <w:rPr>
          <w:lang w:val="ru-RU"/>
        </w:rPr>
      </w:r>
      <w:r w:rsidRPr="009851E0">
        <w:rPr>
          <w:lang w:val="ru-RU"/>
        </w:rPr>
        <w:fldChar w:fldCharType="separate"/>
      </w:r>
      <w:r w:rsidRPr="009851E0">
        <w:rPr>
          <w:lang w:val="ru-RU"/>
        </w:rPr>
        <w:t>11</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Текущие активы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_Toc522633557 \h </w:instrText>
      </w:r>
      <w:r w:rsidRPr="009851E0">
        <w:rPr>
          <w:lang w:val="ru-RU"/>
        </w:rPr>
      </w:r>
      <w:r w:rsidRPr="009851E0">
        <w:rPr>
          <w:lang w:val="ru-RU"/>
        </w:rPr>
        <w:fldChar w:fldCharType="separate"/>
      </w:r>
      <w:r w:rsidRPr="009851E0">
        <w:rPr>
          <w:lang w:val="ru-RU"/>
        </w:rPr>
        <w:t>11</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Денежные средства и эквиваленты денежных средств</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_Toc522633558 \h </w:instrText>
      </w:r>
      <w:r w:rsidRPr="009851E0">
        <w:rPr>
          <w:lang w:val="ru-RU"/>
        </w:rPr>
      </w:r>
      <w:r w:rsidRPr="009851E0">
        <w:rPr>
          <w:lang w:val="ru-RU"/>
        </w:rPr>
        <w:fldChar w:fldCharType="separate"/>
      </w:r>
      <w:r w:rsidRPr="009851E0">
        <w:rPr>
          <w:lang w:val="ru-RU"/>
        </w:rPr>
        <w:t>12</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Обновление списков разрешенных подписей в банках</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_Toc522633559 \h </w:instrText>
      </w:r>
      <w:r w:rsidRPr="009851E0">
        <w:rPr>
          <w:lang w:val="ru-RU"/>
        </w:rPr>
      </w:r>
      <w:r w:rsidRPr="009851E0">
        <w:rPr>
          <w:lang w:val="ru-RU"/>
        </w:rPr>
        <w:fldChar w:fldCharType="separate"/>
      </w:r>
      <w:r w:rsidRPr="009851E0">
        <w:rPr>
          <w:lang w:val="ru-RU"/>
        </w:rPr>
        <w:t>12</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Вклады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_Toc522633560 \h </w:instrText>
      </w:r>
      <w:r w:rsidRPr="009851E0">
        <w:rPr>
          <w:lang w:val="ru-RU"/>
        </w:rPr>
      </w:r>
      <w:r w:rsidRPr="009851E0">
        <w:rPr>
          <w:lang w:val="ru-RU"/>
        </w:rPr>
        <w:fldChar w:fldCharType="separate"/>
      </w:r>
      <w:r w:rsidRPr="009851E0">
        <w:rPr>
          <w:lang w:val="ru-RU"/>
        </w:rPr>
        <w:t>12</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Долговые обязательства</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_Toc522633561 \h </w:instrText>
      </w:r>
      <w:r w:rsidRPr="009851E0">
        <w:rPr>
          <w:lang w:val="ru-RU"/>
        </w:rPr>
      </w:r>
      <w:r w:rsidRPr="009851E0">
        <w:rPr>
          <w:lang w:val="ru-RU"/>
        </w:rPr>
        <w:fldChar w:fldCharType="separate"/>
      </w:r>
      <w:r w:rsidRPr="009851E0">
        <w:rPr>
          <w:lang w:val="ru-RU"/>
        </w:rPr>
        <w:t>13</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Прочие текущие долговые обязательства</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_Toc522633562 \h </w:instrText>
      </w:r>
      <w:r w:rsidRPr="009851E0">
        <w:rPr>
          <w:lang w:val="ru-RU"/>
        </w:rPr>
      </w:r>
      <w:r w:rsidRPr="009851E0">
        <w:rPr>
          <w:lang w:val="ru-RU"/>
        </w:rPr>
        <w:fldChar w:fldCharType="separate"/>
      </w:r>
      <w:r w:rsidRPr="009851E0">
        <w:rPr>
          <w:lang w:val="ru-RU"/>
        </w:rPr>
        <w:t>13</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Запасы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_Toc522633563 \h </w:instrText>
      </w:r>
      <w:r w:rsidRPr="009851E0">
        <w:rPr>
          <w:lang w:val="ru-RU"/>
        </w:rPr>
      </w:r>
      <w:r w:rsidRPr="009851E0">
        <w:rPr>
          <w:lang w:val="ru-RU"/>
        </w:rPr>
        <w:fldChar w:fldCharType="separate"/>
      </w:r>
      <w:r w:rsidRPr="009851E0">
        <w:rPr>
          <w:lang w:val="ru-RU"/>
        </w:rPr>
        <w:t>13</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Нетекущие активы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_Toc522633564 \h </w:instrText>
      </w:r>
      <w:r w:rsidRPr="009851E0">
        <w:rPr>
          <w:lang w:val="ru-RU"/>
        </w:rPr>
      </w:r>
      <w:r w:rsidRPr="009851E0">
        <w:rPr>
          <w:lang w:val="ru-RU"/>
        </w:rPr>
        <w:fldChar w:fldCharType="separate"/>
      </w:r>
      <w:r w:rsidRPr="009851E0">
        <w:rPr>
          <w:lang w:val="ru-RU"/>
        </w:rPr>
        <w:t>13</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Материальные активы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_Toc522633565 \h </w:instrText>
      </w:r>
      <w:r w:rsidRPr="009851E0">
        <w:rPr>
          <w:lang w:val="ru-RU"/>
        </w:rPr>
      </w:r>
      <w:r w:rsidRPr="009851E0">
        <w:rPr>
          <w:lang w:val="ru-RU"/>
        </w:rPr>
        <w:fldChar w:fldCharType="separate"/>
      </w:r>
      <w:r w:rsidRPr="009851E0">
        <w:rPr>
          <w:lang w:val="ru-RU"/>
        </w:rPr>
        <w:t>14</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Здания штаб-квартиры Союза</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_Toc522633566 \h </w:instrText>
      </w:r>
      <w:r w:rsidRPr="009851E0">
        <w:rPr>
          <w:lang w:val="ru-RU"/>
        </w:rPr>
      </w:r>
      <w:r w:rsidRPr="009851E0">
        <w:rPr>
          <w:lang w:val="ru-RU"/>
        </w:rPr>
        <w:fldChar w:fldCharType="separate"/>
      </w:r>
      <w:r w:rsidRPr="009851E0">
        <w:rPr>
          <w:lang w:val="ru-RU"/>
        </w:rPr>
        <w:t>15</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Реестр активов</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_Toc522633567 \h </w:instrText>
      </w:r>
      <w:r w:rsidRPr="009851E0">
        <w:rPr>
          <w:lang w:val="ru-RU"/>
        </w:rPr>
      </w:r>
      <w:r w:rsidRPr="009851E0">
        <w:rPr>
          <w:lang w:val="ru-RU"/>
        </w:rPr>
        <w:fldChar w:fldCharType="separate"/>
      </w:r>
      <w:r w:rsidRPr="009851E0">
        <w:rPr>
          <w:lang w:val="ru-RU"/>
        </w:rPr>
        <w:t>15</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Нематериальные активы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_Toc522633568 \h </w:instrText>
      </w:r>
      <w:r w:rsidRPr="009851E0">
        <w:rPr>
          <w:lang w:val="ru-RU"/>
        </w:rPr>
      </w:r>
      <w:r w:rsidRPr="009851E0">
        <w:rPr>
          <w:lang w:val="ru-RU"/>
        </w:rPr>
        <w:fldChar w:fldCharType="separate"/>
      </w:r>
      <w:r w:rsidRPr="009851E0">
        <w:rPr>
          <w:lang w:val="ru-RU"/>
        </w:rPr>
        <w:t>15</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ПАССИВЫ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_Toc522633569 \h </w:instrText>
      </w:r>
      <w:r w:rsidRPr="009851E0">
        <w:rPr>
          <w:lang w:val="ru-RU"/>
        </w:rPr>
      </w:r>
      <w:r w:rsidRPr="009851E0">
        <w:rPr>
          <w:lang w:val="ru-RU"/>
        </w:rPr>
        <w:fldChar w:fldCharType="separate"/>
      </w:r>
      <w:r w:rsidRPr="009851E0">
        <w:rPr>
          <w:lang w:val="ru-RU"/>
        </w:rPr>
        <w:t>16</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Текущие пассивы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_Toc522633570 \h </w:instrText>
      </w:r>
      <w:r w:rsidRPr="009851E0">
        <w:rPr>
          <w:lang w:val="ru-RU"/>
        </w:rPr>
      </w:r>
      <w:r w:rsidRPr="009851E0">
        <w:rPr>
          <w:lang w:val="ru-RU"/>
        </w:rPr>
        <w:fldChar w:fldCharType="separate"/>
      </w:r>
      <w:r w:rsidRPr="009851E0">
        <w:rPr>
          <w:lang w:val="ru-RU"/>
        </w:rPr>
        <w:t>16</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Поставщики и прочие кредиторы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_Toc522633571 \h </w:instrText>
      </w:r>
      <w:r w:rsidRPr="009851E0">
        <w:rPr>
          <w:lang w:val="ru-RU"/>
        </w:rPr>
      </w:r>
      <w:r w:rsidRPr="009851E0">
        <w:rPr>
          <w:lang w:val="ru-RU"/>
        </w:rPr>
        <w:fldChar w:fldCharType="separate"/>
      </w:r>
      <w:r w:rsidRPr="009851E0">
        <w:rPr>
          <w:lang w:val="ru-RU"/>
        </w:rPr>
        <w:t>16</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Доходы будущих периодов</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_Toc522633572 \h </w:instrText>
      </w:r>
      <w:r w:rsidRPr="009851E0">
        <w:rPr>
          <w:lang w:val="ru-RU"/>
        </w:rPr>
      </w:r>
      <w:r w:rsidRPr="009851E0">
        <w:rPr>
          <w:lang w:val="ru-RU"/>
        </w:rPr>
        <w:fldChar w:fldCharType="separate"/>
      </w:r>
      <w:r w:rsidRPr="009851E0">
        <w:rPr>
          <w:lang w:val="ru-RU"/>
        </w:rPr>
        <w:t>16</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Резервные фонды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_Toc522633573 \h </w:instrText>
      </w:r>
      <w:r w:rsidRPr="009851E0">
        <w:rPr>
          <w:lang w:val="ru-RU"/>
        </w:rPr>
      </w:r>
      <w:r w:rsidRPr="009851E0">
        <w:rPr>
          <w:lang w:val="ru-RU"/>
        </w:rPr>
        <w:fldChar w:fldCharType="separate"/>
      </w:r>
      <w:r w:rsidRPr="009851E0">
        <w:rPr>
          <w:lang w:val="ru-RU"/>
        </w:rPr>
        <w:t>16</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Займы и финансовая задолженность</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_Toc522633574 \h </w:instrText>
      </w:r>
      <w:r w:rsidRPr="009851E0">
        <w:rPr>
          <w:lang w:val="ru-RU"/>
        </w:rPr>
      </w:r>
      <w:r w:rsidRPr="009851E0">
        <w:rPr>
          <w:lang w:val="ru-RU"/>
        </w:rPr>
        <w:fldChar w:fldCharType="separate"/>
      </w:r>
      <w:r w:rsidRPr="009851E0">
        <w:rPr>
          <w:lang w:val="ru-RU"/>
        </w:rPr>
        <w:t>17</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Прочие текущие пассивы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_Toc522633575 \h </w:instrText>
      </w:r>
      <w:r w:rsidRPr="009851E0">
        <w:rPr>
          <w:lang w:val="ru-RU"/>
        </w:rPr>
      </w:r>
      <w:r w:rsidRPr="009851E0">
        <w:rPr>
          <w:lang w:val="ru-RU"/>
        </w:rPr>
        <w:fldChar w:fldCharType="separate"/>
      </w:r>
      <w:r w:rsidRPr="009851E0">
        <w:rPr>
          <w:lang w:val="ru-RU"/>
        </w:rPr>
        <w:t>17</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Нетекущие пассивы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_Toc522633576 \h </w:instrText>
      </w:r>
      <w:r w:rsidRPr="009851E0">
        <w:rPr>
          <w:lang w:val="ru-RU"/>
        </w:rPr>
      </w:r>
      <w:r w:rsidRPr="009851E0">
        <w:rPr>
          <w:lang w:val="ru-RU"/>
        </w:rPr>
        <w:fldChar w:fldCharType="separate"/>
      </w:r>
      <w:r w:rsidRPr="009851E0">
        <w:rPr>
          <w:lang w:val="ru-RU"/>
        </w:rPr>
        <w:t>17</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Обобщенные сведения о вознаграждении сотрудников</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_Toc522633577 \h </w:instrText>
      </w:r>
      <w:r w:rsidRPr="009851E0">
        <w:rPr>
          <w:lang w:val="ru-RU"/>
        </w:rPr>
      </w:r>
      <w:r w:rsidRPr="009851E0">
        <w:rPr>
          <w:lang w:val="ru-RU"/>
        </w:rPr>
        <w:fldChar w:fldCharType="separate"/>
      </w:r>
      <w:r w:rsidRPr="009851E0">
        <w:rPr>
          <w:lang w:val="ru-RU"/>
        </w:rPr>
        <w:t>17</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Вознаграждение сотрудников, работающих на основе долгосрочных контрактов</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_Toc522633578 \h </w:instrText>
      </w:r>
      <w:r w:rsidRPr="009851E0">
        <w:rPr>
          <w:lang w:val="ru-RU"/>
        </w:rPr>
      </w:r>
      <w:r w:rsidRPr="009851E0">
        <w:rPr>
          <w:lang w:val="ru-RU"/>
        </w:rPr>
        <w:fldChar w:fldCharType="separate"/>
      </w:r>
      <w:r w:rsidRPr="009851E0">
        <w:rPr>
          <w:lang w:val="ru-RU"/>
        </w:rPr>
        <w:t>18</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Вознаграждение сотрудников: подъемные пособия и субсидии на репатриацию</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_Toc522633579 \h </w:instrText>
      </w:r>
      <w:r w:rsidRPr="009851E0">
        <w:rPr>
          <w:lang w:val="ru-RU"/>
        </w:rPr>
      </w:r>
      <w:r w:rsidRPr="009851E0">
        <w:rPr>
          <w:lang w:val="ru-RU"/>
        </w:rPr>
        <w:fldChar w:fldCharType="separate"/>
      </w:r>
      <w:r w:rsidRPr="009851E0">
        <w:rPr>
          <w:lang w:val="ru-RU"/>
        </w:rPr>
        <w:t>18</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Вознаграждение сотрудников: АСХИ</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_Toc522633580 \h </w:instrText>
      </w:r>
      <w:r w:rsidRPr="009851E0">
        <w:rPr>
          <w:lang w:val="ru-RU"/>
        </w:rPr>
      </w:r>
      <w:r w:rsidRPr="009851E0">
        <w:rPr>
          <w:lang w:val="ru-RU"/>
        </w:rPr>
        <w:fldChar w:fldCharType="separate"/>
      </w:r>
      <w:r w:rsidRPr="009851E0">
        <w:rPr>
          <w:lang w:val="ru-RU"/>
        </w:rPr>
        <w:t>18</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На отрицательное значение чистых активов влияют актуарные обязательства</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_Toc522633581 \h </w:instrText>
      </w:r>
      <w:r w:rsidRPr="009851E0">
        <w:rPr>
          <w:lang w:val="ru-RU"/>
        </w:rPr>
      </w:r>
      <w:r w:rsidRPr="009851E0">
        <w:rPr>
          <w:lang w:val="ru-RU"/>
        </w:rPr>
        <w:fldChar w:fldCharType="separate"/>
      </w:r>
      <w:r w:rsidRPr="009851E0">
        <w:rPr>
          <w:lang w:val="ru-RU"/>
        </w:rPr>
        <w:t>19</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Выход из ФМСП: противоречия в производстве расчетов</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_Toc522633582 \h </w:instrText>
      </w:r>
      <w:r w:rsidRPr="009851E0">
        <w:rPr>
          <w:lang w:val="ru-RU"/>
        </w:rPr>
      </w:r>
      <w:r w:rsidRPr="009851E0">
        <w:rPr>
          <w:lang w:val="ru-RU"/>
        </w:rPr>
        <w:fldChar w:fldCharType="separate"/>
      </w:r>
      <w:r w:rsidRPr="009851E0">
        <w:rPr>
          <w:lang w:val="ru-RU"/>
        </w:rPr>
        <w:t>20</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 xml:space="preserve">Вознаграждение сотрудников: Страховая касса персонала МСЭ (закрытые пенсионные </w:t>
      </w:r>
      <w:r w:rsidR="00AC18E9" w:rsidRPr="009851E0">
        <w:rPr>
          <w:lang w:val="ru-RU"/>
        </w:rPr>
        <w:br/>
      </w:r>
      <w:r w:rsidRPr="009851E0">
        <w:rPr>
          <w:lang w:val="ru-RU"/>
        </w:rPr>
        <w:t>фонды МСЭ)</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_Toc522633583 \h </w:instrText>
      </w:r>
      <w:r w:rsidRPr="009851E0">
        <w:rPr>
          <w:lang w:val="ru-RU"/>
        </w:rPr>
      </w:r>
      <w:r w:rsidRPr="009851E0">
        <w:rPr>
          <w:lang w:val="ru-RU"/>
        </w:rPr>
        <w:fldChar w:fldCharType="separate"/>
      </w:r>
      <w:r w:rsidRPr="009851E0">
        <w:rPr>
          <w:lang w:val="ru-RU"/>
        </w:rPr>
        <w:t>20</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ЧИСТЫЕ АКТИВЫ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_Toc522633584 \h </w:instrText>
      </w:r>
      <w:r w:rsidRPr="009851E0">
        <w:rPr>
          <w:lang w:val="ru-RU"/>
        </w:rPr>
      </w:r>
      <w:r w:rsidRPr="009851E0">
        <w:rPr>
          <w:lang w:val="ru-RU"/>
        </w:rPr>
        <w:fldChar w:fldCharType="separate"/>
      </w:r>
      <w:r w:rsidRPr="009851E0">
        <w:rPr>
          <w:lang w:val="ru-RU"/>
        </w:rPr>
        <w:t>20</w:t>
      </w:r>
      <w:r w:rsidRPr="009851E0">
        <w:rPr>
          <w:lang w:val="ru-RU"/>
        </w:rPr>
        <w:fldChar w:fldCharType="end"/>
      </w:r>
    </w:p>
    <w:p w:rsidR="009851E0" w:rsidRPr="009851E0" w:rsidRDefault="009851E0" w:rsidP="009851E0">
      <w:pPr>
        <w:tabs>
          <w:tab w:val="clear" w:pos="794"/>
          <w:tab w:val="clear" w:pos="1191"/>
          <w:tab w:val="clear" w:pos="1588"/>
          <w:tab w:val="clear" w:pos="1985"/>
        </w:tabs>
        <w:overflowPunct/>
        <w:autoSpaceDE/>
        <w:autoSpaceDN/>
        <w:adjustRightInd/>
        <w:jc w:val="right"/>
        <w:textAlignment w:val="auto"/>
        <w:rPr>
          <w:lang w:val="ru-RU"/>
        </w:rPr>
      </w:pPr>
      <w:r w:rsidRPr="009851E0">
        <w:rPr>
          <w:b/>
          <w:bCs/>
          <w:lang w:val="ru-RU"/>
        </w:rPr>
        <w:t>Стр</w:t>
      </w:r>
      <w:r w:rsidRPr="009851E0">
        <w:rPr>
          <w:lang w:val="ru-RU"/>
        </w:rPr>
        <w:t>.</w:t>
      </w:r>
    </w:p>
    <w:p w:rsidR="00FD3BA4" w:rsidRPr="009851E0" w:rsidRDefault="00FD3BA4" w:rsidP="00AC18E9">
      <w:pPr>
        <w:pStyle w:val="TOC1"/>
        <w:keepNext/>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ОТЧЕТ О РЕЗУЛЬТАТАХ ФИНАНСОВОЙ ДЕЯТЕЛЬНОСТИ ЗА 2017 ГОД</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_Toc522633585 \h </w:instrText>
      </w:r>
      <w:r w:rsidRPr="009851E0">
        <w:rPr>
          <w:b/>
          <w:bCs/>
          <w:lang w:val="ru-RU"/>
        </w:rPr>
      </w:r>
      <w:r w:rsidRPr="009851E0">
        <w:rPr>
          <w:b/>
          <w:bCs/>
          <w:lang w:val="ru-RU"/>
        </w:rPr>
        <w:fldChar w:fldCharType="separate"/>
      </w:r>
      <w:r w:rsidRPr="009851E0">
        <w:rPr>
          <w:b/>
          <w:bCs/>
          <w:lang w:val="ru-RU"/>
        </w:rPr>
        <w:t>21</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Доходы и расходы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_Toc522633586 \h </w:instrText>
      </w:r>
      <w:r w:rsidRPr="009851E0">
        <w:rPr>
          <w:lang w:val="ru-RU"/>
        </w:rPr>
      </w:r>
      <w:r w:rsidRPr="009851E0">
        <w:rPr>
          <w:lang w:val="ru-RU"/>
        </w:rPr>
        <w:fldChar w:fldCharType="separate"/>
      </w:r>
      <w:r w:rsidRPr="009851E0">
        <w:rPr>
          <w:lang w:val="ru-RU"/>
        </w:rPr>
        <w:t>21</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Персонал</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_Toc522633587 \h </w:instrText>
      </w:r>
      <w:r w:rsidRPr="009851E0">
        <w:rPr>
          <w:lang w:val="ru-RU"/>
        </w:rPr>
      </w:r>
      <w:r w:rsidRPr="009851E0">
        <w:rPr>
          <w:lang w:val="ru-RU"/>
        </w:rPr>
        <w:fldChar w:fldCharType="separate"/>
      </w:r>
      <w:r w:rsidRPr="009851E0">
        <w:rPr>
          <w:lang w:val="ru-RU"/>
        </w:rPr>
        <w:t>21</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Рационализация функции выплат ЛР</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_Toc522633588 \h </w:instrText>
      </w:r>
      <w:r w:rsidRPr="009851E0">
        <w:rPr>
          <w:lang w:val="ru-RU"/>
        </w:rPr>
      </w:r>
      <w:r w:rsidRPr="009851E0">
        <w:rPr>
          <w:lang w:val="ru-RU"/>
        </w:rPr>
        <w:fldChar w:fldCharType="separate"/>
      </w:r>
      <w:r w:rsidRPr="009851E0">
        <w:rPr>
          <w:lang w:val="ru-RU"/>
        </w:rPr>
        <w:t>21</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Необходима политика кадрового планирования</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_Toc522633589 \h </w:instrText>
      </w:r>
      <w:r w:rsidRPr="009851E0">
        <w:rPr>
          <w:lang w:val="ru-RU"/>
        </w:rPr>
      </w:r>
      <w:r w:rsidRPr="009851E0">
        <w:rPr>
          <w:lang w:val="ru-RU"/>
        </w:rPr>
        <w:fldChar w:fldCharType="separate"/>
      </w:r>
      <w:r w:rsidRPr="009851E0">
        <w:rPr>
          <w:lang w:val="ru-RU"/>
        </w:rPr>
        <w:t>23</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Закупки</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_Toc522633590 \h </w:instrText>
      </w:r>
      <w:r w:rsidRPr="009851E0">
        <w:rPr>
          <w:lang w:val="ru-RU"/>
        </w:rPr>
      </w:r>
      <w:r w:rsidRPr="009851E0">
        <w:rPr>
          <w:lang w:val="ru-RU"/>
        </w:rPr>
        <w:fldChar w:fldCharType="separate"/>
      </w:r>
      <w:r w:rsidRPr="009851E0">
        <w:rPr>
          <w:lang w:val="ru-RU"/>
        </w:rPr>
        <w:t>26</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Автоматическое продление заключенных контрактов</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_Toc522633591 \h </w:instrText>
      </w:r>
      <w:r w:rsidRPr="009851E0">
        <w:rPr>
          <w:lang w:val="ru-RU"/>
        </w:rPr>
      </w:r>
      <w:r w:rsidRPr="009851E0">
        <w:rPr>
          <w:lang w:val="ru-RU"/>
        </w:rPr>
        <w:fldChar w:fldCharType="separate"/>
      </w:r>
      <w:r w:rsidRPr="009851E0">
        <w:rPr>
          <w:lang w:val="ru-RU"/>
        </w:rPr>
        <w:t>26</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Заключение контрактов, предусматривающих сметные расходы на сумму менее 20 тыс. швейцарских франков</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_Toc522633592 \h </w:instrText>
      </w:r>
      <w:r w:rsidRPr="009851E0">
        <w:rPr>
          <w:lang w:val="ru-RU"/>
        </w:rPr>
      </w:r>
      <w:r w:rsidRPr="009851E0">
        <w:rPr>
          <w:lang w:val="ru-RU"/>
        </w:rPr>
        <w:fldChar w:fldCharType="separate"/>
      </w:r>
      <w:r w:rsidRPr="009851E0">
        <w:rPr>
          <w:lang w:val="ru-RU"/>
        </w:rPr>
        <w:t>26</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Контроль заказов на закупки/контрактов, заключаемых в случае отказа от проведения конкурса</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_Toc522633593 \h </w:instrText>
      </w:r>
      <w:r w:rsidRPr="009851E0">
        <w:rPr>
          <w:lang w:val="ru-RU"/>
        </w:rPr>
      </w:r>
      <w:r w:rsidRPr="009851E0">
        <w:rPr>
          <w:lang w:val="ru-RU"/>
        </w:rPr>
        <w:fldChar w:fldCharType="separate"/>
      </w:r>
      <w:r w:rsidRPr="009851E0">
        <w:rPr>
          <w:lang w:val="ru-RU"/>
        </w:rPr>
        <w:t>27</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Повышение прозрачности процесса закупок на небольшие суммы</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_Toc522633594 \h </w:instrText>
      </w:r>
      <w:r w:rsidRPr="009851E0">
        <w:rPr>
          <w:lang w:val="ru-RU"/>
        </w:rPr>
      </w:r>
      <w:r w:rsidRPr="009851E0">
        <w:rPr>
          <w:lang w:val="ru-RU"/>
        </w:rPr>
        <w:fldChar w:fldCharType="separate"/>
      </w:r>
      <w:r w:rsidRPr="009851E0">
        <w:rPr>
          <w:lang w:val="ru-RU"/>
        </w:rPr>
        <w:t>27</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color w:val="000000"/>
          <w:lang w:val="ru-RU"/>
        </w:rPr>
        <w:t>Декларация об отсутствии конфликта интересов по процедуре закупок на небольшую сумму</w:t>
      </w:r>
      <w:r w:rsidR="00AC18E9" w:rsidRPr="009851E0">
        <w:rPr>
          <w:lang w:val="ru-RU"/>
        </w:rPr>
        <w:tab/>
      </w:r>
      <w:r w:rsidRPr="009851E0">
        <w:rPr>
          <w:lang w:val="ru-RU"/>
        </w:rPr>
        <w:fldChar w:fldCharType="begin"/>
      </w:r>
      <w:r w:rsidRPr="009851E0">
        <w:rPr>
          <w:lang w:val="ru-RU"/>
        </w:rPr>
        <w:instrText xml:space="preserve"> PAGEREF _Toc522633595 \h </w:instrText>
      </w:r>
      <w:r w:rsidRPr="009851E0">
        <w:rPr>
          <w:lang w:val="ru-RU"/>
        </w:rPr>
      </w:r>
      <w:r w:rsidRPr="009851E0">
        <w:rPr>
          <w:lang w:val="ru-RU"/>
        </w:rPr>
        <w:fldChar w:fldCharType="separate"/>
      </w:r>
      <w:r w:rsidRPr="009851E0">
        <w:rPr>
          <w:lang w:val="ru-RU"/>
        </w:rPr>
        <w:t>28</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i/>
          <w:iCs/>
          <w:lang w:val="ru-RU"/>
        </w:rPr>
        <w:t>Кодекс поведения поставщика Организации Объединенных Наций</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_Toc522633596 \h </w:instrText>
      </w:r>
      <w:r w:rsidRPr="009851E0">
        <w:rPr>
          <w:lang w:val="ru-RU"/>
        </w:rPr>
      </w:r>
      <w:r w:rsidRPr="009851E0">
        <w:rPr>
          <w:lang w:val="ru-RU"/>
        </w:rPr>
        <w:fldChar w:fldCharType="separate"/>
      </w:r>
      <w:r w:rsidRPr="009851E0">
        <w:rPr>
          <w:lang w:val="ru-RU"/>
        </w:rPr>
        <w:t>29</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color w:val="000000"/>
          <w:lang w:val="ru-RU"/>
        </w:rPr>
        <w:t>Стандарты этики</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_Toc522633597 \h </w:instrText>
      </w:r>
      <w:r w:rsidRPr="009851E0">
        <w:rPr>
          <w:lang w:val="ru-RU"/>
        </w:rPr>
      </w:r>
      <w:r w:rsidRPr="009851E0">
        <w:rPr>
          <w:lang w:val="ru-RU"/>
        </w:rPr>
        <w:fldChar w:fldCharType="separate"/>
      </w:r>
      <w:r w:rsidRPr="009851E0">
        <w:rPr>
          <w:lang w:val="ru-RU"/>
        </w:rPr>
        <w:t>29</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lang w:val="ru-RU"/>
        </w:rPr>
        <w:t>Продажи публикаций</w:t>
      </w:r>
      <w:r w:rsidRPr="009851E0">
        <w:rPr>
          <w:lang w:val="ru-RU"/>
        </w:rPr>
        <w:tab/>
      </w:r>
      <w:r w:rsidR="00AC18E9" w:rsidRPr="009851E0">
        <w:rPr>
          <w:lang w:val="ru-RU"/>
        </w:rPr>
        <w:tab/>
      </w:r>
      <w:r w:rsidRPr="009851E0">
        <w:rPr>
          <w:lang w:val="ru-RU"/>
        </w:rPr>
        <w:fldChar w:fldCharType="begin"/>
      </w:r>
      <w:r w:rsidRPr="009851E0">
        <w:rPr>
          <w:lang w:val="ru-RU"/>
        </w:rPr>
        <w:instrText xml:space="preserve"> PAGEREF _Toc522633598 \h </w:instrText>
      </w:r>
      <w:r w:rsidRPr="009851E0">
        <w:rPr>
          <w:lang w:val="ru-RU"/>
        </w:rPr>
      </w:r>
      <w:r w:rsidRPr="009851E0">
        <w:rPr>
          <w:lang w:val="ru-RU"/>
        </w:rPr>
        <w:fldChar w:fldCharType="separate"/>
      </w:r>
      <w:r w:rsidRPr="009851E0">
        <w:rPr>
          <w:lang w:val="ru-RU"/>
        </w:rPr>
        <w:t>30</w:t>
      </w:r>
      <w:r w:rsidRPr="009851E0">
        <w:rPr>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ОТЧЕТ ОБ ИЗМЕНЕНИЯХ В ЧИСТЫХ АКТИВАХ ЗА ФИНАНСОВЫЙ ПЕРИОД, ЗАВЕРШИВШИЙСЯ 31 ДЕКАБРЯ 2017 ГОДА</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_Toc522633599 \h </w:instrText>
      </w:r>
      <w:r w:rsidRPr="009851E0">
        <w:rPr>
          <w:b/>
          <w:bCs/>
          <w:lang w:val="ru-RU"/>
        </w:rPr>
      </w:r>
      <w:r w:rsidRPr="009851E0">
        <w:rPr>
          <w:b/>
          <w:bCs/>
          <w:lang w:val="ru-RU"/>
        </w:rPr>
        <w:fldChar w:fldCharType="separate"/>
      </w:r>
      <w:r w:rsidRPr="009851E0">
        <w:rPr>
          <w:b/>
          <w:bCs/>
          <w:lang w:val="ru-RU"/>
        </w:rPr>
        <w:t>30</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ТАБЛИЦА ДВИЖЕНИЯ ДЕНЕЖНЫХ СРЕДСТВ ЗА ФИНАНСОВЫЙ ПЕРИОД, ЗАВЕРШИВШИЙСЯ 31 ДЕКАБРЯ 2017 ГОДА</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_Toc522633600 \h </w:instrText>
      </w:r>
      <w:r w:rsidRPr="009851E0">
        <w:rPr>
          <w:b/>
          <w:bCs/>
          <w:lang w:val="ru-RU"/>
        </w:rPr>
      </w:r>
      <w:r w:rsidRPr="009851E0">
        <w:rPr>
          <w:b/>
          <w:bCs/>
          <w:lang w:val="ru-RU"/>
        </w:rPr>
        <w:fldChar w:fldCharType="separate"/>
      </w:r>
      <w:r w:rsidRPr="009851E0">
        <w:rPr>
          <w:b/>
          <w:bCs/>
          <w:lang w:val="ru-RU"/>
        </w:rPr>
        <w:t>30</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СРАВНЕНИЕ ПРЕДУСМОТРЕННЫХ В БЮДЖЕТЕ СУММ И ФАКТИЧЕСКИХ СУММ ЗА 2017 ФИНАНСОВЫЙ ГОД</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_Toc522633601 \h </w:instrText>
      </w:r>
      <w:r w:rsidRPr="009851E0">
        <w:rPr>
          <w:b/>
          <w:bCs/>
          <w:lang w:val="ru-RU"/>
        </w:rPr>
      </w:r>
      <w:r w:rsidRPr="009851E0">
        <w:rPr>
          <w:b/>
          <w:bCs/>
          <w:lang w:val="ru-RU"/>
        </w:rPr>
        <w:fldChar w:fldCharType="separate"/>
      </w:r>
      <w:r w:rsidRPr="009851E0">
        <w:rPr>
          <w:b/>
          <w:bCs/>
          <w:lang w:val="ru-RU"/>
        </w:rPr>
        <w:t>31</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СТРАХОВАЯ КАССА ПЕРСОНАЛА</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_Toc522633602 \h </w:instrText>
      </w:r>
      <w:r w:rsidRPr="009851E0">
        <w:rPr>
          <w:b/>
          <w:bCs/>
          <w:lang w:val="ru-RU"/>
        </w:rPr>
      </w:r>
      <w:r w:rsidRPr="009851E0">
        <w:rPr>
          <w:b/>
          <w:bCs/>
          <w:lang w:val="ru-RU"/>
        </w:rPr>
        <w:fldChar w:fldCharType="separate"/>
      </w:r>
      <w:r w:rsidRPr="009851E0">
        <w:rPr>
          <w:b/>
          <w:bCs/>
          <w:lang w:val="ru-RU"/>
        </w:rPr>
        <w:t>31</w:t>
      </w:r>
      <w:r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ПРОГРАММА РАЗВИТИЯ ОРГАНИЗАЦИИ ОБЪЕДИНЕННЫХ НАЦИЙ (ПРООН), ФОНД РАЗВИТИЯ ИНФОРМАЦИОННО-КОММУНИКАЦИОННЫХ ТЕХНОЛОГИЙ (ФРИКТ) И ЦЕЛЕВЫЕ ФОНДЫ</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_Toc522633603 \h </w:instrText>
      </w:r>
      <w:r w:rsidRPr="009851E0">
        <w:rPr>
          <w:b/>
          <w:bCs/>
          <w:lang w:val="ru-RU"/>
        </w:rPr>
      </w:r>
      <w:r w:rsidRPr="009851E0">
        <w:rPr>
          <w:b/>
          <w:bCs/>
          <w:lang w:val="ru-RU"/>
        </w:rPr>
        <w:fldChar w:fldCharType="separate"/>
      </w:r>
      <w:r w:rsidRPr="009851E0">
        <w:rPr>
          <w:b/>
          <w:bCs/>
          <w:lang w:val="ru-RU"/>
        </w:rPr>
        <w:t>31</w:t>
      </w:r>
      <w:r w:rsidRPr="009851E0">
        <w:rPr>
          <w:b/>
          <w:bCs/>
          <w:lang w:val="ru-RU"/>
        </w:rPr>
        <w:fldChar w:fldCharType="end"/>
      </w:r>
    </w:p>
    <w:p w:rsidR="00FD3BA4" w:rsidRPr="009851E0" w:rsidRDefault="00AC18E9"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 xml:space="preserve">ПОДРАЗДЕЛЕНИЕ ВНУТРЕННЕГО АУДИТА </w:t>
      </w:r>
      <w:r w:rsidR="00FD3BA4" w:rsidRPr="009851E0">
        <w:rPr>
          <w:b/>
          <w:bCs/>
          <w:lang w:val="ru-RU"/>
        </w:rPr>
        <w:t>(IAU)</w:t>
      </w:r>
      <w:r w:rsidR="00FD3BA4" w:rsidRPr="009851E0">
        <w:rPr>
          <w:lang w:val="ru-RU"/>
        </w:rPr>
        <w:tab/>
      </w:r>
      <w:r w:rsidRPr="009851E0">
        <w:rPr>
          <w:lang w:val="ru-RU"/>
        </w:rPr>
        <w:tab/>
      </w:r>
      <w:r w:rsidR="00FD3BA4" w:rsidRPr="009851E0">
        <w:rPr>
          <w:b/>
          <w:bCs/>
          <w:lang w:val="ru-RU"/>
        </w:rPr>
        <w:fldChar w:fldCharType="begin"/>
      </w:r>
      <w:r w:rsidR="00FD3BA4" w:rsidRPr="009851E0">
        <w:rPr>
          <w:b/>
          <w:bCs/>
          <w:lang w:val="ru-RU"/>
        </w:rPr>
        <w:instrText xml:space="preserve"> PAGEREF _Toc522633604 \h </w:instrText>
      </w:r>
      <w:r w:rsidR="00FD3BA4" w:rsidRPr="009851E0">
        <w:rPr>
          <w:b/>
          <w:bCs/>
          <w:lang w:val="ru-RU"/>
        </w:rPr>
      </w:r>
      <w:r w:rsidR="00FD3BA4" w:rsidRPr="009851E0">
        <w:rPr>
          <w:b/>
          <w:bCs/>
          <w:lang w:val="ru-RU"/>
        </w:rPr>
        <w:fldChar w:fldCharType="separate"/>
      </w:r>
      <w:r w:rsidR="00FD3BA4" w:rsidRPr="009851E0">
        <w:rPr>
          <w:b/>
          <w:bCs/>
          <w:lang w:val="ru-RU"/>
        </w:rPr>
        <w:t>32</w:t>
      </w:r>
      <w:r w:rsidR="00FD3BA4" w:rsidRPr="009851E0">
        <w:rPr>
          <w:b/>
          <w:bCs/>
          <w:lang w:val="ru-RU"/>
        </w:rPr>
        <w:fldChar w:fldCharType="end"/>
      </w:r>
    </w:p>
    <w:p w:rsidR="00FD3BA4" w:rsidRPr="009851E0" w:rsidRDefault="00FD3BA4" w:rsidP="00AC18E9">
      <w:pPr>
        <w:pStyle w:val="TOC1"/>
        <w:keepLines w:val="0"/>
        <w:tabs>
          <w:tab w:val="clear" w:pos="7938"/>
          <w:tab w:val="clear" w:pos="8789"/>
          <w:tab w:val="left" w:leader="dot" w:pos="9072"/>
          <w:tab w:val="center" w:pos="9639"/>
        </w:tabs>
        <w:spacing w:before="120"/>
        <w:rPr>
          <w:rFonts w:asciiTheme="minorHAnsi" w:eastAsiaTheme="minorEastAsia" w:hAnsiTheme="minorHAnsi" w:cstheme="minorBidi"/>
          <w:szCs w:val="22"/>
          <w:lang w:val="ru-RU" w:eastAsia="zh-CN"/>
        </w:rPr>
      </w:pPr>
      <w:r w:rsidRPr="009851E0">
        <w:rPr>
          <w:b/>
          <w:bCs/>
          <w:lang w:val="ru-RU"/>
        </w:rPr>
        <w:t>ПОСЛЕДУЮЩИЕ МЕРЫ В СВЯЗИ С ПРЕДЫДУЩИМИ РЕКОМЕНДАЦИЯМИ И ПРЕДЛОЖЕНИЯМИ</w:t>
      </w:r>
      <w:r w:rsidRPr="009851E0">
        <w:rPr>
          <w:lang w:val="ru-RU"/>
        </w:rPr>
        <w:tab/>
      </w:r>
      <w:r w:rsidR="00AC18E9" w:rsidRPr="009851E0">
        <w:rPr>
          <w:lang w:val="ru-RU"/>
        </w:rPr>
        <w:tab/>
      </w:r>
      <w:r w:rsidRPr="009851E0">
        <w:rPr>
          <w:b/>
          <w:bCs/>
          <w:lang w:val="ru-RU"/>
        </w:rPr>
        <w:fldChar w:fldCharType="begin"/>
      </w:r>
      <w:r w:rsidRPr="009851E0">
        <w:rPr>
          <w:b/>
          <w:bCs/>
          <w:lang w:val="ru-RU"/>
        </w:rPr>
        <w:instrText xml:space="preserve"> PAGEREF _Toc522633605 \h </w:instrText>
      </w:r>
      <w:r w:rsidRPr="009851E0">
        <w:rPr>
          <w:b/>
          <w:bCs/>
          <w:lang w:val="ru-RU"/>
        </w:rPr>
      </w:r>
      <w:r w:rsidRPr="009851E0">
        <w:rPr>
          <w:b/>
          <w:bCs/>
          <w:lang w:val="ru-RU"/>
        </w:rPr>
        <w:fldChar w:fldCharType="separate"/>
      </w:r>
      <w:r w:rsidRPr="009851E0">
        <w:rPr>
          <w:b/>
          <w:bCs/>
          <w:lang w:val="ru-RU"/>
        </w:rPr>
        <w:t>32</w:t>
      </w:r>
      <w:r w:rsidRPr="009851E0">
        <w:rPr>
          <w:b/>
          <w:bCs/>
          <w:lang w:val="ru-RU"/>
        </w:rPr>
        <w:fldChar w:fldCharType="end"/>
      </w:r>
    </w:p>
    <w:p w:rsidR="00542F98" w:rsidRPr="009851E0" w:rsidRDefault="00FD3BA4" w:rsidP="006C6E0F">
      <w:pPr>
        <w:rPr>
          <w:lang w:val="ru-RU"/>
        </w:rPr>
      </w:pPr>
      <w:r w:rsidRPr="009851E0">
        <w:rPr>
          <w:b/>
          <w:bCs/>
          <w:lang w:val="ru-RU"/>
        </w:rPr>
        <w:fldChar w:fldCharType="end"/>
      </w:r>
      <w:r w:rsidR="00542F98" w:rsidRPr="009851E0">
        <w:rPr>
          <w:lang w:val="ru-RU"/>
        </w:rPr>
        <w:br w:type="page"/>
      </w:r>
    </w:p>
    <w:p w:rsidR="00542F98" w:rsidRPr="009851E0" w:rsidRDefault="00542F98" w:rsidP="0063619D">
      <w:pPr>
        <w:pStyle w:val="Heading1"/>
        <w:jc w:val="center"/>
        <w:rPr>
          <w:lang w:val="ru-RU"/>
        </w:rPr>
      </w:pPr>
      <w:bookmarkStart w:id="36" w:name="_Toc452157288"/>
      <w:bookmarkStart w:id="37" w:name="_Toc482995155"/>
      <w:bookmarkStart w:id="38" w:name="_Toc522633552"/>
      <w:r w:rsidRPr="009851E0">
        <w:rPr>
          <w:lang w:val="ru-RU"/>
        </w:rPr>
        <w:t>ВВЕДЕНИЕ</w:t>
      </w:r>
      <w:bookmarkEnd w:id="36"/>
      <w:bookmarkEnd w:id="37"/>
      <w:bookmarkEnd w:id="38"/>
    </w:p>
    <w:p w:rsidR="00542F98" w:rsidRPr="009851E0" w:rsidRDefault="00542F98" w:rsidP="008715F6">
      <w:pPr>
        <w:rPr>
          <w:lang w:val="ru-RU"/>
        </w:rPr>
      </w:pPr>
      <w:r w:rsidRPr="009851E0">
        <w:rPr>
          <w:lang w:val="ru-RU"/>
        </w:rPr>
        <w:t xml:space="preserve">Правовая основа для аудиторской проверки, проводимой </w:t>
      </w:r>
      <w:r w:rsidR="00013C48" w:rsidRPr="009851E0">
        <w:rPr>
          <w:lang w:val="ru-RU"/>
        </w:rPr>
        <w:t xml:space="preserve">Внешним </w:t>
      </w:r>
      <w:r w:rsidRPr="009851E0">
        <w:rPr>
          <w:lang w:val="ru-RU"/>
        </w:rPr>
        <w:t>аудитор</w:t>
      </w:r>
      <w:r w:rsidR="008715F6" w:rsidRPr="009851E0">
        <w:rPr>
          <w:lang w:val="ru-RU"/>
        </w:rPr>
        <w:t>о</w:t>
      </w:r>
      <w:r w:rsidRPr="009851E0">
        <w:rPr>
          <w:lang w:val="ru-RU"/>
        </w:rPr>
        <w:t>м, изложена в Статье 28 Финансового регламента (издания 2010 г.) и Дополнительных полномочиях.</w:t>
      </w:r>
    </w:p>
    <w:p w:rsidR="00542F98" w:rsidRPr="009851E0" w:rsidRDefault="00542F98" w:rsidP="00542F98">
      <w:pPr>
        <w:rPr>
          <w:lang w:val="ru-RU"/>
        </w:rPr>
      </w:pPr>
      <w:r w:rsidRPr="009851E0">
        <w:rPr>
          <w:lang w:val="ru-RU"/>
        </w:rPr>
        <w:t xml:space="preserve">В настоящем отчете Совету представляется информация о результатах проведенной нами аудиторской проверки. </w:t>
      </w:r>
    </w:p>
    <w:p w:rsidR="00542F98" w:rsidRPr="009851E0" w:rsidRDefault="00542F98" w:rsidP="00180D51">
      <w:pPr>
        <w:rPr>
          <w:lang w:val="ru-RU"/>
        </w:rPr>
      </w:pPr>
      <w:r w:rsidRPr="009851E0">
        <w:rPr>
          <w:lang w:val="ru-RU"/>
        </w:rPr>
        <w:t>В ходе аудиторской проверки рассматривался Отчет о финансовой деятельности МСЭ по состоянию на 31 декабря 201</w:t>
      </w:r>
      <w:r w:rsidR="00180D51" w:rsidRPr="009851E0">
        <w:rPr>
          <w:lang w:val="ru-RU"/>
        </w:rPr>
        <w:t>7</w:t>
      </w:r>
      <w:r w:rsidRPr="009851E0">
        <w:rPr>
          <w:lang w:val="ru-RU"/>
        </w:rPr>
        <w:t xml:space="preserve"> года, а также бюджетные счета и их согласованность. </w:t>
      </w:r>
    </w:p>
    <w:p w:rsidR="00542F98" w:rsidRPr="009851E0" w:rsidRDefault="00542F98" w:rsidP="00542F98">
      <w:pPr>
        <w:rPr>
          <w:lang w:val="ru-RU"/>
        </w:rPr>
      </w:pPr>
      <w:r w:rsidRPr="009851E0">
        <w:rPr>
          <w:lang w:val="ru-RU"/>
        </w:rPr>
        <w:t xml:space="preserve">Финансовые периоды регулируются Уставом и Конвенцией Международного союза электросвязи, а также </w:t>
      </w:r>
      <w:r w:rsidRPr="009851E0">
        <w:rPr>
          <w:i/>
          <w:iCs/>
          <w:lang w:val="ru-RU"/>
        </w:rPr>
        <w:t>Финансовым регламентом и Финансовыми правилами</w:t>
      </w:r>
      <w:r w:rsidRPr="009851E0">
        <w:rPr>
          <w:lang w:val="ru-RU"/>
        </w:rPr>
        <w:t xml:space="preserve"> МСЭ в соответствии с Международными стандартами финансовой отчетности для общественного сектора (IPSAS).</w:t>
      </w:r>
    </w:p>
    <w:p w:rsidR="00542F98" w:rsidRPr="009851E0" w:rsidRDefault="00542F98" w:rsidP="00180D51">
      <w:pPr>
        <w:rPr>
          <w:lang w:val="ru-RU"/>
        </w:rPr>
      </w:pPr>
      <w:r w:rsidRPr="009851E0">
        <w:rPr>
          <w:lang w:val="ru-RU"/>
        </w:rPr>
        <w:t>Мы провели аудиторскую проверку счетов за 201</w:t>
      </w:r>
      <w:r w:rsidR="00180D51" w:rsidRPr="009851E0">
        <w:rPr>
          <w:lang w:val="ru-RU"/>
        </w:rPr>
        <w:t>7</w:t>
      </w:r>
      <w:r w:rsidRPr="009851E0">
        <w:rPr>
          <w:lang w:val="ru-RU"/>
        </w:rPr>
        <w:t xml:space="preserve"> финансовый год на основе стандартов Международной организации высших ревизионных учреждений (МОВРУ), метода IPSAS и в соответствии с дополнительными полномочиями, которые являются неотъемлемой частью Финансового регламента Союза. </w:t>
      </w:r>
    </w:p>
    <w:p w:rsidR="00542F98" w:rsidRPr="009851E0" w:rsidRDefault="00542F98" w:rsidP="004B6966">
      <w:pPr>
        <w:rPr>
          <w:lang w:val="ru-RU"/>
        </w:rPr>
      </w:pPr>
      <w:r w:rsidRPr="009851E0">
        <w:rPr>
          <w:lang w:val="ru-RU"/>
        </w:rPr>
        <w:t xml:space="preserve">Мы запланировали нашу рабочую деятельность согласно нашей стратегии аудита, чтобы получить разумные гарантии того, что в финансовой отчетности отсутствуют данные, </w:t>
      </w:r>
      <w:r w:rsidR="004B6966" w:rsidRPr="009851E0">
        <w:rPr>
          <w:lang w:val="ru-RU"/>
        </w:rPr>
        <w:t xml:space="preserve">которые бы </w:t>
      </w:r>
      <w:r w:rsidRPr="009851E0">
        <w:rPr>
          <w:lang w:val="ru-RU"/>
        </w:rPr>
        <w:t>существенным образом искажа</w:t>
      </w:r>
      <w:r w:rsidR="004B6966" w:rsidRPr="009851E0">
        <w:rPr>
          <w:lang w:val="ru-RU"/>
        </w:rPr>
        <w:t>ли</w:t>
      </w:r>
      <w:r w:rsidRPr="009851E0">
        <w:rPr>
          <w:lang w:val="ru-RU"/>
        </w:rPr>
        <w:t xml:space="preserve"> положение дел. </w:t>
      </w:r>
    </w:p>
    <w:p w:rsidR="00542F98" w:rsidRPr="009851E0" w:rsidRDefault="00542F98" w:rsidP="00542F98">
      <w:pPr>
        <w:rPr>
          <w:lang w:val="ru-RU"/>
        </w:rPr>
      </w:pPr>
      <w:r w:rsidRPr="009851E0">
        <w:rPr>
          <w:lang w:val="ru-RU"/>
        </w:rPr>
        <w:t xml:space="preserve">Мы провели оценку принципов бухгалтерского учета и соответствующих прогнозов, сделанных руководством, и оценили адекватность представления информации в финансовой отчетности. </w:t>
      </w:r>
    </w:p>
    <w:p w:rsidR="00542F98" w:rsidRPr="009851E0" w:rsidRDefault="00542F98" w:rsidP="004B6966">
      <w:pPr>
        <w:rPr>
          <w:lang w:val="ru-RU"/>
        </w:rPr>
      </w:pPr>
      <w:r w:rsidRPr="009851E0">
        <w:rPr>
          <w:lang w:val="ru-RU"/>
        </w:rPr>
        <w:t xml:space="preserve">Мы проверили </w:t>
      </w:r>
      <w:r w:rsidR="004B6966" w:rsidRPr="009851E0">
        <w:rPr>
          <w:lang w:val="ru-RU"/>
        </w:rPr>
        <w:t>в</w:t>
      </w:r>
      <w:r w:rsidRPr="009851E0">
        <w:rPr>
          <w:lang w:val="ru-RU"/>
        </w:rPr>
        <w:t xml:space="preserve"> выбор</w:t>
      </w:r>
      <w:r w:rsidR="004B6966" w:rsidRPr="009851E0">
        <w:rPr>
          <w:lang w:val="ru-RU"/>
        </w:rPr>
        <w:t>очном порядке</w:t>
      </w:r>
      <w:r w:rsidRPr="009851E0">
        <w:rPr>
          <w:lang w:val="ru-RU"/>
        </w:rPr>
        <w:t xml:space="preserve"> ряд операций и соответствующую документацию, получив достаточные и надежные доказательства в отношении счетов и предоставления информации в финансовой отчетности. </w:t>
      </w:r>
    </w:p>
    <w:p w:rsidR="00542F98" w:rsidRPr="009851E0" w:rsidRDefault="00542F98" w:rsidP="004B1BF7">
      <w:pPr>
        <w:rPr>
          <w:lang w:val="ru-RU"/>
        </w:rPr>
      </w:pPr>
      <w:r w:rsidRPr="009851E0">
        <w:rPr>
          <w:lang w:val="ru-RU"/>
        </w:rPr>
        <w:t xml:space="preserve">Таким образом, благодаря аудиту мы получили достаточную основу для составления </w:t>
      </w:r>
      <w:r w:rsidR="004B1BF7" w:rsidRPr="009851E0">
        <w:rPr>
          <w:lang w:val="ru-RU"/>
        </w:rPr>
        <w:t>заключ</w:t>
      </w:r>
      <w:r w:rsidRPr="009851E0">
        <w:rPr>
          <w:lang w:val="ru-RU"/>
        </w:rPr>
        <w:t xml:space="preserve">ения, которое приводится ниже. </w:t>
      </w:r>
    </w:p>
    <w:p w:rsidR="00542F98" w:rsidRPr="009851E0" w:rsidRDefault="00542F98" w:rsidP="00542F98">
      <w:pPr>
        <w:rPr>
          <w:lang w:val="ru-RU"/>
        </w:rPr>
      </w:pPr>
      <w:r w:rsidRPr="009851E0">
        <w:rPr>
          <w:lang w:val="ru-RU"/>
        </w:rPr>
        <w:t xml:space="preserve">В ходе аудита все вопросы разъяснялись и обсуждались с ответственными сотрудниками. </w:t>
      </w:r>
    </w:p>
    <w:p w:rsidR="00542F98" w:rsidRPr="009851E0" w:rsidRDefault="00542F98" w:rsidP="00542F98">
      <w:pPr>
        <w:rPr>
          <w:lang w:val="ru-RU"/>
        </w:rPr>
      </w:pPr>
      <w:r w:rsidRPr="009851E0">
        <w:rPr>
          <w:lang w:val="ru-RU"/>
        </w:rPr>
        <w:t xml:space="preserve">Наша группа регулярно проводила обсуждения с г-ном Алассаном Ба, руководителем Департамента управления финансовыми ресурсами МСЭ, и сотрудниками его департамента, а также с сотрудниками других департаментов, в зависимости от рассматриваемого вопроса. </w:t>
      </w:r>
    </w:p>
    <w:p w:rsidR="00542F98" w:rsidRPr="009851E0" w:rsidRDefault="00542F98" w:rsidP="00192589">
      <w:pPr>
        <w:rPr>
          <w:lang w:val="ru-RU"/>
        </w:rPr>
      </w:pPr>
      <w:r w:rsidRPr="009851E0">
        <w:rPr>
          <w:lang w:val="ru-RU"/>
        </w:rPr>
        <w:t>Резул</w:t>
      </w:r>
      <w:r w:rsidR="00966394" w:rsidRPr="009851E0">
        <w:rPr>
          <w:lang w:val="ru-RU"/>
        </w:rPr>
        <w:t xml:space="preserve">ьтаты аудита были представлены </w:t>
      </w:r>
      <w:r w:rsidR="00192589" w:rsidRPr="009851E0">
        <w:rPr>
          <w:lang w:val="ru-RU"/>
        </w:rPr>
        <w:t>19 июня</w:t>
      </w:r>
      <w:r w:rsidR="00966394" w:rsidRPr="009851E0">
        <w:rPr>
          <w:lang w:val="ru-RU"/>
        </w:rPr>
        <w:t xml:space="preserve"> 201</w:t>
      </w:r>
      <w:r w:rsidR="00192589" w:rsidRPr="009851E0">
        <w:rPr>
          <w:lang w:val="ru-RU"/>
        </w:rPr>
        <w:t>8</w:t>
      </w:r>
      <w:r w:rsidRPr="009851E0">
        <w:rPr>
          <w:lang w:val="ru-RU"/>
        </w:rPr>
        <w:t xml:space="preserve"> года. </w:t>
      </w:r>
    </w:p>
    <w:p w:rsidR="00542F98" w:rsidRPr="009851E0" w:rsidRDefault="00542F98" w:rsidP="00192589">
      <w:pPr>
        <w:rPr>
          <w:lang w:val="ru-RU"/>
        </w:rPr>
      </w:pPr>
      <w:r w:rsidRPr="009851E0">
        <w:rPr>
          <w:lang w:val="ru-RU"/>
        </w:rPr>
        <w:t>В том что касается комментариев Генерального секретаря, которые следует включить в настоящий отчет согласно пункту 9 Дополнительных полномочий по внешней аудиторской проверке, Генеральный секретар</w:t>
      </w:r>
      <w:r w:rsidR="00192589" w:rsidRPr="009851E0">
        <w:rPr>
          <w:lang w:val="ru-RU"/>
        </w:rPr>
        <w:t xml:space="preserve">ь </w:t>
      </w:r>
      <w:r w:rsidRPr="009851E0">
        <w:rPr>
          <w:lang w:val="ru-RU"/>
        </w:rPr>
        <w:t xml:space="preserve">уведомил нас через своих коллег о том, что он направит нам свои комментарии. Эти комментарии были получены </w:t>
      </w:r>
      <w:r w:rsidR="00192589" w:rsidRPr="009851E0">
        <w:rPr>
          <w:lang w:val="ru-RU"/>
        </w:rPr>
        <w:t>22 июня</w:t>
      </w:r>
      <w:r w:rsidR="00966394" w:rsidRPr="009851E0">
        <w:rPr>
          <w:lang w:val="ru-RU"/>
        </w:rPr>
        <w:t xml:space="preserve"> 201</w:t>
      </w:r>
      <w:r w:rsidR="00192589" w:rsidRPr="009851E0">
        <w:rPr>
          <w:lang w:val="ru-RU"/>
        </w:rPr>
        <w:t>8</w:t>
      </w:r>
      <w:r w:rsidRPr="009851E0">
        <w:rPr>
          <w:lang w:val="ru-RU"/>
        </w:rPr>
        <w:t xml:space="preserve"> года и были должным образом включены в настоящий отчет. </w:t>
      </w:r>
    </w:p>
    <w:p w:rsidR="00542F98" w:rsidRPr="009851E0" w:rsidRDefault="00542F98" w:rsidP="004B6966">
      <w:pPr>
        <w:rPr>
          <w:lang w:val="ru-RU"/>
        </w:rPr>
      </w:pPr>
      <w:r w:rsidRPr="009851E0">
        <w:rPr>
          <w:lang w:val="ru-RU"/>
        </w:rPr>
        <w:t xml:space="preserve">Мы проверили Отчет о финансовой деятельности МСЭ в отношении счетов </w:t>
      </w:r>
      <w:r w:rsidR="004B6966" w:rsidRPr="009851E0">
        <w:rPr>
          <w:lang w:val="ru-RU"/>
        </w:rPr>
        <w:t>О</w:t>
      </w:r>
      <w:r w:rsidRPr="009851E0">
        <w:rPr>
          <w:lang w:val="ru-RU"/>
        </w:rPr>
        <w:t>рганизации, который касается финансовых результатов по состоянию на 31 декабря 201</w:t>
      </w:r>
      <w:r w:rsidR="00192589" w:rsidRPr="009851E0">
        <w:rPr>
          <w:lang w:val="ru-RU"/>
        </w:rPr>
        <w:t>7</w:t>
      </w:r>
      <w:r w:rsidRPr="009851E0">
        <w:rPr>
          <w:lang w:val="ru-RU"/>
        </w:rPr>
        <w:t xml:space="preserve"> года, представленных в соответствии со Статьей 28 </w:t>
      </w:r>
      <w:r w:rsidRPr="009851E0">
        <w:rPr>
          <w:i/>
          <w:iCs/>
          <w:lang w:val="ru-RU"/>
        </w:rPr>
        <w:t xml:space="preserve">Финансового регламента (издания 2010 г.). </w:t>
      </w:r>
    </w:p>
    <w:p w:rsidR="00542F98" w:rsidRPr="009851E0" w:rsidRDefault="0040244D" w:rsidP="00192589">
      <w:pPr>
        <w:rPr>
          <w:lang w:val="ru-RU"/>
        </w:rPr>
      </w:pPr>
      <w:r w:rsidRPr="009851E0">
        <w:rPr>
          <w:lang w:val="ru-RU"/>
        </w:rPr>
        <w:t>Отчет руководства</w:t>
      </w:r>
      <w:r w:rsidR="00542F98" w:rsidRPr="009851E0">
        <w:rPr>
          <w:lang w:val="ru-RU"/>
        </w:rPr>
        <w:t>, касающ</w:t>
      </w:r>
      <w:r w:rsidRPr="009851E0">
        <w:rPr>
          <w:lang w:val="ru-RU"/>
        </w:rPr>
        <w:t>ий</w:t>
      </w:r>
      <w:r w:rsidR="00542F98" w:rsidRPr="009851E0">
        <w:rPr>
          <w:lang w:val="ru-RU"/>
        </w:rPr>
        <w:t>ся счетов за 201</w:t>
      </w:r>
      <w:r w:rsidR="00192589" w:rsidRPr="009851E0">
        <w:rPr>
          <w:lang w:val="ru-RU"/>
        </w:rPr>
        <w:t>7</w:t>
      </w:r>
      <w:r w:rsidR="00542F98" w:rsidRPr="009851E0">
        <w:rPr>
          <w:lang w:val="ru-RU"/>
        </w:rPr>
        <w:t xml:space="preserve"> финансовый год и подписанн</w:t>
      </w:r>
      <w:r w:rsidRPr="009851E0">
        <w:rPr>
          <w:lang w:val="ru-RU"/>
        </w:rPr>
        <w:t>ый</w:t>
      </w:r>
      <w:r w:rsidR="00542F98" w:rsidRPr="009851E0">
        <w:rPr>
          <w:lang w:val="ru-RU"/>
        </w:rPr>
        <w:t xml:space="preserve"> Генеральным секретарем и руководителем Департамента управления финансовыми ресурсами</w:t>
      </w:r>
      <w:r w:rsidR="00192589" w:rsidRPr="009851E0">
        <w:rPr>
          <w:lang w:val="ru-RU"/>
        </w:rPr>
        <w:t xml:space="preserve"> 26 марта 2018 года</w:t>
      </w:r>
      <w:r w:rsidR="00542F98" w:rsidRPr="009851E0">
        <w:rPr>
          <w:lang w:val="ru-RU"/>
        </w:rPr>
        <w:t xml:space="preserve">, включен в финансовую отчетность и является неотъемлемой частью документации по аудиту. </w:t>
      </w:r>
    </w:p>
    <w:p w:rsidR="00542F98" w:rsidRPr="009851E0" w:rsidRDefault="00542F98" w:rsidP="00192589">
      <w:pPr>
        <w:rPr>
          <w:lang w:val="ru-RU"/>
        </w:rPr>
      </w:pPr>
      <w:r w:rsidRPr="009851E0">
        <w:rPr>
          <w:lang w:val="ru-RU"/>
        </w:rPr>
        <w:t>Мы получили также Отчет о внутреннем контроле за 201</w:t>
      </w:r>
      <w:r w:rsidR="00192589" w:rsidRPr="009851E0">
        <w:rPr>
          <w:lang w:val="ru-RU"/>
        </w:rPr>
        <w:t>7</w:t>
      </w:r>
      <w:r w:rsidRPr="009851E0">
        <w:rPr>
          <w:lang w:val="ru-RU"/>
        </w:rPr>
        <w:t xml:space="preserve"> год, подписанный Генеральным секретарем </w:t>
      </w:r>
      <w:r w:rsidR="00192589" w:rsidRPr="009851E0">
        <w:rPr>
          <w:lang w:val="ru-RU"/>
        </w:rPr>
        <w:t>26</w:t>
      </w:r>
      <w:r w:rsidRPr="009851E0">
        <w:rPr>
          <w:lang w:val="ru-RU"/>
        </w:rPr>
        <w:t xml:space="preserve"> марта 201</w:t>
      </w:r>
      <w:r w:rsidR="00192589" w:rsidRPr="009851E0">
        <w:rPr>
          <w:lang w:val="ru-RU"/>
        </w:rPr>
        <w:t>8</w:t>
      </w:r>
      <w:r w:rsidRPr="009851E0">
        <w:rPr>
          <w:lang w:val="ru-RU"/>
        </w:rPr>
        <w:t xml:space="preserve"> года. </w:t>
      </w:r>
    </w:p>
    <w:p w:rsidR="008715F6" w:rsidRPr="009851E0" w:rsidRDefault="001852BF" w:rsidP="001852BF">
      <w:pPr>
        <w:rPr>
          <w:lang w:val="ru-RU"/>
        </w:rPr>
      </w:pPr>
      <w:r w:rsidRPr="009851E0">
        <w:rPr>
          <w:lang w:val="ru-RU"/>
        </w:rPr>
        <w:t xml:space="preserve">Генеральный секретарь </w:t>
      </w:r>
      <w:r w:rsidR="008715F6" w:rsidRPr="009851E0">
        <w:rPr>
          <w:lang w:val="ru-RU"/>
        </w:rPr>
        <w:t>16 марта 2018 года</w:t>
      </w:r>
      <w:r w:rsidRPr="009851E0">
        <w:rPr>
          <w:lang w:val="ru-RU"/>
        </w:rPr>
        <w:t xml:space="preserve"> сообщил нашему президенту, что руководство обнаружило случай недобросовестных действий в одном из региональных отделений, не охватываемых нашей аудиторской проверкой</w:t>
      </w:r>
      <w:r w:rsidR="008715F6" w:rsidRPr="009851E0">
        <w:rPr>
          <w:lang w:val="ru-RU"/>
        </w:rPr>
        <w:t>.</w:t>
      </w:r>
    </w:p>
    <w:p w:rsidR="008715F6" w:rsidRPr="009851E0" w:rsidRDefault="001852BF" w:rsidP="001852BF">
      <w:pPr>
        <w:rPr>
          <w:lang w:val="ru-RU"/>
        </w:rPr>
      </w:pPr>
      <w:r w:rsidRPr="009851E0">
        <w:rPr>
          <w:lang w:val="ru-RU"/>
        </w:rPr>
        <w:t>Впоследствии Генеральный секретарь сообщил, что расследованием, проведенным руководством, было установлено, что недобросовестные отношения, вызванные конфликтом интересов в области закупок, имели место на протяжении нескольких лет</w:t>
      </w:r>
      <w:r w:rsidR="008715F6" w:rsidRPr="009851E0">
        <w:rPr>
          <w:lang w:val="ru-RU"/>
        </w:rPr>
        <w:t xml:space="preserve">; </w:t>
      </w:r>
      <w:r w:rsidRPr="009851E0">
        <w:rPr>
          <w:lang w:val="ru-RU"/>
        </w:rPr>
        <w:t>в то же время воздействие на финансовую отчетность за 2017 год было незначительным</w:t>
      </w:r>
      <w:r w:rsidR="008715F6" w:rsidRPr="009851E0">
        <w:rPr>
          <w:lang w:val="ru-RU"/>
        </w:rPr>
        <w:t>.</w:t>
      </w:r>
    </w:p>
    <w:p w:rsidR="008715F6" w:rsidRPr="009851E0" w:rsidRDefault="00A1328D" w:rsidP="00A1328D">
      <w:pPr>
        <w:rPr>
          <w:lang w:val="ru-RU"/>
        </w:rPr>
      </w:pPr>
      <w:r w:rsidRPr="009851E0">
        <w:rPr>
          <w:lang w:val="ru-RU"/>
        </w:rPr>
        <w:t>На основании Финансового регламента и Финансовых правил МСЭ, Статья </w:t>
      </w:r>
      <w:r w:rsidR="008715F6" w:rsidRPr="009851E0">
        <w:rPr>
          <w:lang w:val="ru-RU"/>
        </w:rPr>
        <w:t>28</w:t>
      </w:r>
      <w:r w:rsidRPr="009851E0">
        <w:rPr>
          <w:lang w:val="ru-RU"/>
        </w:rPr>
        <w:t>, Приложение </w:t>
      </w:r>
      <w:r w:rsidR="008715F6" w:rsidRPr="009851E0">
        <w:rPr>
          <w:lang w:val="ru-RU"/>
        </w:rPr>
        <w:t>1 (</w:t>
      </w:r>
      <w:r w:rsidRPr="009851E0">
        <w:rPr>
          <w:color w:val="000000"/>
          <w:lang w:val="ru-RU"/>
        </w:rPr>
        <w:t>Дополнительные полномочия, регулирующие внешнюю проверку отчетности</w:t>
      </w:r>
      <w:r w:rsidR="008715F6" w:rsidRPr="009851E0">
        <w:rPr>
          <w:lang w:val="ru-RU"/>
        </w:rPr>
        <w:t>)</w:t>
      </w:r>
      <w:r w:rsidRPr="009851E0">
        <w:rPr>
          <w:lang w:val="ru-RU"/>
        </w:rPr>
        <w:t>, пункт </w:t>
      </w:r>
      <w:r w:rsidR="008715F6" w:rsidRPr="009851E0">
        <w:rPr>
          <w:lang w:val="ru-RU"/>
        </w:rPr>
        <w:t xml:space="preserve">6. c), i), </w:t>
      </w:r>
      <w:r w:rsidRPr="009851E0">
        <w:rPr>
          <w:lang w:val="ru-RU"/>
        </w:rPr>
        <w:t>и в соответствии со стандартами</w:t>
      </w:r>
      <w:r w:rsidR="008715F6" w:rsidRPr="009851E0">
        <w:rPr>
          <w:lang w:val="ru-RU"/>
        </w:rPr>
        <w:t xml:space="preserve"> ISA 240 </w:t>
      </w:r>
      <w:r w:rsidRPr="009851E0">
        <w:rPr>
          <w:lang w:val="ru-RU"/>
        </w:rPr>
        <w:t>и</w:t>
      </w:r>
      <w:r w:rsidR="008715F6" w:rsidRPr="009851E0">
        <w:rPr>
          <w:lang w:val="ru-RU"/>
        </w:rPr>
        <w:t xml:space="preserve"> </w:t>
      </w:r>
      <w:r w:rsidRPr="009851E0">
        <w:rPr>
          <w:color w:val="000000"/>
          <w:lang w:val="ru-RU"/>
        </w:rPr>
        <w:t xml:space="preserve">МСВРУ </w:t>
      </w:r>
      <w:r w:rsidR="008715F6" w:rsidRPr="009851E0">
        <w:rPr>
          <w:lang w:val="ru-RU"/>
        </w:rPr>
        <w:t>1240</w:t>
      </w:r>
      <w:r w:rsidRPr="009851E0">
        <w:rPr>
          <w:lang w:val="ru-RU"/>
        </w:rPr>
        <w:t xml:space="preserve"> мы проанализировали представленную информацию и пришли к выводу, что сумма, о которой идет речь, не сказалась существенно на счетах за </w:t>
      </w:r>
      <w:r w:rsidR="008715F6" w:rsidRPr="009851E0">
        <w:rPr>
          <w:lang w:val="ru-RU"/>
        </w:rPr>
        <w:t>2017</w:t>
      </w:r>
      <w:r w:rsidRPr="009851E0">
        <w:rPr>
          <w:lang w:val="ru-RU"/>
        </w:rPr>
        <w:t> год в целом</w:t>
      </w:r>
      <w:r w:rsidR="008715F6" w:rsidRPr="009851E0">
        <w:rPr>
          <w:lang w:val="ru-RU"/>
        </w:rPr>
        <w:t xml:space="preserve"> accounts. </w:t>
      </w:r>
      <w:r w:rsidRPr="009851E0">
        <w:rPr>
          <w:lang w:val="ru-RU"/>
        </w:rPr>
        <w:t>Руководство заверило нас, что принимаются дополнительные меры</w:t>
      </w:r>
      <w:r w:rsidR="008715F6" w:rsidRPr="009851E0">
        <w:rPr>
          <w:lang w:val="ru-RU"/>
        </w:rPr>
        <w:t>.</w:t>
      </w:r>
    </w:p>
    <w:p w:rsidR="008715F6" w:rsidRPr="009851E0" w:rsidRDefault="00EF3D06" w:rsidP="009D5F30">
      <w:pPr>
        <w:rPr>
          <w:lang w:val="ru-RU"/>
        </w:rPr>
      </w:pPr>
      <w:r w:rsidRPr="009851E0">
        <w:rPr>
          <w:lang w:val="ru-RU"/>
        </w:rPr>
        <w:t>Что касается положений стандарта</w:t>
      </w:r>
      <w:r w:rsidR="008715F6" w:rsidRPr="009851E0">
        <w:rPr>
          <w:lang w:val="ru-RU"/>
        </w:rPr>
        <w:t xml:space="preserve"> ISA 240, </w:t>
      </w:r>
      <w:r w:rsidRPr="009851E0">
        <w:rPr>
          <w:lang w:val="ru-RU"/>
        </w:rPr>
        <w:t>согласно которому</w:t>
      </w:r>
      <w:r w:rsidR="008715F6" w:rsidRPr="009851E0">
        <w:rPr>
          <w:lang w:val="ru-RU"/>
        </w:rPr>
        <w:t xml:space="preserve"> "</w:t>
      </w:r>
      <w:r w:rsidRPr="009851E0">
        <w:rPr>
          <w:i/>
          <w:iCs/>
          <w:lang w:val="ru-RU"/>
        </w:rPr>
        <w:t xml:space="preserve">аудитор должен сообщить </w:t>
      </w:r>
      <w:r w:rsidR="009D5F30" w:rsidRPr="009851E0">
        <w:rPr>
          <w:i/>
          <w:iCs/>
          <w:lang w:val="ru-RU"/>
        </w:rPr>
        <w:t>тем лицам, которым поручено осуществлять управление, о случае недобросовестных отношений и любых других вопросах, касающихся недобросовестных отношений, которые, по мнению аудитора, имеют отношение к их обязанностям</w:t>
      </w:r>
      <w:r w:rsidR="009D5F30" w:rsidRPr="009851E0">
        <w:rPr>
          <w:lang w:val="ru-RU"/>
        </w:rPr>
        <w:t xml:space="preserve"> </w:t>
      </w:r>
      <w:r w:rsidR="008715F6" w:rsidRPr="009851E0">
        <w:rPr>
          <w:lang w:val="ru-RU"/>
        </w:rPr>
        <w:t>" (</w:t>
      </w:r>
      <w:r w:rsidR="009D5F30" w:rsidRPr="009851E0">
        <w:rPr>
          <w:lang w:val="ru-RU"/>
        </w:rPr>
        <w:t>пункт </w:t>
      </w:r>
      <w:r w:rsidR="008715F6" w:rsidRPr="009851E0">
        <w:rPr>
          <w:lang w:val="ru-RU"/>
        </w:rPr>
        <w:t xml:space="preserve">42), </w:t>
      </w:r>
      <w:r w:rsidR="009D5F30" w:rsidRPr="009851E0">
        <w:rPr>
          <w:lang w:val="ru-RU"/>
        </w:rPr>
        <w:t>мы напоминаем, что часть наших текущих и прошлых наблюдений и последующих предложений и рекомендаций имеет целью совершенствование системы внутреннего контроля с целью предотвращения недобросовестных отношений и существенных искажений положения дел в области закупок</w:t>
      </w:r>
      <w:r w:rsidR="008715F6" w:rsidRPr="009851E0">
        <w:rPr>
          <w:lang w:val="ru-RU"/>
        </w:rPr>
        <w:t>.</w:t>
      </w:r>
    </w:p>
    <w:p w:rsidR="00542F98" w:rsidRPr="009851E0" w:rsidRDefault="00542F98" w:rsidP="008715F6">
      <w:pPr>
        <w:rPr>
          <w:lang w:val="ru-RU"/>
        </w:rPr>
      </w:pPr>
      <w:r w:rsidRPr="009851E0">
        <w:rPr>
          <w:lang w:val="ru-RU"/>
        </w:rPr>
        <w:t xml:space="preserve">Мы отметили результаты нашей аудиторской деятельности как "рекомендации" и "предложения". В то время как рекомендации относятся к процессу дальнейшего отслеживания, осуществляемого Рабочей группой совета по финансовым и людским ресурсам, предложения отслеживаются только Внешним аудитором. Однако, в принципе, Совет МСЭ, следуя рекомендациям Независимого консультативного комитета по управлению (IMAC), может просить Генерального секретаря реализовать "предложение", если сочтет это необходимым. </w:t>
      </w:r>
    </w:p>
    <w:p w:rsidR="00542F98" w:rsidRPr="009851E0" w:rsidRDefault="00542F98" w:rsidP="008715F6">
      <w:pPr>
        <w:rPr>
          <w:lang w:val="ru-RU"/>
        </w:rPr>
      </w:pPr>
      <w:r w:rsidRPr="009851E0">
        <w:rPr>
          <w:lang w:val="ru-RU"/>
        </w:rPr>
        <w:t xml:space="preserve">Кроме того, согласно пункту 6 раздела </w:t>
      </w:r>
      <w:r w:rsidRPr="009851E0">
        <w:rPr>
          <w:i/>
          <w:iCs/>
          <w:lang w:val="ru-RU"/>
        </w:rPr>
        <w:t>решает</w:t>
      </w:r>
      <w:r w:rsidRPr="009851E0">
        <w:rPr>
          <w:lang w:val="ru-RU"/>
        </w:rPr>
        <w:t xml:space="preserve"> Резолюции 11 (Пересм. Пусан, 2014 г.) мы проверили счета Всемирного</w:t>
      </w:r>
      <w:r w:rsidR="00966394" w:rsidRPr="009851E0">
        <w:rPr>
          <w:lang w:val="ru-RU"/>
        </w:rPr>
        <w:t xml:space="preserve"> мероприятия ITU Telecom за 201</w:t>
      </w:r>
      <w:r w:rsidR="008715F6" w:rsidRPr="009851E0">
        <w:rPr>
          <w:lang w:val="ru-RU"/>
        </w:rPr>
        <w:t>7</w:t>
      </w:r>
      <w:r w:rsidRPr="009851E0">
        <w:rPr>
          <w:lang w:val="ru-RU"/>
        </w:rPr>
        <w:t xml:space="preserve"> год. </w:t>
      </w:r>
    </w:p>
    <w:p w:rsidR="00542F98" w:rsidRPr="009851E0" w:rsidRDefault="00542F98" w:rsidP="00542F98">
      <w:pPr>
        <w:rPr>
          <w:lang w:val="ru-RU"/>
        </w:rPr>
      </w:pPr>
      <w:r w:rsidRPr="009851E0">
        <w:rPr>
          <w:lang w:val="ru-RU"/>
        </w:rPr>
        <w:t xml:space="preserve">Наконец, мы хотим выразить благодарность за любезность и готовность к сотрудничеству, проявленную всеми сотрудниками МСЭ, к которым мы обращались за информацией и документами. </w:t>
      </w:r>
    </w:p>
    <w:p w:rsidR="00542F98" w:rsidRPr="009851E0" w:rsidRDefault="00542F98" w:rsidP="00542F98">
      <w:pPr>
        <w:rPr>
          <w:lang w:val="ru-RU"/>
        </w:rPr>
      </w:pPr>
      <w:r w:rsidRPr="009851E0">
        <w:rPr>
          <w:lang w:val="ru-RU"/>
        </w:rPr>
        <w:br w:type="page"/>
      </w:r>
    </w:p>
    <w:p w:rsidR="00DE3B69" w:rsidRPr="009851E0" w:rsidRDefault="00DE3B69" w:rsidP="00DE3B69">
      <w:pPr>
        <w:spacing w:before="4000"/>
        <w:ind w:left="4253" w:right="108"/>
        <w:rPr>
          <w:lang w:val="ru-RU"/>
        </w:rPr>
      </w:pPr>
      <w:r w:rsidRPr="009851E0">
        <w:rPr>
          <w:noProof/>
          <w:lang w:val="en-US" w:eastAsia="zh-CN"/>
        </w:rPr>
        <w:drawing>
          <wp:inline distT="0" distB="0" distL="0" distR="0" wp14:anchorId="14B6432E" wp14:editId="2F3BFC3A">
            <wp:extent cx="796060" cy="895082"/>
            <wp:effectExtent l="0" t="0" r="4445" b="63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_repubbli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162" cy="895197"/>
                    </a:xfrm>
                    <a:prstGeom prst="rect">
                      <a:avLst/>
                    </a:prstGeom>
                  </pic:spPr>
                </pic:pic>
              </a:graphicData>
            </a:graphic>
          </wp:inline>
        </w:drawing>
      </w:r>
    </w:p>
    <w:p w:rsidR="00DE3B69" w:rsidRPr="009851E0" w:rsidRDefault="00DE3B69" w:rsidP="00DE3B69">
      <w:pPr>
        <w:ind w:right="107"/>
        <w:jc w:val="center"/>
        <w:rPr>
          <w:lang w:val="ru-RU"/>
        </w:rPr>
      </w:pPr>
      <w:r w:rsidRPr="009851E0">
        <w:rPr>
          <w:rFonts w:ascii="Kunstler Script" w:hAnsi="Kunstler Script"/>
          <w:sz w:val="72"/>
          <w:szCs w:val="72"/>
          <w:lang w:val="ru-RU"/>
        </w:rPr>
        <w:t>Corte dei conti</w:t>
      </w:r>
    </w:p>
    <w:p w:rsidR="00DE3B69" w:rsidRPr="009851E0" w:rsidRDefault="00DE3B69" w:rsidP="00DE3B69">
      <w:pPr>
        <w:jc w:val="center"/>
        <w:rPr>
          <w:lang w:val="ru-RU"/>
        </w:rPr>
      </w:pPr>
      <w:r w:rsidRPr="009851E0">
        <w:rPr>
          <w:lang w:val="ru-RU"/>
        </w:rPr>
        <w:t>Государственная счетная палата Италии</w:t>
      </w:r>
    </w:p>
    <w:p w:rsidR="00542F98" w:rsidRPr="009851E0" w:rsidRDefault="00542F98" w:rsidP="00DE3B69">
      <w:pPr>
        <w:pStyle w:val="Heading1"/>
        <w:jc w:val="center"/>
        <w:rPr>
          <w:lang w:val="ru-RU"/>
        </w:rPr>
      </w:pPr>
      <w:bookmarkStart w:id="39" w:name="_Toc452157289"/>
      <w:bookmarkStart w:id="40" w:name="_Toc482995156"/>
      <w:bookmarkStart w:id="41" w:name="_Toc522633553"/>
      <w:r w:rsidRPr="009851E0">
        <w:rPr>
          <w:lang w:val="ru-RU"/>
        </w:rPr>
        <w:t>АУДИТОРСКОЕ ЗАКЛЮЧЕНИЕ</w:t>
      </w:r>
      <w:bookmarkEnd w:id="39"/>
      <w:bookmarkEnd w:id="40"/>
      <w:bookmarkEnd w:id="41"/>
    </w:p>
    <w:p w:rsidR="003B02F4" w:rsidRPr="009851E0" w:rsidRDefault="003B02F4" w:rsidP="00787EAC">
      <w:pPr>
        <w:pStyle w:val="Headingb"/>
        <w:spacing w:before="480"/>
        <w:rPr>
          <w:lang w:val="ru-RU"/>
        </w:rPr>
      </w:pPr>
      <w:bookmarkStart w:id="42" w:name="_Toc482995157"/>
      <w:bookmarkStart w:id="43" w:name="_Toc358192819"/>
      <w:bookmarkStart w:id="44" w:name="_Toc398125304"/>
      <w:bookmarkStart w:id="45" w:name="_Toc398125783"/>
      <w:r w:rsidRPr="009851E0">
        <w:rPr>
          <w:lang w:val="ru-RU"/>
        </w:rPr>
        <w:t>Заключение аудиторской проверки</w:t>
      </w:r>
      <w:bookmarkEnd w:id="42"/>
    </w:p>
    <w:p w:rsidR="003B02F4" w:rsidRPr="009851E0" w:rsidRDefault="003B02F4" w:rsidP="00F35E0E">
      <w:pPr>
        <w:rPr>
          <w:rFonts w:cs="Calibri"/>
          <w:lang w:val="ru-RU" w:eastAsia="zh-CN"/>
        </w:rPr>
      </w:pPr>
      <w:r w:rsidRPr="009851E0">
        <w:rPr>
          <w:lang w:val="ru-RU"/>
        </w:rPr>
        <w:t>Мы провели аудиторскую проверку финансовой отчетности Международного союза электросвязи (МСЭ), которая включает отчет о финансовом положении на 31 декабря 201</w:t>
      </w:r>
      <w:r w:rsidR="00F35E0E" w:rsidRPr="009851E0">
        <w:rPr>
          <w:lang w:val="ru-RU"/>
        </w:rPr>
        <w:t>7</w:t>
      </w:r>
      <w:r w:rsidRPr="009851E0">
        <w:rPr>
          <w:lang w:val="ru-RU"/>
        </w:rPr>
        <w:t xml:space="preserve"> года, отчет о результатах финансовой деятельности, </w:t>
      </w:r>
      <w:r w:rsidRPr="009851E0">
        <w:rPr>
          <w:rFonts w:cs="Calibri"/>
          <w:lang w:val="ru-RU" w:eastAsia="zh-CN"/>
        </w:rPr>
        <w:t>отчет об изменениях в чистых активах, таблицу движения денежных средств и сравнение предусмотренных в бюджете сумм и фактических сумм за фи</w:t>
      </w:r>
      <w:r w:rsidR="00F35E0E" w:rsidRPr="009851E0">
        <w:rPr>
          <w:rFonts w:cs="Calibri"/>
          <w:lang w:val="ru-RU" w:eastAsia="zh-CN"/>
        </w:rPr>
        <w:t>нансовый период 2017</w:t>
      </w:r>
      <w:r w:rsidRPr="009851E0">
        <w:rPr>
          <w:rFonts w:cs="Calibri"/>
          <w:lang w:val="ru-RU" w:eastAsia="zh-CN"/>
        </w:rPr>
        <w:t xml:space="preserve"> года, а также примечания к </w:t>
      </w:r>
      <w:r w:rsidRPr="009851E0">
        <w:rPr>
          <w:color w:val="000000"/>
          <w:lang w:val="ru-RU"/>
        </w:rPr>
        <w:t xml:space="preserve">финансовой отчетности, в том числе </w:t>
      </w:r>
      <w:r w:rsidRPr="009851E0">
        <w:rPr>
          <w:rFonts w:cs="Segoe UI"/>
          <w:color w:val="000000"/>
          <w:lang w:val="ru-RU"/>
        </w:rPr>
        <w:t>краткое описание основных методов бухгалтерского учета и другую пояснительную информацию.</w:t>
      </w:r>
      <w:r w:rsidRPr="009851E0">
        <w:rPr>
          <w:rFonts w:cs="Calibri"/>
          <w:lang w:val="ru-RU" w:eastAsia="zh-CN"/>
        </w:rPr>
        <w:t xml:space="preserve"> </w:t>
      </w:r>
    </w:p>
    <w:p w:rsidR="003B02F4" w:rsidRPr="009851E0" w:rsidRDefault="003B02F4" w:rsidP="00787EAC">
      <w:pPr>
        <w:rPr>
          <w:lang w:val="ru-RU"/>
        </w:rPr>
      </w:pPr>
      <w:r w:rsidRPr="009851E0">
        <w:rPr>
          <w:lang w:val="ru-RU"/>
        </w:rPr>
        <w:t>По нашему мнению, прилагаемая финансовая отчетность МСЭ за 2016 год во всех существенных отношениях четко отражает финансовое положение Международного союза элект</w:t>
      </w:r>
      <w:r w:rsidR="00F35E0E" w:rsidRPr="009851E0">
        <w:rPr>
          <w:lang w:val="ru-RU"/>
        </w:rPr>
        <w:t>росвязи (МСЭ) на 31 декабря 2017</w:t>
      </w:r>
      <w:r w:rsidRPr="009851E0">
        <w:rPr>
          <w:lang w:val="ru-RU"/>
        </w:rPr>
        <w:t xml:space="preserve"> года, а также результаты его финансовой деятельности, изменения в чистых активах, </w:t>
      </w:r>
      <w:r w:rsidRPr="009851E0">
        <w:rPr>
          <w:rFonts w:cs="Calibri"/>
          <w:lang w:val="ru-RU" w:eastAsia="zh-CN"/>
        </w:rPr>
        <w:t xml:space="preserve">движение денежных средств и сравнение предусмотренных в бюджете сумм и фактических сумм за год, завершившийся на указанную дату, в соответствии со стандартами </w:t>
      </w:r>
      <w:r w:rsidRPr="009851E0">
        <w:rPr>
          <w:lang w:val="ru-RU"/>
        </w:rPr>
        <w:t>IPSAS, а также Финансовым регламентом и Финансовыми правилами МСЭ.</w:t>
      </w:r>
    </w:p>
    <w:p w:rsidR="003B02F4" w:rsidRPr="009851E0" w:rsidRDefault="003B02F4" w:rsidP="00787EAC">
      <w:pPr>
        <w:pStyle w:val="Headingb"/>
        <w:rPr>
          <w:lang w:val="ru-RU"/>
        </w:rPr>
      </w:pPr>
      <w:bookmarkStart w:id="46" w:name="_Toc482995158"/>
      <w:r w:rsidRPr="009851E0">
        <w:rPr>
          <w:lang w:val="ru-RU"/>
        </w:rPr>
        <w:t>Основание для заключения</w:t>
      </w:r>
      <w:bookmarkEnd w:id="46"/>
    </w:p>
    <w:p w:rsidR="003B02F4" w:rsidRPr="009851E0" w:rsidRDefault="003B02F4" w:rsidP="00787EAC">
      <w:pPr>
        <w:rPr>
          <w:lang w:val="ru-RU"/>
        </w:rPr>
      </w:pPr>
      <w:r w:rsidRPr="009851E0">
        <w:rPr>
          <w:color w:val="000000"/>
          <w:lang w:val="ru-RU"/>
        </w:rPr>
        <w:t>Мы провели нашу аудиторскую проверку в соответствии с Международными стандартами для высших ревизионных учреждений (МСВРУ), а также Финансовым регламентом и Финансовыми правилами МСЭ</w:t>
      </w:r>
      <w:r w:rsidRPr="009851E0">
        <w:rPr>
          <w:lang w:val="ru-RU"/>
        </w:rPr>
        <w:t xml:space="preserve">. В сфере аудиторской проверки финансовой отчетности </w:t>
      </w:r>
      <w:r w:rsidRPr="009851E0">
        <w:rPr>
          <w:color w:val="000000"/>
          <w:lang w:val="ru-RU"/>
        </w:rPr>
        <w:t>МСВРУ</w:t>
      </w:r>
      <w:r w:rsidRPr="009851E0">
        <w:rPr>
          <w:lang w:val="ru-RU"/>
        </w:rPr>
        <w:t xml:space="preserve"> являются прямой транспозицией </w:t>
      </w:r>
      <w:r w:rsidRPr="009851E0">
        <w:rPr>
          <w:color w:val="000000"/>
          <w:lang w:val="ru-RU"/>
        </w:rPr>
        <w:t xml:space="preserve">Международных стандартов аудита </w:t>
      </w:r>
      <w:r w:rsidRPr="009851E0">
        <w:rPr>
          <w:lang w:val="ru-RU"/>
        </w:rPr>
        <w:t>(ISA). Государственная счетная палата Италии применяет положения ISA в той мере, в которой они соответствуют конкретным условиям проводимых аудиторских проверок. Наши обязанности в соответствии с этими стандартами подробно описаны в разделе нашего отчета об ответственности аудитора за проверку финансовой отчетности. Мы независимы от МСЭ в соответствии с этическими требованиями, касающимися проводимой нами аудиторской проверки финансовой отчетности в системе Объединенных Наций, а также мы выполнили наши иные этические обязанности в соответствии с этими требованиями. Считаем, что собранные нами доказательные данные аудита обеспечивают достаточную и адекватную основу для нашего заключения.</w:t>
      </w:r>
    </w:p>
    <w:p w:rsidR="003B02F4" w:rsidRPr="009851E0" w:rsidRDefault="003B02F4" w:rsidP="00787EAC">
      <w:pPr>
        <w:pStyle w:val="Headingb"/>
        <w:rPr>
          <w:lang w:val="ru-RU"/>
        </w:rPr>
      </w:pPr>
      <w:bookmarkStart w:id="47" w:name="_Toc482995159"/>
      <w:r w:rsidRPr="009851E0">
        <w:rPr>
          <w:lang w:val="ru-RU"/>
        </w:rPr>
        <w:t>Прочая информация</w:t>
      </w:r>
      <w:bookmarkEnd w:id="47"/>
    </w:p>
    <w:p w:rsidR="003B02F4" w:rsidRPr="009851E0" w:rsidRDefault="003B02F4" w:rsidP="00787EAC">
      <w:pPr>
        <w:rPr>
          <w:lang w:val="ru-RU"/>
        </w:rPr>
      </w:pPr>
      <w:r w:rsidRPr="009851E0">
        <w:rPr>
          <w:color w:val="000000"/>
          <w:lang w:val="ru-RU"/>
        </w:rPr>
        <w:t xml:space="preserve">Генеральный секретарь МСЭ несет ответственность </w:t>
      </w:r>
      <w:r w:rsidRPr="009851E0">
        <w:rPr>
          <w:lang w:val="ru-RU"/>
        </w:rPr>
        <w:t>за прочую информацию. К прочей информации относится представление "</w:t>
      </w:r>
      <w:r w:rsidRPr="009851E0">
        <w:rPr>
          <w:color w:val="000000"/>
          <w:lang w:val="ru-RU"/>
        </w:rPr>
        <w:t>ключевых финансовых показателей"</w:t>
      </w:r>
      <w:r w:rsidRPr="009851E0">
        <w:rPr>
          <w:lang w:val="ru-RU"/>
        </w:rPr>
        <w:t xml:space="preserve">, о которых упоминает Генеральный секретарь в своем предисловии к </w:t>
      </w:r>
      <w:r w:rsidRPr="009851E0">
        <w:rPr>
          <w:color w:val="000000"/>
          <w:lang w:val="ru-RU"/>
        </w:rPr>
        <w:t>отчету о финансовой деятельности</w:t>
      </w:r>
      <w:r w:rsidRPr="009851E0">
        <w:rPr>
          <w:lang w:val="ru-RU"/>
        </w:rPr>
        <w:t>.</w:t>
      </w:r>
    </w:p>
    <w:p w:rsidR="003B02F4" w:rsidRPr="009851E0" w:rsidRDefault="003B02F4" w:rsidP="00787EAC">
      <w:pPr>
        <w:rPr>
          <w:lang w:val="ru-RU"/>
        </w:rPr>
      </w:pPr>
      <w:r w:rsidRPr="009851E0">
        <w:rPr>
          <w:lang w:val="ru-RU"/>
        </w:rPr>
        <w:t>Наше заключение о финансовой отчетности не касается прочей информации, и мы не выражаем каким-либо образом заключение о достоверности по данному вопросу.</w:t>
      </w:r>
    </w:p>
    <w:p w:rsidR="003B02F4" w:rsidRPr="009851E0" w:rsidRDefault="003B02F4" w:rsidP="009D5F30">
      <w:pPr>
        <w:rPr>
          <w:lang w:val="ru-RU"/>
        </w:rPr>
      </w:pPr>
      <w:r w:rsidRPr="009851E0">
        <w:rPr>
          <w:lang w:val="ru-RU"/>
        </w:rPr>
        <w:t>В связи с нашей аудиторской проверкой финансовой отчетности наша ответственность заключается в том, чтобы ознакомиться с прочей информацией и, таким образом, решить, насколько эта прочая информация в существенной мере не соответствует финансовой отчетности либо нашему представлению, полученному в ходе аудита, либо иным образом представляется существенно искаженной. Если в результате проделанной нами работы мы придем к заключению, что имеется существенное искажение в этой прочей информации, то мы обязаны сообщить об этом факте. У нас нет ничего, о чем можно было бы сообщить в этом отношении.</w:t>
      </w:r>
    </w:p>
    <w:p w:rsidR="003B02F4" w:rsidRPr="009851E0" w:rsidRDefault="003B02F4" w:rsidP="00787EAC">
      <w:pPr>
        <w:pStyle w:val="Headingb"/>
        <w:rPr>
          <w:lang w:val="ru-RU"/>
        </w:rPr>
      </w:pPr>
      <w:bookmarkStart w:id="48" w:name="_Toc398125300"/>
      <w:bookmarkStart w:id="49" w:name="_Toc398125779"/>
      <w:bookmarkStart w:id="50" w:name="_Toc398127078"/>
      <w:bookmarkStart w:id="51" w:name="_Toc482995160"/>
      <w:r w:rsidRPr="009851E0">
        <w:rPr>
          <w:lang w:val="ru-RU"/>
        </w:rPr>
        <w:t>Ответственность Генерального секретаря МСЭ и тех лиц, которым поручено осуществлять управление финансовой отчетность</w:t>
      </w:r>
      <w:bookmarkEnd w:id="48"/>
      <w:bookmarkEnd w:id="49"/>
      <w:bookmarkEnd w:id="50"/>
      <w:r w:rsidRPr="009851E0">
        <w:rPr>
          <w:lang w:val="ru-RU"/>
        </w:rPr>
        <w:t>ю</w:t>
      </w:r>
      <w:bookmarkEnd w:id="51"/>
      <w:r w:rsidRPr="009851E0">
        <w:rPr>
          <w:lang w:val="ru-RU"/>
        </w:rPr>
        <w:t xml:space="preserve"> </w:t>
      </w:r>
    </w:p>
    <w:p w:rsidR="003B02F4" w:rsidRPr="009851E0" w:rsidRDefault="003B02F4" w:rsidP="00787EAC">
      <w:pPr>
        <w:rPr>
          <w:lang w:val="ru-RU"/>
        </w:rPr>
      </w:pPr>
      <w:r w:rsidRPr="009851E0">
        <w:rPr>
          <w:lang w:val="ru-RU"/>
        </w:rPr>
        <w:t>Генеральный секретарь несет ответственность за подготовку и объективное представление финансовой отчетности в соответствии с Международными стандартами финансовой отчетности для общественного сектора (стандартами IPSAS), а также за такой внутренний контроль, который Генеральный секретарь считает необходимым для обеспечения подготовки финансовой отчетности, в которой отсутствуют существенные искажения, будь то вследствие недобросовестных действий или в результате ошибок.</w:t>
      </w:r>
    </w:p>
    <w:p w:rsidR="003B02F4" w:rsidRPr="009851E0" w:rsidRDefault="003B02F4" w:rsidP="00787EAC">
      <w:pPr>
        <w:rPr>
          <w:lang w:val="ru-RU"/>
        </w:rPr>
      </w:pPr>
      <w:r w:rsidRPr="009851E0">
        <w:rPr>
          <w:lang w:val="ru-RU"/>
        </w:rPr>
        <w:t xml:space="preserve">При подготовке финансовой отчетности Генеральный секретарь отвечает за оценку </w:t>
      </w:r>
      <w:r w:rsidRPr="009851E0">
        <w:rPr>
          <w:color w:val="000000"/>
          <w:lang w:val="ru-RU"/>
        </w:rPr>
        <w:t>способности МСЭ продолжать непрерывную деятельность</w:t>
      </w:r>
      <w:r w:rsidRPr="009851E0">
        <w:rPr>
          <w:lang w:val="ru-RU"/>
        </w:rPr>
        <w:t xml:space="preserve">, раскрывая </w:t>
      </w:r>
      <w:r w:rsidRPr="009851E0">
        <w:rPr>
          <w:color w:val="000000"/>
          <w:lang w:val="ru-RU"/>
        </w:rPr>
        <w:t xml:space="preserve">в зависимости от обстоятельств вопросы, касающиеся непрерывности деятельности, и используя принцип непрерывности деятельности </w:t>
      </w:r>
      <w:r w:rsidRPr="009851E0">
        <w:rPr>
          <w:lang w:val="ru-RU"/>
        </w:rPr>
        <w:t>в отчетности</w:t>
      </w:r>
      <w:r w:rsidR="009D5F30" w:rsidRPr="009851E0">
        <w:rPr>
          <w:lang w:val="ru-RU"/>
        </w:rPr>
        <w:t>,</w:t>
      </w:r>
      <w:r w:rsidRPr="009851E0">
        <w:rPr>
          <w:lang w:val="ru-RU"/>
        </w:rPr>
        <w:t xml:space="preserve"> если только Генеральный секретарь не намерен ликвидировать организацию либо прекратить деятельность, либо не будет иметь реальной альтернативы этому.</w:t>
      </w:r>
    </w:p>
    <w:p w:rsidR="003B02F4" w:rsidRPr="009851E0" w:rsidRDefault="003B02F4" w:rsidP="00787EAC">
      <w:pPr>
        <w:rPr>
          <w:lang w:val="ru-RU"/>
        </w:rPr>
      </w:pPr>
      <w:r w:rsidRPr="009851E0">
        <w:rPr>
          <w:lang w:val="ru-RU"/>
        </w:rPr>
        <w:t>Лица, которым поручено осуществлять управление, отвечают за надзор за процессом финансовой отчетности МСЭ.</w:t>
      </w:r>
    </w:p>
    <w:p w:rsidR="003B02F4" w:rsidRPr="009851E0" w:rsidRDefault="003B02F4" w:rsidP="00787EAC">
      <w:pPr>
        <w:pStyle w:val="Headingb"/>
        <w:rPr>
          <w:lang w:val="ru-RU"/>
        </w:rPr>
      </w:pPr>
      <w:bookmarkStart w:id="52" w:name="_Toc482995161"/>
      <w:r w:rsidRPr="009851E0">
        <w:rPr>
          <w:lang w:val="ru-RU"/>
        </w:rPr>
        <w:t>Ответственность аудитора за проверку финансовой отчетности</w:t>
      </w:r>
      <w:bookmarkEnd w:id="52"/>
    </w:p>
    <w:p w:rsidR="003B02F4" w:rsidRPr="009851E0" w:rsidRDefault="003B02F4" w:rsidP="009D5F30">
      <w:pPr>
        <w:rPr>
          <w:lang w:val="ru-RU"/>
        </w:rPr>
      </w:pPr>
      <w:r w:rsidRPr="009851E0">
        <w:rPr>
          <w:lang w:val="ru-RU"/>
        </w:rPr>
        <w:t>Нашими задачами является получение достаточных гарантий того, что финансовая отчетность в целом не содержит существенных искажений, будь то в результате недобросовестных действи</w:t>
      </w:r>
      <w:r w:rsidR="009D5F30" w:rsidRPr="009851E0">
        <w:rPr>
          <w:lang w:val="ru-RU"/>
        </w:rPr>
        <w:t>й</w:t>
      </w:r>
      <w:r w:rsidRPr="009851E0">
        <w:rPr>
          <w:lang w:val="ru-RU"/>
        </w:rPr>
        <w:t xml:space="preserve"> либо ошибки, а также представление аудиторского отчета, включающего наше заключение. Достаточные гарантии − это гарантии высокого уровня, однако они не гарантируют, что проводимая в соответствии с ISA проверка всегда сможет обнаружить существенное искажение, в случае если таковое имеет место. Искажения могут быть из-за недобросовестных действий либо ошибки, и они считаются существенными, если </w:t>
      </w:r>
      <w:r w:rsidRPr="009851E0">
        <w:rPr>
          <w:color w:val="000000"/>
          <w:lang w:val="ru-RU"/>
        </w:rPr>
        <w:t>вполне разумно ожидать, что</w:t>
      </w:r>
      <w:r w:rsidR="009D5F30" w:rsidRPr="009851E0">
        <w:rPr>
          <w:color w:val="000000"/>
          <w:lang w:val="ru-RU"/>
        </w:rPr>
        <w:t>,</w:t>
      </w:r>
      <w:r w:rsidRPr="009851E0">
        <w:rPr>
          <w:lang w:val="ru-RU"/>
        </w:rPr>
        <w:t xml:space="preserve"> отдельно либо в совокупности, они могут оказать влияние на экономические решения пользователей, принимаемые на основе такой финансовой отчетности.</w:t>
      </w:r>
    </w:p>
    <w:p w:rsidR="003B02F4" w:rsidRPr="009851E0" w:rsidRDefault="003B02F4" w:rsidP="00787EAC">
      <w:pPr>
        <w:rPr>
          <w:lang w:val="ru-RU"/>
        </w:rPr>
      </w:pPr>
      <w:r w:rsidRPr="009851E0">
        <w:rPr>
          <w:lang w:val="ru-RU"/>
        </w:rPr>
        <w:t xml:space="preserve">В рамках аудиторской проверки в соответствии с ISA мы на протяжении всей проверки опираемся на профессиональные суждения и сохраняем профессиональный скептицизм. Мы также: </w:t>
      </w:r>
    </w:p>
    <w:p w:rsidR="003B02F4" w:rsidRPr="009851E0" w:rsidRDefault="003B02F4" w:rsidP="009D5F30">
      <w:pPr>
        <w:pStyle w:val="enumlev1"/>
        <w:rPr>
          <w:lang w:val="ru-RU"/>
        </w:rPr>
      </w:pPr>
      <w:r w:rsidRPr="009851E0">
        <w:rPr>
          <w:lang w:val="ru-RU"/>
        </w:rPr>
        <w:t>•</w:t>
      </w:r>
      <w:r w:rsidRPr="009851E0">
        <w:rPr>
          <w:lang w:val="ru-RU"/>
        </w:rPr>
        <w:tab/>
        <w:t>Определяем и оцениваем риски существенных искажений финансовой отчетности, будь то в результате недобросовестных действий либо ошибки, вырабатываем и проводим аудиторские процедуры с учетом этих риск</w:t>
      </w:r>
      <w:r w:rsidR="009D5F30" w:rsidRPr="009851E0">
        <w:rPr>
          <w:lang w:val="ru-RU"/>
        </w:rPr>
        <w:t>ов</w:t>
      </w:r>
      <w:r w:rsidRPr="009851E0">
        <w:rPr>
          <w:lang w:val="ru-RU"/>
        </w:rPr>
        <w:t xml:space="preserve">, а также получаем достаточные и надлежащие доказательные данные аудиторской проверки для обоснования нашего заключения. Риск необнаружения существенного искажения, появившегося в результате недобросовестных действий, выше, чем в случае искажения, связанного с ошибкой, поскольку недобросовестные действия могут включать сговор, подделку документов, преднамеренные пропуски, </w:t>
      </w:r>
      <w:r w:rsidRPr="009851E0">
        <w:rPr>
          <w:color w:val="000000"/>
          <w:lang w:val="ru-RU"/>
        </w:rPr>
        <w:t>представление неверных данных</w:t>
      </w:r>
      <w:r w:rsidRPr="009851E0">
        <w:rPr>
          <w:lang w:val="ru-RU"/>
        </w:rPr>
        <w:t xml:space="preserve">, либо попытки </w:t>
      </w:r>
      <w:r w:rsidRPr="009851E0">
        <w:rPr>
          <w:color w:val="000000"/>
          <w:lang w:val="ru-RU"/>
        </w:rPr>
        <w:t xml:space="preserve">обойти </w:t>
      </w:r>
      <w:r w:rsidRPr="009851E0">
        <w:rPr>
          <w:lang w:val="ru-RU"/>
        </w:rPr>
        <w:t>внутренний контроль.</w:t>
      </w:r>
    </w:p>
    <w:p w:rsidR="003B02F4" w:rsidRPr="009851E0" w:rsidRDefault="003B02F4" w:rsidP="00787EAC">
      <w:pPr>
        <w:pStyle w:val="enumlev1"/>
        <w:rPr>
          <w:lang w:val="ru-RU"/>
        </w:rPr>
      </w:pPr>
      <w:r w:rsidRPr="009851E0">
        <w:rPr>
          <w:lang w:val="ru-RU"/>
        </w:rPr>
        <w:t>•</w:t>
      </w:r>
      <w:r w:rsidRPr="009851E0">
        <w:rPr>
          <w:lang w:val="ru-RU"/>
        </w:rPr>
        <w:tab/>
        <w:t>Получаем представление о внутреннем контроле, касающемся аудиторской проверки, чтобы выработать соответствующие условиям процедуры аудита, однако не для целей выражения заключения об эффективности внутреннего контроля МСЭ.</w:t>
      </w:r>
    </w:p>
    <w:p w:rsidR="003B02F4" w:rsidRPr="009851E0" w:rsidRDefault="003B02F4" w:rsidP="00787EAC">
      <w:pPr>
        <w:pStyle w:val="enumlev1"/>
        <w:rPr>
          <w:lang w:val="ru-RU"/>
        </w:rPr>
      </w:pPr>
      <w:r w:rsidRPr="009851E0">
        <w:rPr>
          <w:lang w:val="ru-RU"/>
        </w:rPr>
        <w:t>•</w:t>
      </w:r>
      <w:r w:rsidRPr="009851E0">
        <w:rPr>
          <w:lang w:val="ru-RU"/>
        </w:rPr>
        <w:tab/>
      </w:r>
      <w:r w:rsidRPr="009851E0">
        <w:rPr>
          <w:color w:val="000000"/>
          <w:lang w:val="ru-RU"/>
        </w:rPr>
        <w:t>Оцениваем уместность используемой учетной политики и обоснованности учетных оценок, а также соответствующего раскрытия сведений руководством</w:t>
      </w:r>
      <w:r w:rsidRPr="009851E0">
        <w:rPr>
          <w:lang w:val="ru-RU"/>
        </w:rPr>
        <w:t xml:space="preserve">. </w:t>
      </w:r>
    </w:p>
    <w:p w:rsidR="003B02F4" w:rsidRPr="009851E0" w:rsidRDefault="003B02F4" w:rsidP="009D5F30">
      <w:pPr>
        <w:pStyle w:val="enumlev1"/>
        <w:rPr>
          <w:lang w:val="ru-RU"/>
        </w:rPr>
      </w:pPr>
      <w:r w:rsidRPr="009851E0">
        <w:rPr>
          <w:lang w:val="ru-RU"/>
        </w:rPr>
        <w:t>•</w:t>
      </w:r>
      <w:r w:rsidRPr="009851E0">
        <w:rPr>
          <w:lang w:val="ru-RU"/>
        </w:rPr>
        <w:tab/>
        <w:t>Делаем заключение о надлежащем использовании руководством при учете принципа непрерывной деятельности и, на основе полученных доказательных данных аудита, относительно существования значительн</w:t>
      </w:r>
      <w:r w:rsidR="009D5F30" w:rsidRPr="009851E0">
        <w:rPr>
          <w:lang w:val="ru-RU"/>
        </w:rPr>
        <w:t>ой неуверенности</w:t>
      </w:r>
      <w:r w:rsidRPr="009851E0">
        <w:rPr>
          <w:lang w:val="ru-RU"/>
        </w:rPr>
        <w:t>, связанной с событиями либо условиями, которые могут в значительной степени породить сомнение в способности МСЭ продолжать свою деятельность в качестве организации. Если мы придем к заключению, что существует значительная неуверенность, мы обязаны привлечь внимание в нашем аудиторском заключении к соответствующим раскрытым сведениям в финансовой отчетности либо, если такое раскрытие сведений не является надлежащим, то изменить наше заключение. Наши выводы основаны на доказательных данных аудиторской проверки, полученных вплоть до даты нашего аудиторского отчета. Тем не менее, будущие события либо условия могут заставить МСЭ перестать продолжать быть непрерывно действующей организацией.</w:t>
      </w:r>
    </w:p>
    <w:p w:rsidR="003B02F4" w:rsidRPr="009851E0" w:rsidRDefault="003B02F4" w:rsidP="00787EAC">
      <w:pPr>
        <w:pStyle w:val="enumlev1"/>
        <w:rPr>
          <w:lang w:val="ru-RU"/>
        </w:rPr>
      </w:pPr>
      <w:r w:rsidRPr="009851E0">
        <w:rPr>
          <w:lang w:val="ru-RU"/>
        </w:rPr>
        <w:t>•</w:t>
      </w:r>
      <w:r w:rsidRPr="009851E0">
        <w:rPr>
          <w:lang w:val="ru-RU"/>
        </w:rPr>
        <w:tab/>
        <w:t>Оцениваем общее представление, структуру и содержание финансовой отчетности, в том числе раскрываемые сведения, а также в достаточной ли мере финансовая отчетность представляет основные сделки и события и соответствует их объективному представлению.</w:t>
      </w:r>
    </w:p>
    <w:p w:rsidR="003B02F4" w:rsidRPr="009851E0" w:rsidRDefault="003B02F4" w:rsidP="009D5F30">
      <w:pPr>
        <w:rPr>
          <w:lang w:val="ru-RU"/>
        </w:rPr>
      </w:pPr>
      <w:r w:rsidRPr="009851E0">
        <w:rPr>
          <w:lang w:val="ru-RU"/>
        </w:rPr>
        <w:t>Мы находимся в контакте с теми лицами, которым поручено осуществлять управление в отношении, среди прочего, планирования охвата аудиторской проверки и времени ее проведения, значительных вывод</w:t>
      </w:r>
      <w:r w:rsidR="009D5F30" w:rsidRPr="009851E0">
        <w:rPr>
          <w:lang w:val="ru-RU"/>
        </w:rPr>
        <w:t>ов</w:t>
      </w:r>
      <w:r w:rsidRPr="009851E0">
        <w:rPr>
          <w:lang w:val="ru-RU"/>
        </w:rPr>
        <w:t xml:space="preserve"> аудита, в том числе наличия каких-либо значительных </w:t>
      </w:r>
      <w:r w:rsidRPr="009851E0">
        <w:rPr>
          <w:color w:val="000000"/>
          <w:lang w:val="ru-RU"/>
        </w:rPr>
        <w:t xml:space="preserve">недостатков в системе внутреннего контроля, которые </w:t>
      </w:r>
      <w:r w:rsidRPr="009851E0">
        <w:rPr>
          <w:lang w:val="ru-RU"/>
        </w:rPr>
        <w:t>мы выявили во время нашего аудита.</w:t>
      </w:r>
    </w:p>
    <w:p w:rsidR="003B02F4" w:rsidRPr="009851E0" w:rsidRDefault="003B02F4" w:rsidP="00787EAC">
      <w:pPr>
        <w:pStyle w:val="Headingb"/>
        <w:rPr>
          <w:lang w:val="ru-RU"/>
        </w:rPr>
      </w:pPr>
      <w:bookmarkStart w:id="53" w:name="_Toc482995162"/>
      <w:r w:rsidRPr="009851E0">
        <w:rPr>
          <w:lang w:val="ru-RU"/>
        </w:rPr>
        <w:t>Отчет об иных законодательных и регуляторных требованиях</w:t>
      </w:r>
      <w:bookmarkEnd w:id="53"/>
    </w:p>
    <w:p w:rsidR="003B02F4" w:rsidRPr="009851E0" w:rsidRDefault="003B02F4" w:rsidP="00787EAC">
      <w:pPr>
        <w:rPr>
          <w:lang w:val="ru-RU"/>
        </w:rPr>
      </w:pPr>
      <w:r w:rsidRPr="009851E0">
        <w:rPr>
          <w:color w:val="000000"/>
          <w:lang w:val="ru-RU"/>
        </w:rPr>
        <w:t>Кроме того</w:t>
      </w:r>
      <w:r w:rsidRPr="009851E0">
        <w:rPr>
          <w:lang w:val="ru-RU"/>
        </w:rPr>
        <w:t xml:space="preserve">, в нашем заключении сделки МСЭ, о которых нам стало известно, либо те, которые мы проверили в рамках нашей аудиторской проверки, </w:t>
      </w:r>
      <w:r w:rsidRPr="009851E0">
        <w:rPr>
          <w:color w:val="000000"/>
          <w:lang w:val="ru-RU"/>
        </w:rPr>
        <w:t>во всех существенных аспектах</w:t>
      </w:r>
      <w:r w:rsidRPr="009851E0">
        <w:rPr>
          <w:lang w:val="ru-RU"/>
        </w:rPr>
        <w:t xml:space="preserve"> соответствовали </w:t>
      </w:r>
      <w:r w:rsidRPr="009851E0">
        <w:rPr>
          <w:color w:val="000000"/>
          <w:lang w:val="ru-RU"/>
        </w:rPr>
        <w:t>Финансовому регламенту, Финансовым правилам МСЭ и его юридическим основаниям</w:t>
      </w:r>
      <w:r w:rsidRPr="009851E0">
        <w:rPr>
          <w:lang w:val="ru-RU"/>
        </w:rPr>
        <w:t>.</w:t>
      </w:r>
    </w:p>
    <w:p w:rsidR="003B02F4" w:rsidRPr="009851E0" w:rsidRDefault="003B02F4" w:rsidP="00F35E0E">
      <w:pPr>
        <w:rPr>
          <w:lang w:val="ru-RU"/>
        </w:rPr>
      </w:pPr>
      <w:r w:rsidRPr="009851E0">
        <w:rPr>
          <w:lang w:val="ru-RU"/>
        </w:rPr>
        <w:t>В соответствии с Финансовым регламентом и Финансовыми правилами МСЭ (Статья 28) и Дополнительным</w:t>
      </w:r>
      <w:r w:rsidR="004339B1" w:rsidRPr="009851E0">
        <w:rPr>
          <w:lang w:val="ru-RU"/>
        </w:rPr>
        <w:t>и</w:t>
      </w:r>
      <w:r w:rsidRPr="009851E0">
        <w:rPr>
          <w:lang w:val="ru-RU"/>
        </w:rPr>
        <w:t xml:space="preserve"> полномочиям</w:t>
      </w:r>
      <w:r w:rsidR="004339B1" w:rsidRPr="009851E0">
        <w:rPr>
          <w:lang w:val="ru-RU"/>
        </w:rPr>
        <w:t>и</w:t>
      </w:r>
      <w:r w:rsidRPr="009851E0">
        <w:rPr>
          <w:lang w:val="ru-RU"/>
        </w:rPr>
        <w:t xml:space="preserve"> по внешней аудиторской проверке счетов (Приложение I к Финансовому регламенту и Финансовым правилам МСЭ), мы также выпустили подробный отчет о нашей аудиторской проверке финансовой отчетности МСЭ за 201</w:t>
      </w:r>
      <w:r w:rsidR="00F35E0E" w:rsidRPr="009851E0">
        <w:rPr>
          <w:lang w:val="ru-RU"/>
        </w:rPr>
        <w:t>7</w:t>
      </w:r>
      <w:r w:rsidRPr="009851E0">
        <w:rPr>
          <w:lang w:val="ru-RU"/>
        </w:rPr>
        <w:t xml:space="preserve"> год. </w:t>
      </w:r>
    </w:p>
    <w:p w:rsidR="003B02F4" w:rsidRPr="009851E0" w:rsidRDefault="003B02F4" w:rsidP="00787EAC">
      <w:pPr>
        <w:pStyle w:val="Headingb"/>
        <w:rPr>
          <w:lang w:val="ru-RU"/>
        </w:rPr>
      </w:pPr>
      <w:bookmarkStart w:id="54" w:name="_Toc398125302"/>
      <w:bookmarkStart w:id="55" w:name="_Toc398125781"/>
      <w:bookmarkStart w:id="56" w:name="_Toc398127080"/>
      <w:bookmarkStart w:id="57" w:name="_Toc482995163"/>
      <w:r w:rsidRPr="009851E0">
        <w:rPr>
          <w:lang w:val="ru-RU"/>
        </w:rPr>
        <w:t>Пояснительный раздел</w:t>
      </w:r>
      <w:bookmarkEnd w:id="54"/>
      <w:bookmarkEnd w:id="55"/>
      <w:bookmarkEnd w:id="56"/>
      <w:bookmarkEnd w:id="57"/>
    </w:p>
    <w:p w:rsidR="003B02F4" w:rsidRPr="009851E0" w:rsidRDefault="003B02F4" w:rsidP="003B398B">
      <w:pPr>
        <w:rPr>
          <w:rFonts w:cs="Calibri"/>
          <w:lang w:val="ru-RU" w:eastAsia="zh-CN"/>
        </w:rPr>
      </w:pPr>
      <w:r w:rsidRPr="009851E0">
        <w:rPr>
          <w:lang w:val="ru-RU"/>
        </w:rPr>
        <w:t>Мы обращаем внимание на тот факт, что в отчете о финансовом положении показано отрицательное значение чистых активов (−</w:t>
      </w:r>
      <w:r w:rsidR="00F35E0E" w:rsidRPr="009851E0">
        <w:rPr>
          <w:lang w:val="ru-RU"/>
        </w:rPr>
        <w:t>482,5</w:t>
      </w:r>
      <w:r w:rsidRPr="009851E0">
        <w:rPr>
          <w:lang w:val="ru-RU"/>
        </w:rPr>
        <w:t xml:space="preserve"> млн. швейцарских франков) в основном в результате воздействия актуарных обязательств в размере </w:t>
      </w:r>
      <w:r w:rsidR="00F35E0E" w:rsidRPr="009851E0">
        <w:rPr>
          <w:lang w:val="ru-RU"/>
        </w:rPr>
        <w:t>638,4</w:t>
      </w:r>
      <w:r w:rsidRPr="009851E0">
        <w:rPr>
          <w:lang w:val="ru-RU"/>
        </w:rPr>
        <w:t xml:space="preserve"> млн. швейцарских франков, учтенных в отчете о финансовом положении, которые связаны с вознаграждением сотрудников, работающих на основе долгосрочных контрактов. </w:t>
      </w:r>
      <w:r w:rsidRPr="009851E0">
        <w:rPr>
          <w:rFonts w:cs="Calibri"/>
          <w:lang w:val="ru-RU" w:eastAsia="zh-CN"/>
        </w:rPr>
        <w:t xml:space="preserve">Подробные сведения о проведенном нами анализе включены в наш отчет. Руководство принимает соответствующие меры и заверило нас в том, что будет контролировать эффективность этих мер. </w:t>
      </w:r>
      <w:r w:rsidRPr="009851E0">
        <w:rPr>
          <w:lang w:val="ru-RU"/>
        </w:rPr>
        <w:t>Наше заключение в отношении этого вопроса не претерпело изменений.</w:t>
      </w:r>
    </w:p>
    <w:p w:rsidR="003B02F4" w:rsidRPr="009851E0" w:rsidRDefault="003B02F4" w:rsidP="00F35E0E">
      <w:pPr>
        <w:tabs>
          <w:tab w:val="clear" w:pos="794"/>
        </w:tabs>
        <w:spacing w:before="480"/>
        <w:rPr>
          <w:lang w:val="ru-RU"/>
        </w:rPr>
      </w:pPr>
      <w:r w:rsidRPr="009851E0">
        <w:rPr>
          <w:lang w:val="ru-RU"/>
        </w:rPr>
        <w:t xml:space="preserve">Рим, </w:t>
      </w:r>
      <w:r w:rsidR="00F35E0E" w:rsidRPr="009851E0">
        <w:rPr>
          <w:lang w:val="ru-RU"/>
        </w:rPr>
        <w:t xml:space="preserve">22 июня </w:t>
      </w:r>
      <w:r w:rsidRPr="009851E0">
        <w:rPr>
          <w:lang w:val="ru-RU"/>
        </w:rPr>
        <w:t>201</w:t>
      </w:r>
      <w:r w:rsidR="00F35E0E" w:rsidRPr="009851E0">
        <w:rPr>
          <w:lang w:val="ru-RU"/>
        </w:rPr>
        <w:t>8</w:t>
      </w:r>
      <w:r w:rsidRPr="009851E0">
        <w:rPr>
          <w:lang w:val="ru-RU"/>
        </w:rPr>
        <w:t xml:space="preserve"> года</w:t>
      </w:r>
    </w:p>
    <w:p w:rsidR="003B02F4" w:rsidRPr="009851E0" w:rsidRDefault="003B02F4" w:rsidP="003B398B">
      <w:pPr>
        <w:tabs>
          <w:tab w:val="clear" w:pos="794"/>
          <w:tab w:val="clear" w:pos="1191"/>
          <w:tab w:val="clear" w:pos="1588"/>
          <w:tab w:val="clear" w:pos="1985"/>
          <w:tab w:val="center" w:pos="7088"/>
        </w:tabs>
        <w:spacing w:before="1080"/>
        <w:rPr>
          <w:rFonts w:asciiTheme="minorHAnsi" w:hAnsiTheme="minorHAnsi" w:cs="Segoe UI"/>
          <w:color w:val="000000"/>
          <w:szCs w:val="22"/>
          <w:lang w:val="ru-RU"/>
        </w:rPr>
      </w:pPr>
      <w:r w:rsidRPr="009851E0">
        <w:rPr>
          <w:rFonts w:asciiTheme="minorHAnsi" w:hAnsiTheme="minorHAnsi" w:cs="Segoe UI"/>
          <w:color w:val="000000"/>
          <w:szCs w:val="22"/>
          <w:lang w:val="ru-RU"/>
        </w:rPr>
        <w:tab/>
      </w:r>
      <w:r w:rsidR="004339B1" w:rsidRPr="009851E0">
        <w:rPr>
          <w:rFonts w:asciiTheme="minorHAnsi" w:hAnsiTheme="minorHAnsi" w:cs="Segoe UI"/>
          <w:color w:val="000000"/>
          <w:szCs w:val="22"/>
          <w:lang w:val="ru-RU"/>
        </w:rPr>
        <w:t>Анджело Бу</w:t>
      </w:r>
      <w:r w:rsidR="003B398B" w:rsidRPr="009851E0">
        <w:rPr>
          <w:rFonts w:asciiTheme="minorHAnsi" w:hAnsiTheme="minorHAnsi" w:cs="Segoe UI"/>
          <w:color w:val="000000"/>
          <w:szCs w:val="22"/>
          <w:lang w:val="ru-RU"/>
        </w:rPr>
        <w:t>ш</w:t>
      </w:r>
      <w:r w:rsidR="004339B1" w:rsidRPr="009851E0">
        <w:rPr>
          <w:rFonts w:asciiTheme="minorHAnsi" w:hAnsiTheme="minorHAnsi" w:cs="Segoe UI"/>
          <w:color w:val="000000"/>
          <w:szCs w:val="22"/>
          <w:lang w:val="ru-RU"/>
        </w:rPr>
        <w:t>ема</w:t>
      </w:r>
      <w:r w:rsidRPr="009851E0">
        <w:rPr>
          <w:rFonts w:asciiTheme="minorHAnsi" w:hAnsiTheme="minorHAnsi" w:cs="Segoe UI"/>
          <w:color w:val="000000"/>
          <w:szCs w:val="22"/>
          <w:lang w:val="ru-RU"/>
        </w:rPr>
        <w:t xml:space="preserve"> </w:t>
      </w:r>
      <w:r w:rsidRPr="009851E0">
        <w:rPr>
          <w:rFonts w:asciiTheme="minorHAnsi" w:hAnsiTheme="minorHAnsi" w:cs="Segoe UI"/>
          <w:color w:val="000000"/>
          <w:szCs w:val="22"/>
          <w:lang w:val="ru-RU"/>
        </w:rPr>
        <w:br/>
      </w:r>
      <w:r w:rsidRPr="009851E0">
        <w:rPr>
          <w:rFonts w:asciiTheme="minorHAnsi" w:hAnsiTheme="minorHAnsi" w:cs="Segoe UI"/>
          <w:color w:val="000000"/>
          <w:szCs w:val="22"/>
          <w:lang w:val="ru-RU"/>
        </w:rPr>
        <w:tab/>
        <w:t>Председатель</w:t>
      </w:r>
      <w:r w:rsidRPr="009851E0">
        <w:rPr>
          <w:rFonts w:cs="Calibri"/>
          <w:szCs w:val="22"/>
          <w:lang w:val="ru-RU" w:eastAsia="zh-CN"/>
        </w:rPr>
        <w:t xml:space="preserve"> Государственной счетной </w:t>
      </w:r>
      <w:r w:rsidRPr="009851E0">
        <w:rPr>
          <w:rFonts w:cs="Calibri"/>
          <w:szCs w:val="22"/>
          <w:lang w:val="ru-RU" w:eastAsia="zh-CN"/>
        </w:rPr>
        <w:br/>
      </w:r>
      <w:r w:rsidRPr="009851E0">
        <w:rPr>
          <w:rFonts w:cs="Calibri"/>
          <w:szCs w:val="22"/>
          <w:lang w:val="ru-RU" w:eastAsia="zh-CN"/>
        </w:rPr>
        <w:tab/>
        <w:t>палаты Италии</w:t>
      </w:r>
      <w:r w:rsidRPr="009851E0">
        <w:rPr>
          <w:rFonts w:asciiTheme="minorHAnsi" w:hAnsiTheme="minorHAnsi" w:cs="Segoe UI"/>
          <w:color w:val="000000"/>
          <w:szCs w:val="22"/>
          <w:lang w:val="ru-RU"/>
        </w:rPr>
        <w:t xml:space="preserve"> (Corte dei conti) </w:t>
      </w:r>
    </w:p>
    <w:p w:rsidR="00542F98" w:rsidRPr="009851E0" w:rsidRDefault="00542F98" w:rsidP="00542F98">
      <w:pPr>
        <w:rPr>
          <w:lang w:val="ru-RU"/>
        </w:rPr>
      </w:pPr>
      <w:r w:rsidRPr="009851E0">
        <w:rPr>
          <w:lang w:val="ru-RU"/>
        </w:rPr>
        <w:br w:type="page"/>
      </w:r>
    </w:p>
    <w:p w:rsidR="00542F98" w:rsidRPr="009851E0" w:rsidRDefault="00542F98" w:rsidP="004366F9">
      <w:pPr>
        <w:pStyle w:val="Heading1"/>
        <w:rPr>
          <w:lang w:val="ru-RU"/>
        </w:rPr>
      </w:pPr>
      <w:bookmarkStart w:id="58" w:name="_Toc452157295"/>
      <w:bookmarkStart w:id="59" w:name="_Toc482995164"/>
      <w:bookmarkStart w:id="60" w:name="_Toc522633554"/>
      <w:r w:rsidRPr="009851E0">
        <w:rPr>
          <w:lang w:val="ru-RU"/>
        </w:rPr>
        <w:t>СТРУКТУРА БУХГАЛТЕРСКОЙ ОТЧЕТНОСТИ</w:t>
      </w:r>
      <w:bookmarkEnd w:id="43"/>
      <w:bookmarkEnd w:id="44"/>
      <w:bookmarkEnd w:id="45"/>
      <w:bookmarkEnd w:id="58"/>
      <w:bookmarkEnd w:id="59"/>
      <w:bookmarkEnd w:id="60"/>
    </w:p>
    <w:p w:rsidR="00542F98" w:rsidRPr="009851E0" w:rsidRDefault="00542F98" w:rsidP="00542F98">
      <w:pPr>
        <w:rPr>
          <w:lang w:val="ru-RU"/>
        </w:rPr>
      </w:pPr>
      <w:r w:rsidRPr="009851E0">
        <w:rPr>
          <w:lang w:val="ru-RU"/>
        </w:rPr>
        <w:t>1</w:t>
      </w:r>
      <w:r w:rsidRPr="009851E0">
        <w:rPr>
          <w:lang w:val="ru-RU"/>
        </w:rPr>
        <w:tab/>
        <w:t xml:space="preserve">Финансовая отчетность МСЭ подготовлена и представлена в соответствии со стандартом IPSAS 1 и включает следующие элементы: </w:t>
      </w:r>
    </w:p>
    <w:p w:rsidR="00542F98" w:rsidRPr="009851E0" w:rsidRDefault="00542F98" w:rsidP="003B398B">
      <w:pPr>
        <w:pStyle w:val="enumlev1"/>
        <w:rPr>
          <w:lang w:val="ru-RU"/>
        </w:rPr>
      </w:pPr>
      <w:r w:rsidRPr="009851E0">
        <w:rPr>
          <w:lang w:val="ru-RU"/>
        </w:rPr>
        <w:t>•</w:t>
      </w:r>
      <w:r w:rsidRPr="009851E0">
        <w:rPr>
          <w:lang w:val="ru-RU"/>
        </w:rPr>
        <w:tab/>
      </w:r>
      <w:r w:rsidR="003B398B" w:rsidRPr="009851E0">
        <w:rPr>
          <w:lang w:val="ru-RU"/>
        </w:rPr>
        <w:t>О</w:t>
      </w:r>
      <w:r w:rsidRPr="009851E0">
        <w:rPr>
          <w:lang w:val="ru-RU"/>
        </w:rPr>
        <w:t>тчет о финансовом положении – Балансовая ведомость по состоянию на 31 декабря 201</w:t>
      </w:r>
      <w:r w:rsidR="00EF1C40" w:rsidRPr="009851E0">
        <w:rPr>
          <w:lang w:val="ru-RU"/>
        </w:rPr>
        <w:t>7</w:t>
      </w:r>
      <w:r w:rsidRPr="009851E0">
        <w:rPr>
          <w:lang w:val="ru-RU"/>
        </w:rPr>
        <w:t> года и сравнительные данные на 31 декабря 201</w:t>
      </w:r>
      <w:r w:rsidR="00EF1C40" w:rsidRPr="009851E0">
        <w:rPr>
          <w:lang w:val="ru-RU"/>
        </w:rPr>
        <w:t>6</w:t>
      </w:r>
      <w:r w:rsidRPr="009851E0">
        <w:rPr>
          <w:lang w:val="ru-RU"/>
        </w:rPr>
        <w:t xml:space="preserve"> года, в которой показаны активы (подразделенные на текущие и нетекущие активы), пассивы (подразделенные на текущие и нетекущие пассивы) и чистые активы; </w:t>
      </w:r>
    </w:p>
    <w:p w:rsidR="00542F98" w:rsidRPr="009851E0" w:rsidRDefault="00542F98" w:rsidP="003B398B">
      <w:pPr>
        <w:pStyle w:val="enumlev1"/>
        <w:rPr>
          <w:lang w:val="ru-RU"/>
        </w:rPr>
      </w:pPr>
      <w:r w:rsidRPr="009851E0">
        <w:rPr>
          <w:lang w:val="ru-RU"/>
        </w:rPr>
        <w:t>•</w:t>
      </w:r>
      <w:r w:rsidRPr="009851E0">
        <w:rPr>
          <w:lang w:val="ru-RU"/>
        </w:rPr>
        <w:tab/>
      </w:r>
      <w:r w:rsidR="003B398B" w:rsidRPr="009851E0">
        <w:rPr>
          <w:lang w:val="ru-RU"/>
        </w:rPr>
        <w:t>О</w:t>
      </w:r>
      <w:r w:rsidRPr="009851E0">
        <w:rPr>
          <w:lang w:val="ru-RU"/>
        </w:rPr>
        <w:t>тчет о результатах финансовой деятельности за финансовый период, завершившийся 31 декабря 201</w:t>
      </w:r>
      <w:r w:rsidR="00EF1C40" w:rsidRPr="009851E0">
        <w:rPr>
          <w:lang w:val="ru-RU"/>
        </w:rPr>
        <w:t>7</w:t>
      </w:r>
      <w:r w:rsidRPr="009851E0">
        <w:rPr>
          <w:lang w:val="ru-RU"/>
        </w:rPr>
        <w:t xml:space="preserve"> года, и сравнительные данные на 31 декабря 201</w:t>
      </w:r>
      <w:r w:rsidR="00EF1C40" w:rsidRPr="009851E0">
        <w:rPr>
          <w:lang w:val="ru-RU"/>
        </w:rPr>
        <w:t>6</w:t>
      </w:r>
      <w:r w:rsidRPr="009851E0">
        <w:rPr>
          <w:lang w:val="ru-RU"/>
        </w:rPr>
        <w:t xml:space="preserve"> года, в котором показаны активное сальдо/дефицит за финансовый год;</w:t>
      </w:r>
    </w:p>
    <w:p w:rsidR="00542F98" w:rsidRPr="009851E0" w:rsidRDefault="00542F98" w:rsidP="003B398B">
      <w:pPr>
        <w:pStyle w:val="enumlev1"/>
        <w:rPr>
          <w:lang w:val="ru-RU"/>
        </w:rPr>
      </w:pPr>
      <w:r w:rsidRPr="009851E0">
        <w:rPr>
          <w:lang w:val="ru-RU"/>
        </w:rPr>
        <w:t>•</w:t>
      </w:r>
      <w:r w:rsidRPr="009851E0">
        <w:rPr>
          <w:lang w:val="ru-RU"/>
        </w:rPr>
        <w:tab/>
      </w:r>
      <w:r w:rsidR="003B398B" w:rsidRPr="009851E0">
        <w:rPr>
          <w:lang w:val="ru-RU"/>
        </w:rPr>
        <w:t>О</w:t>
      </w:r>
      <w:r w:rsidRPr="009851E0">
        <w:rPr>
          <w:lang w:val="ru-RU"/>
        </w:rPr>
        <w:t>тчет об изменениях в чистых активах за финансовый период, завершившийся 31 декабря 201</w:t>
      </w:r>
      <w:r w:rsidR="00EF1C40" w:rsidRPr="009851E0">
        <w:rPr>
          <w:lang w:val="ru-RU"/>
        </w:rPr>
        <w:t>7 </w:t>
      </w:r>
      <w:r w:rsidRPr="009851E0">
        <w:rPr>
          <w:lang w:val="ru-RU"/>
        </w:rPr>
        <w:t>года, в котором показана стоимость чистых активов, включая активное сальдо или дефицит за финансовый год, а также убытки, непосредственно учтенные в чистых активах и не затрагивающие отчет о результатах финансовой деятельности;</w:t>
      </w:r>
    </w:p>
    <w:p w:rsidR="00542F98" w:rsidRPr="009851E0" w:rsidRDefault="00542F98" w:rsidP="003B398B">
      <w:pPr>
        <w:pStyle w:val="enumlev1"/>
        <w:rPr>
          <w:lang w:val="ru-RU"/>
        </w:rPr>
      </w:pPr>
      <w:r w:rsidRPr="009851E0">
        <w:rPr>
          <w:lang w:val="ru-RU"/>
        </w:rPr>
        <w:t>•</w:t>
      </w:r>
      <w:r w:rsidRPr="009851E0">
        <w:rPr>
          <w:lang w:val="ru-RU"/>
        </w:rPr>
        <w:tab/>
      </w:r>
      <w:r w:rsidR="003B398B" w:rsidRPr="009851E0">
        <w:rPr>
          <w:lang w:val="ru-RU"/>
        </w:rPr>
        <w:t>т</w:t>
      </w:r>
      <w:r w:rsidRPr="009851E0">
        <w:rPr>
          <w:lang w:val="ru-RU"/>
        </w:rPr>
        <w:t>аблица движения денежных средств за финансовый период, завершившийся 31 декабря 201</w:t>
      </w:r>
      <w:r w:rsidR="00EF1C40" w:rsidRPr="009851E0">
        <w:rPr>
          <w:lang w:val="ru-RU"/>
        </w:rPr>
        <w:t>7 </w:t>
      </w:r>
      <w:r w:rsidRPr="009851E0">
        <w:rPr>
          <w:lang w:val="ru-RU"/>
        </w:rPr>
        <w:t xml:space="preserve">года, в которой показаны приток и отток денежных средств и эквивалентов денежных средств для оперативных, инвестиционных и финансовых операций и общих денежных сумм на конец финансового года; </w:t>
      </w:r>
    </w:p>
    <w:p w:rsidR="00542F98" w:rsidRPr="009851E0" w:rsidRDefault="00542F98" w:rsidP="003B398B">
      <w:pPr>
        <w:pStyle w:val="enumlev1"/>
        <w:rPr>
          <w:lang w:val="ru-RU"/>
        </w:rPr>
      </w:pPr>
      <w:r w:rsidRPr="009851E0">
        <w:rPr>
          <w:lang w:val="ru-RU"/>
        </w:rPr>
        <w:t>•</w:t>
      </w:r>
      <w:r w:rsidRPr="009851E0">
        <w:rPr>
          <w:lang w:val="ru-RU"/>
        </w:rPr>
        <w:tab/>
      </w:r>
      <w:r w:rsidR="003B398B" w:rsidRPr="009851E0">
        <w:rPr>
          <w:lang w:val="ru-RU"/>
        </w:rPr>
        <w:t>с</w:t>
      </w:r>
      <w:r w:rsidRPr="009851E0">
        <w:rPr>
          <w:lang w:val="ru-RU"/>
        </w:rPr>
        <w:t>равнительная таблица предусмотренных в бюджете сумм и фактических сумм за 201</w:t>
      </w:r>
      <w:r w:rsidR="00EF1C40" w:rsidRPr="009851E0">
        <w:rPr>
          <w:lang w:val="ru-RU"/>
        </w:rPr>
        <w:t>7</w:t>
      </w:r>
      <w:r w:rsidRPr="009851E0">
        <w:rPr>
          <w:lang w:val="ru-RU"/>
        </w:rPr>
        <w:t> финансовый год;</w:t>
      </w:r>
    </w:p>
    <w:p w:rsidR="00542F98" w:rsidRPr="009851E0" w:rsidRDefault="00542F98" w:rsidP="003B398B">
      <w:pPr>
        <w:pStyle w:val="enumlev1"/>
        <w:rPr>
          <w:lang w:val="ru-RU"/>
        </w:rPr>
      </w:pPr>
      <w:r w:rsidRPr="009851E0">
        <w:rPr>
          <w:lang w:val="ru-RU"/>
        </w:rPr>
        <w:t>•</w:t>
      </w:r>
      <w:r w:rsidRPr="009851E0">
        <w:rPr>
          <w:lang w:val="ru-RU"/>
        </w:rPr>
        <w:tab/>
      </w:r>
      <w:r w:rsidR="003B398B" w:rsidRPr="009851E0">
        <w:rPr>
          <w:lang w:val="ru-RU"/>
        </w:rPr>
        <w:t>п</w:t>
      </w:r>
      <w:r w:rsidRPr="009851E0">
        <w:rPr>
          <w:lang w:val="ru-RU"/>
        </w:rPr>
        <w:t xml:space="preserve">римечания к финансовой отчетности, где представлена информация о политике бухгалтерского учета и дополнительная информация, необходимая для беспристрастного представления. </w:t>
      </w:r>
    </w:p>
    <w:p w:rsidR="00542F98" w:rsidRPr="009851E0" w:rsidRDefault="00542F98" w:rsidP="00303B02">
      <w:pPr>
        <w:pStyle w:val="Heading1"/>
        <w:rPr>
          <w:lang w:val="ru-RU"/>
        </w:rPr>
      </w:pPr>
      <w:bookmarkStart w:id="61" w:name="_Toc356330870"/>
      <w:bookmarkStart w:id="62" w:name="_Toc358192820"/>
      <w:bookmarkStart w:id="63" w:name="_Toc398125305"/>
      <w:bookmarkStart w:id="64" w:name="_Toc398125784"/>
      <w:bookmarkStart w:id="65" w:name="_Toc452157296"/>
      <w:bookmarkStart w:id="66" w:name="_Toc482995165"/>
      <w:bookmarkStart w:id="67" w:name="_Toc522633555"/>
      <w:r w:rsidRPr="009851E0">
        <w:rPr>
          <w:lang w:val="ru-RU"/>
        </w:rPr>
        <w:t>ОТЧЕТ О ФИНАНСОВОМ ПОЛОЖЕНИИ ЗА 201</w:t>
      </w:r>
      <w:r w:rsidR="00EF1C40" w:rsidRPr="009851E0">
        <w:rPr>
          <w:lang w:val="ru-RU"/>
        </w:rPr>
        <w:t>7</w:t>
      </w:r>
      <w:r w:rsidRPr="009851E0">
        <w:rPr>
          <w:lang w:val="ru-RU"/>
        </w:rPr>
        <w:t xml:space="preserve"> ГОД</w:t>
      </w:r>
      <w:bookmarkEnd w:id="61"/>
      <w:bookmarkEnd w:id="62"/>
      <w:bookmarkEnd w:id="63"/>
      <w:bookmarkEnd w:id="64"/>
      <w:bookmarkEnd w:id="65"/>
      <w:bookmarkEnd w:id="66"/>
      <w:bookmarkEnd w:id="67"/>
    </w:p>
    <w:p w:rsidR="00542F98" w:rsidRPr="009851E0" w:rsidRDefault="00542F98" w:rsidP="00170A17">
      <w:pPr>
        <w:pStyle w:val="Heading1"/>
        <w:rPr>
          <w:lang w:val="ru-RU"/>
        </w:rPr>
      </w:pPr>
      <w:bookmarkStart w:id="68" w:name="_Toc358192821"/>
      <w:bookmarkStart w:id="69" w:name="_Toc398125306"/>
      <w:bookmarkStart w:id="70" w:name="_Toc398125785"/>
      <w:bookmarkStart w:id="71" w:name="_Toc398127082"/>
      <w:bookmarkStart w:id="72" w:name="_Toc452157297"/>
      <w:bookmarkStart w:id="73" w:name="_Toc482995166"/>
      <w:bookmarkStart w:id="74" w:name="_Toc522633556"/>
      <w:r w:rsidRPr="009851E0">
        <w:rPr>
          <w:lang w:val="ru-RU"/>
        </w:rPr>
        <w:t>АКТИВЫ</w:t>
      </w:r>
      <w:bookmarkEnd w:id="68"/>
      <w:bookmarkEnd w:id="69"/>
      <w:bookmarkEnd w:id="70"/>
      <w:bookmarkEnd w:id="71"/>
      <w:bookmarkEnd w:id="72"/>
      <w:bookmarkEnd w:id="73"/>
      <w:bookmarkEnd w:id="74"/>
    </w:p>
    <w:p w:rsidR="00542F98" w:rsidRPr="009851E0" w:rsidRDefault="00542F98" w:rsidP="00332140">
      <w:pPr>
        <w:rPr>
          <w:lang w:val="ru-RU"/>
        </w:rPr>
      </w:pPr>
      <w:r w:rsidRPr="009851E0">
        <w:rPr>
          <w:lang w:val="ru-RU"/>
        </w:rPr>
        <w:t>2</w:t>
      </w:r>
      <w:r w:rsidRPr="009851E0">
        <w:rPr>
          <w:lang w:val="ru-RU"/>
        </w:rPr>
        <w:tab/>
        <w:t>В 201</w:t>
      </w:r>
      <w:r w:rsidR="00332140" w:rsidRPr="009851E0">
        <w:rPr>
          <w:lang w:val="ru-RU"/>
        </w:rPr>
        <w:t>7</w:t>
      </w:r>
      <w:r w:rsidRPr="009851E0">
        <w:rPr>
          <w:lang w:val="ru-RU"/>
        </w:rPr>
        <w:t xml:space="preserve"> году объем активов составил 37</w:t>
      </w:r>
      <w:r w:rsidR="00332140" w:rsidRPr="009851E0">
        <w:rPr>
          <w:lang w:val="ru-RU"/>
        </w:rPr>
        <w:t>2,8</w:t>
      </w:r>
      <w:r w:rsidRPr="009851E0">
        <w:rPr>
          <w:lang w:val="ru-RU"/>
        </w:rPr>
        <w:t xml:space="preserve"> млн. швейцарских франков, что </w:t>
      </w:r>
      <w:r w:rsidR="00332140" w:rsidRPr="009851E0">
        <w:rPr>
          <w:lang w:val="ru-RU"/>
        </w:rPr>
        <w:t>равняется</w:t>
      </w:r>
      <w:r w:rsidR="007D2B1E" w:rsidRPr="009851E0">
        <w:rPr>
          <w:lang w:val="ru-RU"/>
        </w:rPr>
        <w:t xml:space="preserve"> </w:t>
      </w:r>
      <w:r w:rsidR="00332140" w:rsidRPr="009851E0">
        <w:rPr>
          <w:lang w:val="ru-RU"/>
        </w:rPr>
        <w:t>(−</w:t>
      </w:r>
      <w:r w:rsidR="007D2B1E" w:rsidRPr="009851E0">
        <w:rPr>
          <w:lang w:val="ru-RU"/>
        </w:rPr>
        <w:t>0,</w:t>
      </w:r>
      <w:r w:rsidR="00332140" w:rsidRPr="009851E0">
        <w:rPr>
          <w:lang w:val="ru-RU"/>
        </w:rPr>
        <w:t>1</w:t>
      </w:r>
      <w:r w:rsidR="007D2B1E" w:rsidRPr="009851E0">
        <w:rPr>
          <w:lang w:val="ru-RU"/>
        </w:rPr>
        <w:t>%</w:t>
      </w:r>
      <w:r w:rsidR="00332140" w:rsidRPr="009851E0">
        <w:rPr>
          <w:lang w:val="ru-RU"/>
        </w:rPr>
        <w:t>)</w:t>
      </w:r>
      <w:r w:rsidR="007D2B1E" w:rsidRPr="009851E0">
        <w:rPr>
          <w:lang w:val="ru-RU"/>
        </w:rPr>
        <w:t xml:space="preserve"> объем</w:t>
      </w:r>
      <w:r w:rsidR="00332140" w:rsidRPr="009851E0">
        <w:rPr>
          <w:lang w:val="ru-RU"/>
        </w:rPr>
        <w:t>у</w:t>
      </w:r>
      <w:r w:rsidRPr="009851E0">
        <w:rPr>
          <w:lang w:val="ru-RU"/>
        </w:rPr>
        <w:t>, зарегистрированно</w:t>
      </w:r>
      <w:r w:rsidR="00332140" w:rsidRPr="009851E0">
        <w:rPr>
          <w:lang w:val="ru-RU"/>
        </w:rPr>
        <w:t>му</w:t>
      </w:r>
      <w:r w:rsidRPr="009851E0">
        <w:rPr>
          <w:lang w:val="ru-RU"/>
        </w:rPr>
        <w:t xml:space="preserve"> в 201</w:t>
      </w:r>
      <w:r w:rsidR="00332140" w:rsidRPr="009851E0">
        <w:rPr>
          <w:lang w:val="ru-RU"/>
        </w:rPr>
        <w:t>6</w:t>
      </w:r>
      <w:r w:rsidRPr="009851E0">
        <w:rPr>
          <w:lang w:val="ru-RU"/>
        </w:rPr>
        <w:t xml:space="preserve"> году (373 млн. швейцарских франков). </w:t>
      </w:r>
    </w:p>
    <w:p w:rsidR="00542F98" w:rsidRPr="009851E0" w:rsidRDefault="00542F98" w:rsidP="00332140">
      <w:pPr>
        <w:rPr>
          <w:lang w:val="ru-RU"/>
        </w:rPr>
      </w:pPr>
      <w:r w:rsidRPr="009851E0">
        <w:rPr>
          <w:lang w:val="ru-RU"/>
        </w:rPr>
        <w:t>3</w:t>
      </w:r>
      <w:r w:rsidRPr="009851E0">
        <w:rPr>
          <w:lang w:val="ru-RU"/>
        </w:rPr>
        <w:tab/>
        <w:t>Активы включают текущие активы в о</w:t>
      </w:r>
      <w:r w:rsidR="00332140" w:rsidRPr="009851E0">
        <w:rPr>
          <w:lang w:val="ru-RU"/>
        </w:rPr>
        <w:t>бъеме 271</w:t>
      </w:r>
      <w:r w:rsidRPr="009851E0">
        <w:rPr>
          <w:lang w:val="ru-RU"/>
        </w:rPr>
        <w:t>,</w:t>
      </w:r>
      <w:r w:rsidR="00303B02" w:rsidRPr="009851E0">
        <w:rPr>
          <w:lang w:val="ru-RU"/>
        </w:rPr>
        <w:t>9</w:t>
      </w:r>
      <w:r w:rsidRPr="009851E0">
        <w:rPr>
          <w:lang w:val="ru-RU"/>
        </w:rPr>
        <w:t xml:space="preserve"> млн. швейцарских франков, что составляет 7</w:t>
      </w:r>
      <w:r w:rsidR="00303B02" w:rsidRPr="009851E0">
        <w:rPr>
          <w:lang w:val="ru-RU"/>
        </w:rPr>
        <w:t>2</w:t>
      </w:r>
      <w:r w:rsidRPr="009851E0">
        <w:rPr>
          <w:lang w:val="ru-RU"/>
        </w:rPr>
        <w:t>,</w:t>
      </w:r>
      <w:r w:rsidR="00332140" w:rsidRPr="009851E0">
        <w:rPr>
          <w:lang w:val="ru-RU"/>
        </w:rPr>
        <w:t>9</w:t>
      </w:r>
      <w:r w:rsidRPr="009851E0">
        <w:rPr>
          <w:lang w:val="ru-RU"/>
        </w:rPr>
        <w:t>% от общего размера активов (в 201</w:t>
      </w:r>
      <w:r w:rsidR="00332140" w:rsidRPr="009851E0">
        <w:rPr>
          <w:lang w:val="ru-RU"/>
        </w:rPr>
        <w:t>6</w:t>
      </w:r>
      <w:r w:rsidRPr="009851E0">
        <w:rPr>
          <w:lang w:val="ru-RU"/>
        </w:rPr>
        <w:t xml:space="preserve"> г. </w:t>
      </w:r>
      <w:r w:rsidR="007D2B1E" w:rsidRPr="009851E0">
        <w:rPr>
          <w:lang w:val="ru-RU"/>
        </w:rPr>
        <w:t>они составляли</w:t>
      </w:r>
      <w:r w:rsidRPr="009851E0">
        <w:rPr>
          <w:lang w:val="ru-RU"/>
        </w:rPr>
        <w:t xml:space="preserve"> </w:t>
      </w:r>
      <w:r w:rsidR="00332140" w:rsidRPr="009851E0">
        <w:rPr>
          <w:lang w:val="ru-RU"/>
        </w:rPr>
        <w:t>72</w:t>
      </w:r>
      <w:r w:rsidRPr="009851E0">
        <w:rPr>
          <w:lang w:val="ru-RU"/>
        </w:rPr>
        <w:t>,</w:t>
      </w:r>
      <w:r w:rsidR="00332140" w:rsidRPr="009851E0">
        <w:rPr>
          <w:lang w:val="ru-RU"/>
        </w:rPr>
        <w:t>1</w:t>
      </w:r>
      <w:r w:rsidRPr="009851E0">
        <w:rPr>
          <w:lang w:val="ru-RU"/>
        </w:rPr>
        <w:t>%), и нетекущие активы в объеме 10</w:t>
      </w:r>
      <w:r w:rsidR="00332140" w:rsidRPr="009851E0">
        <w:rPr>
          <w:lang w:val="ru-RU"/>
        </w:rPr>
        <w:t>0</w:t>
      </w:r>
      <w:r w:rsidRPr="009851E0">
        <w:rPr>
          <w:lang w:val="ru-RU"/>
        </w:rPr>
        <w:t>,</w:t>
      </w:r>
      <w:r w:rsidR="00332140" w:rsidRPr="009851E0">
        <w:rPr>
          <w:lang w:val="ru-RU"/>
        </w:rPr>
        <w:t>9 </w:t>
      </w:r>
      <w:r w:rsidRPr="009851E0">
        <w:rPr>
          <w:lang w:val="ru-RU"/>
        </w:rPr>
        <w:t>млн. швейцарских франков, что составляет 2</w:t>
      </w:r>
      <w:r w:rsidR="00303B02" w:rsidRPr="009851E0">
        <w:rPr>
          <w:lang w:val="ru-RU"/>
        </w:rPr>
        <w:t>7</w:t>
      </w:r>
      <w:r w:rsidRPr="009851E0">
        <w:rPr>
          <w:lang w:val="ru-RU"/>
        </w:rPr>
        <w:t>,</w:t>
      </w:r>
      <w:r w:rsidR="00332140" w:rsidRPr="009851E0">
        <w:rPr>
          <w:lang w:val="ru-RU"/>
        </w:rPr>
        <w:t>1</w:t>
      </w:r>
      <w:r w:rsidRPr="009851E0">
        <w:rPr>
          <w:lang w:val="ru-RU"/>
        </w:rPr>
        <w:t>% от общего размера активов (в 201</w:t>
      </w:r>
      <w:r w:rsidR="00332140" w:rsidRPr="009851E0">
        <w:rPr>
          <w:lang w:val="ru-RU"/>
        </w:rPr>
        <w:t>6 г. </w:t>
      </w:r>
      <w:r w:rsidR="00303B02" w:rsidRPr="009851E0">
        <w:rPr>
          <w:lang w:val="ru-RU"/>
        </w:rPr>
        <w:t>– 2</w:t>
      </w:r>
      <w:r w:rsidR="00332140" w:rsidRPr="009851E0">
        <w:rPr>
          <w:lang w:val="ru-RU"/>
        </w:rPr>
        <w:t>7</w:t>
      </w:r>
      <w:r w:rsidRPr="009851E0">
        <w:rPr>
          <w:lang w:val="ru-RU"/>
        </w:rPr>
        <w:t>,</w:t>
      </w:r>
      <w:r w:rsidR="00332140" w:rsidRPr="009851E0">
        <w:rPr>
          <w:lang w:val="ru-RU"/>
        </w:rPr>
        <w:t>9</w:t>
      </w:r>
      <w:r w:rsidRPr="009851E0">
        <w:rPr>
          <w:lang w:val="ru-RU"/>
        </w:rPr>
        <w:t>%).</w:t>
      </w:r>
      <w:r w:rsidR="00303B02" w:rsidRPr="009851E0">
        <w:rPr>
          <w:lang w:val="ru-RU"/>
        </w:rPr>
        <w:t xml:space="preserve"> </w:t>
      </w:r>
      <w:r w:rsidR="00D037A8" w:rsidRPr="009851E0">
        <w:rPr>
          <w:lang w:val="ru-RU"/>
        </w:rPr>
        <w:t>Основа для оценки активов приводится в Основных принципах бухгалтерского учета</w:t>
      </w:r>
      <w:r w:rsidR="00303B02" w:rsidRPr="009851E0">
        <w:rPr>
          <w:lang w:val="ru-RU"/>
        </w:rPr>
        <w:t xml:space="preserve"> (</w:t>
      </w:r>
      <w:r w:rsidR="00D037A8" w:rsidRPr="009851E0">
        <w:rPr>
          <w:lang w:val="ru-RU"/>
        </w:rPr>
        <w:t>Примечание</w:t>
      </w:r>
      <w:r w:rsidR="00303B02" w:rsidRPr="009851E0">
        <w:rPr>
          <w:lang w:val="ru-RU"/>
        </w:rPr>
        <w:t xml:space="preserve"> 2).</w:t>
      </w:r>
    </w:p>
    <w:p w:rsidR="00542F98" w:rsidRPr="009851E0" w:rsidRDefault="00542F98" w:rsidP="00170A17">
      <w:pPr>
        <w:pStyle w:val="Heading1"/>
        <w:rPr>
          <w:lang w:val="ru-RU"/>
        </w:rPr>
      </w:pPr>
      <w:bookmarkStart w:id="75" w:name="_Toc356330872"/>
      <w:bookmarkStart w:id="76" w:name="_Toc358192822"/>
      <w:bookmarkStart w:id="77" w:name="_Toc398125307"/>
      <w:bookmarkStart w:id="78" w:name="_Toc398125786"/>
      <w:bookmarkStart w:id="79" w:name="_Toc398127083"/>
      <w:bookmarkStart w:id="80" w:name="_Toc452157298"/>
      <w:bookmarkStart w:id="81" w:name="_Toc482995167"/>
      <w:bookmarkStart w:id="82" w:name="_Toc522633557"/>
      <w:r w:rsidRPr="009851E0">
        <w:rPr>
          <w:lang w:val="ru-RU"/>
        </w:rPr>
        <w:t>Текущие активы</w:t>
      </w:r>
      <w:bookmarkEnd w:id="75"/>
      <w:bookmarkEnd w:id="76"/>
      <w:bookmarkEnd w:id="77"/>
      <w:bookmarkEnd w:id="78"/>
      <w:bookmarkEnd w:id="79"/>
      <w:bookmarkEnd w:id="80"/>
      <w:bookmarkEnd w:id="81"/>
      <w:bookmarkEnd w:id="82"/>
    </w:p>
    <w:p w:rsidR="00542F98" w:rsidRPr="009851E0" w:rsidRDefault="00542F98" w:rsidP="00FB0335">
      <w:pPr>
        <w:rPr>
          <w:lang w:val="ru-RU"/>
        </w:rPr>
      </w:pPr>
      <w:r w:rsidRPr="009851E0">
        <w:rPr>
          <w:lang w:val="ru-RU"/>
        </w:rPr>
        <w:t>4</w:t>
      </w:r>
      <w:r w:rsidRPr="009851E0">
        <w:rPr>
          <w:lang w:val="ru-RU"/>
        </w:rPr>
        <w:tab/>
        <w:t>Общий размер текущих активов в 201</w:t>
      </w:r>
      <w:r w:rsidR="00332140" w:rsidRPr="009851E0">
        <w:rPr>
          <w:lang w:val="ru-RU"/>
        </w:rPr>
        <w:t>7</w:t>
      </w:r>
      <w:r w:rsidRPr="009851E0">
        <w:rPr>
          <w:lang w:val="ru-RU"/>
        </w:rPr>
        <w:t xml:space="preserve"> году составил 2</w:t>
      </w:r>
      <w:r w:rsidR="00332140" w:rsidRPr="009851E0">
        <w:rPr>
          <w:lang w:val="ru-RU"/>
        </w:rPr>
        <w:t>71</w:t>
      </w:r>
      <w:r w:rsidRPr="009851E0">
        <w:rPr>
          <w:lang w:val="ru-RU"/>
        </w:rPr>
        <w:t>,</w:t>
      </w:r>
      <w:r w:rsidR="00303B02" w:rsidRPr="009851E0">
        <w:rPr>
          <w:lang w:val="ru-RU"/>
        </w:rPr>
        <w:t>9</w:t>
      </w:r>
      <w:r w:rsidRPr="009851E0">
        <w:rPr>
          <w:lang w:val="ru-RU"/>
        </w:rPr>
        <w:t xml:space="preserve"> млн. швейцарских франков, что представляет собой увеличение на </w:t>
      </w:r>
      <w:r w:rsidR="00332140" w:rsidRPr="009851E0">
        <w:rPr>
          <w:lang w:val="ru-RU"/>
        </w:rPr>
        <w:t>3</w:t>
      </w:r>
      <w:r w:rsidRPr="009851E0">
        <w:rPr>
          <w:lang w:val="ru-RU"/>
        </w:rPr>
        <w:t>,</w:t>
      </w:r>
      <w:r w:rsidR="00332140" w:rsidRPr="009851E0">
        <w:rPr>
          <w:lang w:val="ru-RU"/>
        </w:rPr>
        <w:t>0</w:t>
      </w:r>
      <w:r w:rsidRPr="009851E0">
        <w:rPr>
          <w:lang w:val="ru-RU"/>
        </w:rPr>
        <w:t xml:space="preserve"> млн. швейцарских франков (+</w:t>
      </w:r>
      <w:r w:rsidR="00332140" w:rsidRPr="009851E0">
        <w:rPr>
          <w:lang w:val="ru-RU"/>
        </w:rPr>
        <w:t>1</w:t>
      </w:r>
      <w:r w:rsidRPr="009851E0">
        <w:rPr>
          <w:lang w:val="ru-RU"/>
        </w:rPr>
        <w:t>,</w:t>
      </w:r>
      <w:r w:rsidR="00332140" w:rsidRPr="009851E0">
        <w:rPr>
          <w:lang w:val="ru-RU"/>
        </w:rPr>
        <w:t>1</w:t>
      </w:r>
      <w:r w:rsidRPr="009851E0">
        <w:rPr>
          <w:lang w:val="ru-RU"/>
        </w:rPr>
        <w:t>%) по сравнению с 201</w:t>
      </w:r>
      <w:r w:rsidR="00332140" w:rsidRPr="009851E0">
        <w:rPr>
          <w:lang w:val="ru-RU"/>
        </w:rPr>
        <w:t>6</w:t>
      </w:r>
      <w:r w:rsidRPr="009851E0">
        <w:rPr>
          <w:lang w:val="ru-RU"/>
        </w:rPr>
        <w:t> годом (2</w:t>
      </w:r>
      <w:r w:rsidR="00303B02" w:rsidRPr="009851E0">
        <w:rPr>
          <w:lang w:val="ru-RU"/>
        </w:rPr>
        <w:t>6</w:t>
      </w:r>
      <w:r w:rsidR="00332140" w:rsidRPr="009851E0">
        <w:rPr>
          <w:lang w:val="ru-RU"/>
        </w:rPr>
        <w:t>8</w:t>
      </w:r>
      <w:r w:rsidRPr="009851E0">
        <w:rPr>
          <w:lang w:val="ru-RU"/>
        </w:rPr>
        <w:t>,</w:t>
      </w:r>
      <w:r w:rsidR="00332140" w:rsidRPr="009851E0">
        <w:rPr>
          <w:lang w:val="ru-RU"/>
        </w:rPr>
        <w:t>9 </w:t>
      </w:r>
      <w:r w:rsidRPr="009851E0">
        <w:rPr>
          <w:lang w:val="ru-RU"/>
        </w:rPr>
        <w:t xml:space="preserve">млн. швейцарских франков). </w:t>
      </w:r>
      <w:r w:rsidR="00D037A8" w:rsidRPr="009851E0">
        <w:rPr>
          <w:lang w:val="ru-RU"/>
        </w:rPr>
        <w:t xml:space="preserve">При рассмотрении движения средств в рамках подразделов мы </w:t>
      </w:r>
      <w:r w:rsidR="00FB0335" w:rsidRPr="009851E0">
        <w:rPr>
          <w:lang w:val="ru-RU"/>
        </w:rPr>
        <w:t>видим</w:t>
      </w:r>
      <w:r w:rsidR="00D037A8" w:rsidRPr="009851E0">
        <w:rPr>
          <w:lang w:val="ru-RU"/>
        </w:rPr>
        <w:t>, что в</w:t>
      </w:r>
      <w:r w:rsidRPr="009851E0">
        <w:rPr>
          <w:lang w:val="ru-RU"/>
        </w:rPr>
        <w:t xml:space="preserve"> целом это увеличение </w:t>
      </w:r>
      <w:r w:rsidR="003373E4" w:rsidRPr="009851E0">
        <w:rPr>
          <w:lang w:val="ru-RU"/>
        </w:rPr>
        <w:t>связано с</w:t>
      </w:r>
      <w:r w:rsidR="00D037A8" w:rsidRPr="009851E0">
        <w:rPr>
          <w:lang w:val="ru-RU"/>
        </w:rPr>
        <w:t xml:space="preserve"> увеличением средств </w:t>
      </w:r>
      <w:r w:rsidR="009E503E" w:rsidRPr="009851E0">
        <w:rPr>
          <w:lang w:val="ru-RU"/>
        </w:rPr>
        <w:t>в подразделе "Денежные средства и э</w:t>
      </w:r>
      <w:r w:rsidR="00332140" w:rsidRPr="009851E0">
        <w:rPr>
          <w:lang w:val="ru-RU"/>
        </w:rPr>
        <w:t>квиваленты денежных средств" (+</w:t>
      </w:r>
      <w:r w:rsidR="009E503E" w:rsidRPr="009851E0">
        <w:rPr>
          <w:lang w:val="ru-RU"/>
        </w:rPr>
        <w:t>2</w:t>
      </w:r>
      <w:r w:rsidR="00332140" w:rsidRPr="009851E0">
        <w:rPr>
          <w:lang w:val="ru-RU"/>
        </w:rPr>
        <w:t>6</w:t>
      </w:r>
      <w:r w:rsidR="009E503E" w:rsidRPr="009851E0">
        <w:rPr>
          <w:lang w:val="ru-RU"/>
        </w:rPr>
        <w:t>,9 млн. швейцарских франков), которое компенсируется снижением по</w:t>
      </w:r>
      <w:r w:rsidR="003373E4" w:rsidRPr="009851E0">
        <w:rPr>
          <w:lang w:val="ru-RU"/>
        </w:rPr>
        <w:t xml:space="preserve"> </w:t>
      </w:r>
      <w:r w:rsidR="009E503E" w:rsidRPr="009851E0">
        <w:rPr>
          <w:lang w:val="ru-RU"/>
        </w:rPr>
        <w:t>"В</w:t>
      </w:r>
      <w:r w:rsidR="003373E4" w:rsidRPr="009851E0">
        <w:rPr>
          <w:lang w:val="ru-RU"/>
        </w:rPr>
        <w:t>кладам</w:t>
      </w:r>
      <w:r w:rsidR="009E503E" w:rsidRPr="009851E0">
        <w:rPr>
          <w:lang w:val="ru-RU"/>
        </w:rPr>
        <w:t>"</w:t>
      </w:r>
      <w:r w:rsidR="003373E4" w:rsidRPr="009851E0">
        <w:rPr>
          <w:lang w:val="ru-RU"/>
        </w:rPr>
        <w:t xml:space="preserve"> (</w:t>
      </w:r>
      <w:r w:rsidR="00954314" w:rsidRPr="009851E0">
        <w:rPr>
          <w:lang w:val="ru-RU"/>
        </w:rPr>
        <w:t>−</w:t>
      </w:r>
      <w:r w:rsidR="00332140" w:rsidRPr="009851E0">
        <w:rPr>
          <w:lang w:val="ru-RU"/>
        </w:rPr>
        <w:t>33</w:t>
      </w:r>
      <w:r w:rsidR="003373E4" w:rsidRPr="009851E0">
        <w:rPr>
          <w:lang w:val="ru-RU"/>
        </w:rPr>
        <w:t>,</w:t>
      </w:r>
      <w:r w:rsidR="00332140" w:rsidRPr="009851E0">
        <w:rPr>
          <w:lang w:val="ru-RU"/>
        </w:rPr>
        <w:t>6</w:t>
      </w:r>
      <w:r w:rsidR="003373E4" w:rsidRPr="009851E0">
        <w:rPr>
          <w:lang w:val="ru-RU"/>
        </w:rPr>
        <w:t> млн. </w:t>
      </w:r>
      <w:r w:rsidRPr="009851E0">
        <w:rPr>
          <w:lang w:val="ru-RU"/>
        </w:rPr>
        <w:t>швейцарских франков)</w:t>
      </w:r>
      <w:r w:rsidR="009E503E" w:rsidRPr="009851E0">
        <w:rPr>
          <w:lang w:val="ru-RU"/>
        </w:rPr>
        <w:t xml:space="preserve">; </w:t>
      </w:r>
      <w:r w:rsidR="00FB0335" w:rsidRPr="009851E0">
        <w:rPr>
          <w:lang w:val="ru-RU"/>
        </w:rPr>
        <w:t>остался на прежнем уровне</w:t>
      </w:r>
      <w:r w:rsidR="00332DF4" w:rsidRPr="009851E0">
        <w:rPr>
          <w:lang w:val="ru-RU"/>
        </w:rPr>
        <w:t xml:space="preserve"> </w:t>
      </w:r>
      <w:r w:rsidR="009E503E" w:rsidRPr="009851E0">
        <w:rPr>
          <w:lang w:val="ru-RU"/>
        </w:rPr>
        <w:t>объем средств по</w:t>
      </w:r>
      <w:r w:rsidRPr="009851E0">
        <w:rPr>
          <w:lang w:val="ru-RU"/>
        </w:rPr>
        <w:t xml:space="preserve"> </w:t>
      </w:r>
      <w:r w:rsidR="009E503E" w:rsidRPr="009851E0">
        <w:rPr>
          <w:lang w:val="ru-RU"/>
        </w:rPr>
        <w:t>"Д</w:t>
      </w:r>
      <w:r w:rsidRPr="009851E0">
        <w:rPr>
          <w:lang w:val="ru-RU"/>
        </w:rPr>
        <w:t>олговым обязательствам по обменным операциям</w:t>
      </w:r>
      <w:r w:rsidR="009E503E" w:rsidRPr="009851E0">
        <w:rPr>
          <w:lang w:val="ru-RU"/>
        </w:rPr>
        <w:t>"</w:t>
      </w:r>
      <w:r w:rsidR="00332140" w:rsidRPr="009851E0">
        <w:rPr>
          <w:lang w:val="ru-RU"/>
        </w:rPr>
        <w:t xml:space="preserve"> (−0</w:t>
      </w:r>
      <w:r w:rsidRPr="009851E0">
        <w:rPr>
          <w:lang w:val="ru-RU"/>
        </w:rPr>
        <w:t>,</w:t>
      </w:r>
      <w:r w:rsidR="009E503E" w:rsidRPr="009851E0">
        <w:rPr>
          <w:lang w:val="ru-RU"/>
        </w:rPr>
        <w:t>1</w:t>
      </w:r>
      <w:r w:rsidRPr="009851E0">
        <w:rPr>
          <w:lang w:val="ru-RU"/>
        </w:rPr>
        <w:t xml:space="preserve"> млн. швейцарских франков), </w:t>
      </w:r>
      <w:r w:rsidR="009E503E" w:rsidRPr="009851E0">
        <w:rPr>
          <w:lang w:val="ru-RU"/>
        </w:rPr>
        <w:t xml:space="preserve">в то время как </w:t>
      </w:r>
      <w:r w:rsidR="00332DF4" w:rsidRPr="009851E0">
        <w:rPr>
          <w:lang w:val="ru-RU"/>
        </w:rPr>
        <w:t>увеличился</w:t>
      </w:r>
      <w:r w:rsidR="009E503E" w:rsidRPr="009851E0">
        <w:rPr>
          <w:lang w:val="ru-RU"/>
        </w:rPr>
        <w:t xml:space="preserve"> уровень "Долговых обязательств по необменным операциям</w:t>
      </w:r>
      <w:r w:rsidR="00332DF4" w:rsidRPr="009851E0">
        <w:rPr>
          <w:lang w:val="ru-RU"/>
        </w:rPr>
        <w:t>" (+11</w:t>
      </w:r>
      <w:r w:rsidR="009E503E" w:rsidRPr="009851E0">
        <w:rPr>
          <w:lang w:val="ru-RU"/>
        </w:rPr>
        <w:t xml:space="preserve">,7 млн. швейцарских франков); "Прочие долговые </w:t>
      </w:r>
      <w:r w:rsidR="00332DF4" w:rsidRPr="009851E0">
        <w:rPr>
          <w:lang w:val="ru-RU"/>
        </w:rPr>
        <w:t>обязательства" уменьшились (−1,9 </w:t>
      </w:r>
      <w:r w:rsidR="009E503E" w:rsidRPr="009851E0">
        <w:rPr>
          <w:lang w:val="ru-RU"/>
        </w:rPr>
        <w:t>млн. швейцарских франков), в то время как "З</w:t>
      </w:r>
      <w:r w:rsidRPr="009851E0">
        <w:rPr>
          <w:lang w:val="ru-RU"/>
        </w:rPr>
        <w:t>апасы</w:t>
      </w:r>
      <w:r w:rsidR="009E503E" w:rsidRPr="009851E0">
        <w:rPr>
          <w:lang w:val="ru-RU"/>
        </w:rPr>
        <w:t>" остались примерно на том же уровне</w:t>
      </w:r>
      <w:r w:rsidR="00332DF4" w:rsidRPr="009851E0">
        <w:rPr>
          <w:lang w:val="ru-RU"/>
        </w:rPr>
        <w:t xml:space="preserve"> (+</w:t>
      </w:r>
      <w:r w:rsidRPr="009851E0">
        <w:rPr>
          <w:lang w:val="ru-RU"/>
        </w:rPr>
        <w:t>0,</w:t>
      </w:r>
      <w:r w:rsidR="00332DF4" w:rsidRPr="009851E0">
        <w:rPr>
          <w:lang w:val="ru-RU"/>
        </w:rPr>
        <w:t>1 </w:t>
      </w:r>
      <w:r w:rsidRPr="009851E0">
        <w:rPr>
          <w:lang w:val="ru-RU"/>
        </w:rPr>
        <w:t xml:space="preserve">млн. швейцарских франков). </w:t>
      </w:r>
    </w:p>
    <w:p w:rsidR="00542F98" w:rsidRPr="009851E0" w:rsidRDefault="00542F98" w:rsidP="00170A17">
      <w:pPr>
        <w:pStyle w:val="Heading1"/>
        <w:rPr>
          <w:lang w:val="ru-RU"/>
        </w:rPr>
      </w:pPr>
      <w:bookmarkStart w:id="83" w:name="_Toc358192823"/>
      <w:bookmarkStart w:id="84" w:name="_Toc398125308"/>
      <w:bookmarkStart w:id="85" w:name="_Toc398125787"/>
      <w:bookmarkStart w:id="86" w:name="_Toc398127084"/>
      <w:bookmarkStart w:id="87" w:name="_Toc452157299"/>
      <w:bookmarkStart w:id="88" w:name="_Toc482995168"/>
      <w:bookmarkStart w:id="89" w:name="_Toc522633558"/>
      <w:r w:rsidRPr="009851E0">
        <w:rPr>
          <w:lang w:val="ru-RU"/>
        </w:rPr>
        <w:t>Денежные средства и эквиваленты денежных средств</w:t>
      </w:r>
      <w:bookmarkEnd w:id="83"/>
      <w:bookmarkEnd w:id="84"/>
      <w:bookmarkEnd w:id="85"/>
      <w:bookmarkEnd w:id="86"/>
      <w:bookmarkEnd w:id="87"/>
      <w:bookmarkEnd w:id="88"/>
      <w:bookmarkEnd w:id="89"/>
    </w:p>
    <w:p w:rsidR="00542F98" w:rsidRPr="009851E0" w:rsidRDefault="00542F98" w:rsidP="0020767D">
      <w:pPr>
        <w:rPr>
          <w:lang w:val="ru-RU"/>
        </w:rPr>
      </w:pPr>
      <w:r w:rsidRPr="009851E0">
        <w:rPr>
          <w:lang w:val="ru-RU"/>
        </w:rPr>
        <w:t>5</w:t>
      </w:r>
      <w:r w:rsidRPr="009851E0">
        <w:rPr>
          <w:lang w:val="ru-RU"/>
        </w:rPr>
        <w:tab/>
        <w:t xml:space="preserve">Подраздел "Денежные средства и эквиваленты денежных средств", общий размер которого составляет </w:t>
      </w:r>
      <w:r w:rsidR="00332DF4" w:rsidRPr="009851E0">
        <w:rPr>
          <w:lang w:val="ru-RU"/>
        </w:rPr>
        <w:t>135</w:t>
      </w:r>
      <w:r w:rsidRPr="009851E0">
        <w:rPr>
          <w:lang w:val="ru-RU"/>
        </w:rPr>
        <w:t>,</w:t>
      </w:r>
      <w:r w:rsidR="00332DF4" w:rsidRPr="009851E0">
        <w:rPr>
          <w:lang w:val="ru-RU"/>
        </w:rPr>
        <w:t>3</w:t>
      </w:r>
      <w:r w:rsidRPr="009851E0">
        <w:rPr>
          <w:lang w:val="ru-RU"/>
        </w:rPr>
        <w:t xml:space="preserve"> млн. швейцарских франков, </w:t>
      </w:r>
      <w:r w:rsidR="006163D5" w:rsidRPr="009851E0">
        <w:rPr>
          <w:lang w:val="ru-RU"/>
        </w:rPr>
        <w:t>увеличился</w:t>
      </w:r>
      <w:r w:rsidRPr="009851E0">
        <w:rPr>
          <w:lang w:val="ru-RU"/>
        </w:rPr>
        <w:t xml:space="preserve"> на </w:t>
      </w:r>
      <w:r w:rsidR="00332DF4" w:rsidRPr="009851E0">
        <w:rPr>
          <w:lang w:val="ru-RU"/>
        </w:rPr>
        <w:t>24</w:t>
      </w:r>
      <w:r w:rsidRPr="009851E0">
        <w:rPr>
          <w:lang w:val="ru-RU"/>
        </w:rPr>
        <w:t>,</w:t>
      </w:r>
      <w:r w:rsidR="00332DF4" w:rsidRPr="009851E0">
        <w:rPr>
          <w:lang w:val="ru-RU"/>
        </w:rPr>
        <w:t>8</w:t>
      </w:r>
      <w:r w:rsidRPr="009851E0">
        <w:rPr>
          <w:lang w:val="ru-RU"/>
        </w:rPr>
        <w:t xml:space="preserve">% по сравнению с </w:t>
      </w:r>
      <w:r w:rsidR="00332DF4" w:rsidRPr="009851E0">
        <w:rPr>
          <w:lang w:val="ru-RU"/>
        </w:rPr>
        <w:t>108</w:t>
      </w:r>
      <w:r w:rsidRPr="009851E0">
        <w:rPr>
          <w:lang w:val="ru-RU"/>
        </w:rPr>
        <w:t>,</w:t>
      </w:r>
      <w:r w:rsidR="00332DF4" w:rsidRPr="009851E0">
        <w:rPr>
          <w:lang w:val="ru-RU"/>
        </w:rPr>
        <w:t>4</w:t>
      </w:r>
      <w:r w:rsidRPr="009851E0">
        <w:rPr>
          <w:lang w:val="ru-RU"/>
        </w:rPr>
        <w:t xml:space="preserve"> млн. швейцарских франков в 201</w:t>
      </w:r>
      <w:r w:rsidR="00332DF4" w:rsidRPr="009851E0">
        <w:rPr>
          <w:lang w:val="ru-RU"/>
        </w:rPr>
        <w:t>6</w:t>
      </w:r>
      <w:r w:rsidRPr="009851E0">
        <w:rPr>
          <w:lang w:val="ru-RU"/>
        </w:rPr>
        <w:t xml:space="preserve"> году; он включает наличные денежные средства и все остатки средств на почтов</w:t>
      </w:r>
      <w:r w:rsidR="0020767D" w:rsidRPr="009851E0">
        <w:rPr>
          <w:lang w:val="ru-RU"/>
        </w:rPr>
        <w:t>ых</w:t>
      </w:r>
      <w:r w:rsidRPr="009851E0">
        <w:rPr>
          <w:lang w:val="ru-RU"/>
        </w:rPr>
        <w:t xml:space="preserve"> и банковск</w:t>
      </w:r>
      <w:r w:rsidR="0020767D" w:rsidRPr="009851E0">
        <w:rPr>
          <w:lang w:val="ru-RU"/>
        </w:rPr>
        <w:t>их</w:t>
      </w:r>
      <w:r w:rsidRPr="009851E0">
        <w:rPr>
          <w:lang w:val="ru-RU"/>
        </w:rPr>
        <w:t xml:space="preserve"> текущих счетах МСЭ на 31 декабря 201</w:t>
      </w:r>
      <w:r w:rsidR="00332DF4" w:rsidRPr="009851E0">
        <w:rPr>
          <w:lang w:val="ru-RU"/>
        </w:rPr>
        <w:t>7</w:t>
      </w:r>
      <w:r w:rsidRPr="009851E0">
        <w:rPr>
          <w:lang w:val="ru-RU"/>
        </w:rPr>
        <w:t> года. Данное у</w:t>
      </w:r>
      <w:r w:rsidR="006163D5" w:rsidRPr="009851E0">
        <w:rPr>
          <w:lang w:val="ru-RU"/>
        </w:rPr>
        <w:t>величе</w:t>
      </w:r>
      <w:r w:rsidRPr="009851E0">
        <w:rPr>
          <w:lang w:val="ru-RU"/>
        </w:rPr>
        <w:t>ние связано в основном с "Банковскими текущими счетами в швейцарских франках" (</w:t>
      </w:r>
      <w:r w:rsidR="008C58FA" w:rsidRPr="009851E0">
        <w:rPr>
          <w:lang w:val="ru-RU"/>
        </w:rPr>
        <w:t>+39</w:t>
      </w:r>
      <w:r w:rsidRPr="009851E0">
        <w:rPr>
          <w:lang w:val="ru-RU"/>
        </w:rPr>
        <w:t>,</w:t>
      </w:r>
      <w:r w:rsidR="008C58FA" w:rsidRPr="009851E0">
        <w:rPr>
          <w:lang w:val="ru-RU"/>
        </w:rPr>
        <w:t>8</w:t>
      </w:r>
      <w:r w:rsidRPr="009851E0">
        <w:rPr>
          <w:lang w:val="ru-RU"/>
        </w:rPr>
        <w:t xml:space="preserve"> млн. швейцарских франков), составляющими в этом подразделе в целом около 6</w:t>
      </w:r>
      <w:r w:rsidR="008C58FA" w:rsidRPr="009851E0">
        <w:rPr>
          <w:lang w:val="ru-RU"/>
        </w:rPr>
        <w:t>9</w:t>
      </w:r>
      <w:r w:rsidRPr="009851E0">
        <w:rPr>
          <w:lang w:val="ru-RU"/>
        </w:rPr>
        <w:t>,</w:t>
      </w:r>
      <w:r w:rsidR="008C58FA" w:rsidRPr="009851E0">
        <w:rPr>
          <w:lang w:val="ru-RU"/>
        </w:rPr>
        <w:t>1</w:t>
      </w:r>
      <w:r w:rsidRPr="009851E0">
        <w:rPr>
          <w:lang w:val="ru-RU"/>
        </w:rPr>
        <w:t>%</w:t>
      </w:r>
      <w:r w:rsidR="006163D5" w:rsidRPr="009851E0">
        <w:rPr>
          <w:lang w:val="ru-RU"/>
        </w:rPr>
        <w:t>, а также с "Банковскими текущими счетами в иностранных валютах" (+14,8 млн. швейцарских франков), что составляет примерно 23,9% от общих средств в подразделе</w:t>
      </w:r>
      <w:r w:rsidRPr="009851E0">
        <w:rPr>
          <w:lang w:val="ru-RU"/>
        </w:rPr>
        <w:t>.</w:t>
      </w:r>
      <w:r w:rsidR="006163D5" w:rsidRPr="009851E0">
        <w:rPr>
          <w:lang w:val="ru-RU"/>
        </w:rPr>
        <w:t xml:space="preserve"> </w:t>
      </w:r>
      <w:r w:rsidRPr="009851E0">
        <w:rPr>
          <w:lang w:val="ru-RU"/>
        </w:rPr>
        <w:t xml:space="preserve">Данное </w:t>
      </w:r>
      <w:r w:rsidR="006163D5" w:rsidRPr="009851E0">
        <w:rPr>
          <w:lang w:val="ru-RU"/>
        </w:rPr>
        <w:t>увеличение</w:t>
      </w:r>
      <w:r w:rsidRPr="009851E0">
        <w:rPr>
          <w:lang w:val="ru-RU"/>
        </w:rPr>
        <w:t xml:space="preserve"> возникло в результате перевода </w:t>
      </w:r>
      <w:r w:rsidR="006163D5" w:rsidRPr="009851E0">
        <w:rPr>
          <w:lang w:val="ru-RU"/>
        </w:rPr>
        <w:t>из</w:t>
      </w:r>
      <w:r w:rsidRPr="009851E0">
        <w:rPr>
          <w:lang w:val="ru-RU"/>
        </w:rPr>
        <w:t xml:space="preserve"> подраздел</w:t>
      </w:r>
      <w:r w:rsidR="006163D5" w:rsidRPr="009851E0">
        <w:rPr>
          <w:lang w:val="ru-RU"/>
        </w:rPr>
        <w:t>а</w:t>
      </w:r>
      <w:r w:rsidRPr="009851E0">
        <w:rPr>
          <w:lang w:val="ru-RU"/>
        </w:rPr>
        <w:t xml:space="preserve"> "Вклады", обусловленного политикой диверсификации, которая</w:t>
      </w:r>
      <w:r w:rsidR="006163D5" w:rsidRPr="009851E0">
        <w:rPr>
          <w:lang w:val="ru-RU"/>
        </w:rPr>
        <w:t xml:space="preserve"> была</w:t>
      </w:r>
      <w:r w:rsidRPr="009851E0">
        <w:rPr>
          <w:lang w:val="ru-RU"/>
        </w:rPr>
        <w:t xml:space="preserve"> внедр</w:t>
      </w:r>
      <w:r w:rsidR="0063619D" w:rsidRPr="009851E0">
        <w:rPr>
          <w:lang w:val="ru-RU"/>
        </w:rPr>
        <w:t>ена в 2015 </w:t>
      </w:r>
      <w:r w:rsidR="006163D5" w:rsidRPr="009851E0">
        <w:rPr>
          <w:lang w:val="ru-RU"/>
        </w:rPr>
        <w:t>году</w:t>
      </w:r>
      <w:r w:rsidRPr="009851E0">
        <w:rPr>
          <w:lang w:val="ru-RU"/>
        </w:rPr>
        <w:t xml:space="preserve">. Подробная разбивка подраздела "Денежные средства и эквиваленты денежных средств" приводится в Примечании </w:t>
      </w:r>
      <w:r w:rsidR="008C58FA" w:rsidRPr="009851E0">
        <w:rPr>
          <w:lang w:val="ru-RU"/>
        </w:rPr>
        <w:t>6</w:t>
      </w:r>
      <w:r w:rsidRPr="009851E0">
        <w:rPr>
          <w:lang w:val="ru-RU"/>
        </w:rPr>
        <w:t xml:space="preserve"> к Отчету о финансовой деятельности.</w:t>
      </w:r>
    </w:p>
    <w:p w:rsidR="00542F98" w:rsidRPr="009851E0" w:rsidRDefault="00542F98" w:rsidP="00E65486">
      <w:pPr>
        <w:rPr>
          <w:lang w:val="ru-RU"/>
        </w:rPr>
      </w:pPr>
      <w:r w:rsidRPr="009851E0">
        <w:rPr>
          <w:lang w:val="ru-RU"/>
        </w:rPr>
        <w:t>6</w:t>
      </w:r>
      <w:r w:rsidRPr="009851E0">
        <w:rPr>
          <w:lang w:val="ru-RU"/>
        </w:rPr>
        <w:tab/>
        <w:t>Мы обратились с просьбой ко всем банкам, у которых имеются деловые отношения с МСЭ, подтвердить остатки средств на текущих счетах по состоянию на 31 декабря 201</w:t>
      </w:r>
      <w:r w:rsidR="00B76F30" w:rsidRPr="009851E0">
        <w:rPr>
          <w:lang w:val="ru-RU"/>
        </w:rPr>
        <w:t>7</w:t>
      </w:r>
      <w:r w:rsidRPr="009851E0">
        <w:rPr>
          <w:lang w:val="ru-RU"/>
        </w:rPr>
        <w:t xml:space="preserve"> года. Мы удостоверились, что остатки средств на счетах должным образом отражены в счетах. Все выявленные </w:t>
      </w:r>
      <w:r w:rsidR="0014745B" w:rsidRPr="009851E0">
        <w:rPr>
          <w:lang w:val="ru-RU"/>
        </w:rPr>
        <w:t xml:space="preserve">в подтверждениях банков </w:t>
      </w:r>
      <w:r w:rsidRPr="009851E0">
        <w:rPr>
          <w:lang w:val="ru-RU"/>
        </w:rPr>
        <w:t xml:space="preserve">расхождения были объяснены и обоснованы. Следует упомянуть о том, что мы не получили прямого подтверждения </w:t>
      </w:r>
      <w:r w:rsidR="00B76F30" w:rsidRPr="009851E0">
        <w:rPr>
          <w:lang w:val="ru-RU"/>
        </w:rPr>
        <w:t xml:space="preserve">только </w:t>
      </w:r>
      <w:r w:rsidRPr="009851E0">
        <w:rPr>
          <w:lang w:val="ru-RU"/>
        </w:rPr>
        <w:t xml:space="preserve">от </w:t>
      </w:r>
      <w:r w:rsidR="00B76F30" w:rsidRPr="009851E0">
        <w:rPr>
          <w:lang w:val="ru-RU"/>
        </w:rPr>
        <w:t>двух</w:t>
      </w:r>
      <w:r w:rsidRPr="009851E0">
        <w:rPr>
          <w:lang w:val="ru-RU"/>
        </w:rPr>
        <w:t xml:space="preserve"> банков. </w:t>
      </w:r>
      <w:r w:rsidR="00E65486" w:rsidRPr="009851E0">
        <w:rPr>
          <w:lang w:val="ru-RU"/>
        </w:rPr>
        <w:t>Мы отметили постоянное улучшение ситуации по сравнению с предыдущими годами, и мы подтверждаем усилия, предпринятые руководством, для того чтобы мы получили все подтверждения, хотя э</w:t>
      </w:r>
      <w:r w:rsidRPr="009851E0">
        <w:rPr>
          <w:lang w:val="ru-RU"/>
        </w:rPr>
        <w:t xml:space="preserve">то обстоятельство ограничило нашу работу в данной области. </w:t>
      </w:r>
    </w:p>
    <w:p w:rsidR="00542F98" w:rsidRPr="009851E0" w:rsidRDefault="00542F98" w:rsidP="008C58FA">
      <w:pPr>
        <w:rPr>
          <w:lang w:val="ru-RU"/>
        </w:rPr>
      </w:pPr>
      <w:r w:rsidRPr="009851E0">
        <w:rPr>
          <w:lang w:val="ru-RU"/>
        </w:rPr>
        <w:t>7</w:t>
      </w:r>
      <w:r w:rsidRPr="009851E0">
        <w:rPr>
          <w:lang w:val="ru-RU"/>
        </w:rPr>
        <w:tab/>
        <w:t>В том что касается отсутствующих подтверждений от банков, руководство представило нам копию отчетности по состоянию на 31 декабря 201</w:t>
      </w:r>
      <w:r w:rsidR="00B76F30" w:rsidRPr="009851E0">
        <w:rPr>
          <w:lang w:val="ru-RU"/>
        </w:rPr>
        <w:t>7</w:t>
      </w:r>
      <w:r w:rsidRPr="009851E0">
        <w:rPr>
          <w:lang w:val="ru-RU"/>
        </w:rPr>
        <w:t xml:space="preserve"> года, которая относится ко всем вышеупомянутым банкам, и мы использовали эту отчетность для выверки данных. </w:t>
      </w:r>
    </w:p>
    <w:p w:rsidR="00542F98" w:rsidRPr="009851E0" w:rsidRDefault="00542F98" w:rsidP="00E65486">
      <w:pPr>
        <w:pStyle w:val="Heading1"/>
        <w:rPr>
          <w:i/>
          <w:iCs/>
          <w:lang w:val="ru-RU"/>
        </w:rPr>
      </w:pPr>
      <w:bookmarkStart w:id="90" w:name="_Toc452157300"/>
      <w:bookmarkStart w:id="91" w:name="_Toc482995169"/>
      <w:bookmarkStart w:id="92" w:name="_Toc522633559"/>
      <w:bookmarkStart w:id="93" w:name="_Toc358192827"/>
      <w:bookmarkStart w:id="94" w:name="_Toc398125313"/>
      <w:bookmarkStart w:id="95" w:name="_Toc398125792"/>
      <w:bookmarkStart w:id="96" w:name="_Toc398127085"/>
      <w:r w:rsidRPr="009851E0">
        <w:rPr>
          <w:i/>
          <w:iCs/>
          <w:lang w:val="ru-RU"/>
        </w:rPr>
        <w:t>Обновление списк</w:t>
      </w:r>
      <w:r w:rsidR="00E65486" w:rsidRPr="009851E0">
        <w:rPr>
          <w:i/>
          <w:iCs/>
          <w:lang w:val="ru-RU"/>
        </w:rPr>
        <w:t>ов</w:t>
      </w:r>
      <w:r w:rsidRPr="009851E0">
        <w:rPr>
          <w:i/>
          <w:iCs/>
          <w:lang w:val="ru-RU"/>
        </w:rPr>
        <w:t xml:space="preserve"> разрешенных подписей в банках</w:t>
      </w:r>
      <w:bookmarkEnd w:id="90"/>
      <w:bookmarkEnd w:id="91"/>
      <w:bookmarkEnd w:id="92"/>
    </w:p>
    <w:p w:rsidR="00542F98" w:rsidRPr="009851E0" w:rsidRDefault="00542F98" w:rsidP="00E65486">
      <w:pPr>
        <w:rPr>
          <w:lang w:val="ru-RU"/>
        </w:rPr>
      </w:pPr>
      <w:r w:rsidRPr="009851E0">
        <w:rPr>
          <w:lang w:val="ru-RU"/>
        </w:rPr>
        <w:t>8</w:t>
      </w:r>
      <w:r w:rsidRPr="009851E0">
        <w:rPr>
          <w:lang w:val="ru-RU"/>
        </w:rPr>
        <w:tab/>
        <w:t>В результате нашей аудиторской проверки полученных от банков подтверждений, как и в прошл</w:t>
      </w:r>
      <w:r w:rsidR="0014745B" w:rsidRPr="009851E0">
        <w:rPr>
          <w:lang w:val="ru-RU"/>
        </w:rPr>
        <w:t>ые</w:t>
      </w:r>
      <w:r w:rsidRPr="009851E0">
        <w:rPr>
          <w:lang w:val="ru-RU"/>
        </w:rPr>
        <w:t xml:space="preserve"> год</w:t>
      </w:r>
      <w:r w:rsidR="0014745B" w:rsidRPr="009851E0">
        <w:rPr>
          <w:lang w:val="ru-RU"/>
        </w:rPr>
        <w:t>ы</w:t>
      </w:r>
      <w:r w:rsidRPr="009851E0">
        <w:rPr>
          <w:lang w:val="ru-RU"/>
        </w:rPr>
        <w:t>, мы обнаружили расхождения между списк</w:t>
      </w:r>
      <w:r w:rsidR="00E65486" w:rsidRPr="009851E0">
        <w:rPr>
          <w:lang w:val="ru-RU"/>
        </w:rPr>
        <w:t>ами</w:t>
      </w:r>
      <w:r w:rsidRPr="009851E0">
        <w:rPr>
          <w:lang w:val="ru-RU"/>
        </w:rPr>
        <w:t xml:space="preserve"> разрешенных подписей, который ведет руководство в штаб-квартире, и списками, которые мы получили от банков. В связи с тем, что не все подтверждения были получены, мы не смогли сделать заключение в отношении лиц с правом подписи. </w:t>
      </w:r>
      <w:r w:rsidR="0014745B" w:rsidRPr="009851E0">
        <w:rPr>
          <w:lang w:val="ru-RU"/>
        </w:rPr>
        <w:t>Мы подтверждаем</w:t>
      </w:r>
      <w:r w:rsidRPr="009851E0">
        <w:rPr>
          <w:lang w:val="ru-RU"/>
        </w:rPr>
        <w:t xml:space="preserve">, что руководство </w:t>
      </w:r>
      <w:r w:rsidR="0014745B" w:rsidRPr="009851E0">
        <w:rPr>
          <w:lang w:val="ru-RU"/>
        </w:rPr>
        <w:t>принимало незамедлительные меры</w:t>
      </w:r>
      <w:r w:rsidRPr="009851E0">
        <w:rPr>
          <w:lang w:val="ru-RU"/>
        </w:rPr>
        <w:t>, обращаясь к банкам в целях устранения этих расхождений.</w:t>
      </w:r>
    </w:p>
    <w:p w:rsidR="00542F98" w:rsidRPr="009851E0" w:rsidRDefault="00542F98" w:rsidP="00170A17">
      <w:pPr>
        <w:pStyle w:val="Heading1"/>
        <w:rPr>
          <w:lang w:val="ru-RU"/>
        </w:rPr>
      </w:pPr>
      <w:bookmarkStart w:id="97" w:name="_Toc452157301"/>
      <w:bookmarkStart w:id="98" w:name="_Toc482995170"/>
      <w:bookmarkStart w:id="99" w:name="_Toc522633560"/>
      <w:r w:rsidRPr="009851E0">
        <w:rPr>
          <w:lang w:val="ru-RU"/>
        </w:rPr>
        <w:t>Вклады</w:t>
      </w:r>
      <w:bookmarkEnd w:id="93"/>
      <w:bookmarkEnd w:id="94"/>
      <w:bookmarkEnd w:id="95"/>
      <w:bookmarkEnd w:id="96"/>
      <w:bookmarkEnd w:id="97"/>
      <w:bookmarkEnd w:id="98"/>
      <w:bookmarkEnd w:id="99"/>
    </w:p>
    <w:p w:rsidR="00542F98" w:rsidRPr="009851E0" w:rsidRDefault="00542F98" w:rsidP="00B76F30">
      <w:pPr>
        <w:rPr>
          <w:lang w:val="ru-RU"/>
        </w:rPr>
      </w:pPr>
      <w:r w:rsidRPr="009851E0">
        <w:rPr>
          <w:lang w:val="ru-RU"/>
        </w:rPr>
        <w:t>9</w:t>
      </w:r>
      <w:r w:rsidRPr="009851E0">
        <w:rPr>
          <w:lang w:val="ru-RU"/>
        </w:rPr>
        <w:tab/>
        <w:t>В 201</w:t>
      </w:r>
      <w:r w:rsidR="00B76F30" w:rsidRPr="009851E0">
        <w:rPr>
          <w:lang w:val="ru-RU"/>
        </w:rPr>
        <w:t>7</w:t>
      </w:r>
      <w:r w:rsidRPr="009851E0">
        <w:rPr>
          <w:lang w:val="ru-RU"/>
        </w:rPr>
        <w:t xml:space="preserve"> году </w:t>
      </w:r>
      <w:r w:rsidR="00D121C2" w:rsidRPr="009851E0">
        <w:rPr>
          <w:lang w:val="ru-RU"/>
        </w:rPr>
        <w:t xml:space="preserve">средства в </w:t>
      </w:r>
      <w:r w:rsidRPr="009851E0">
        <w:rPr>
          <w:lang w:val="ru-RU"/>
        </w:rPr>
        <w:t>подраздел</w:t>
      </w:r>
      <w:r w:rsidR="00D121C2" w:rsidRPr="009851E0">
        <w:rPr>
          <w:lang w:val="ru-RU"/>
        </w:rPr>
        <w:t>е</w:t>
      </w:r>
      <w:r w:rsidRPr="009851E0">
        <w:rPr>
          <w:lang w:val="ru-RU"/>
        </w:rPr>
        <w:t xml:space="preserve"> "Вклады", размер которых составил </w:t>
      </w:r>
      <w:r w:rsidR="00826CA7" w:rsidRPr="009851E0">
        <w:rPr>
          <w:lang w:val="ru-RU"/>
        </w:rPr>
        <w:t>65</w:t>
      </w:r>
      <w:r w:rsidRPr="009851E0">
        <w:rPr>
          <w:lang w:val="ru-RU"/>
        </w:rPr>
        <w:t>,</w:t>
      </w:r>
      <w:r w:rsidR="00826CA7" w:rsidRPr="009851E0">
        <w:rPr>
          <w:lang w:val="ru-RU"/>
        </w:rPr>
        <w:t>0</w:t>
      </w:r>
      <w:r w:rsidRPr="009851E0">
        <w:rPr>
          <w:lang w:val="ru-RU"/>
        </w:rPr>
        <w:t xml:space="preserve"> млн. швей</w:t>
      </w:r>
      <w:r w:rsidR="00826CA7" w:rsidRPr="009851E0">
        <w:rPr>
          <w:lang w:val="ru-RU"/>
        </w:rPr>
        <w:t xml:space="preserve">царских франков, </w:t>
      </w:r>
      <w:r w:rsidR="003B6205" w:rsidRPr="009851E0">
        <w:rPr>
          <w:lang w:val="ru-RU"/>
        </w:rPr>
        <w:t>уменьшил</w:t>
      </w:r>
      <w:r w:rsidR="00D121C2" w:rsidRPr="009851E0">
        <w:rPr>
          <w:lang w:val="ru-RU"/>
        </w:rPr>
        <w:t>ись</w:t>
      </w:r>
      <w:r w:rsidR="00826CA7" w:rsidRPr="009851E0">
        <w:rPr>
          <w:lang w:val="ru-RU"/>
        </w:rPr>
        <w:t xml:space="preserve"> на </w:t>
      </w:r>
      <w:r w:rsidR="00B76F30" w:rsidRPr="009851E0">
        <w:rPr>
          <w:lang w:val="ru-RU"/>
        </w:rPr>
        <w:t>33</w:t>
      </w:r>
      <w:r w:rsidRPr="009851E0">
        <w:rPr>
          <w:lang w:val="ru-RU"/>
        </w:rPr>
        <w:t>,</w:t>
      </w:r>
      <w:r w:rsidR="00B76F30" w:rsidRPr="009851E0">
        <w:rPr>
          <w:lang w:val="ru-RU"/>
        </w:rPr>
        <w:t>6</w:t>
      </w:r>
      <w:r w:rsidRPr="009851E0">
        <w:rPr>
          <w:lang w:val="ru-RU"/>
        </w:rPr>
        <w:t xml:space="preserve"> млн. швейцарских франков (</w:t>
      </w:r>
      <w:r w:rsidR="00B76F30" w:rsidRPr="009851E0">
        <w:rPr>
          <w:lang w:val="ru-RU"/>
        </w:rPr>
        <w:t>–5</w:t>
      </w:r>
      <w:r w:rsidR="00826CA7" w:rsidRPr="009851E0">
        <w:rPr>
          <w:lang w:val="ru-RU"/>
        </w:rPr>
        <w:t>1</w:t>
      </w:r>
      <w:r w:rsidRPr="009851E0">
        <w:rPr>
          <w:lang w:val="ru-RU"/>
        </w:rPr>
        <w:t>,</w:t>
      </w:r>
      <w:r w:rsidR="00B76F30" w:rsidRPr="009851E0">
        <w:rPr>
          <w:lang w:val="ru-RU"/>
        </w:rPr>
        <w:t>7</w:t>
      </w:r>
      <w:r w:rsidRPr="009851E0">
        <w:rPr>
          <w:lang w:val="ru-RU"/>
        </w:rPr>
        <w:t>%) по ср</w:t>
      </w:r>
      <w:r w:rsidR="003373E4" w:rsidRPr="009851E0">
        <w:rPr>
          <w:lang w:val="ru-RU"/>
        </w:rPr>
        <w:t>авнению с 201</w:t>
      </w:r>
      <w:r w:rsidR="00B76F30" w:rsidRPr="009851E0">
        <w:rPr>
          <w:lang w:val="ru-RU"/>
        </w:rPr>
        <w:t>6</w:t>
      </w:r>
      <w:r w:rsidR="003373E4" w:rsidRPr="009851E0">
        <w:rPr>
          <w:lang w:val="ru-RU"/>
        </w:rPr>
        <w:t xml:space="preserve"> годом (</w:t>
      </w:r>
      <w:r w:rsidR="00B76F30" w:rsidRPr="009851E0">
        <w:rPr>
          <w:lang w:val="ru-RU"/>
        </w:rPr>
        <w:t>65,0</w:t>
      </w:r>
      <w:r w:rsidR="003373E4" w:rsidRPr="009851E0">
        <w:rPr>
          <w:lang w:val="ru-RU"/>
        </w:rPr>
        <w:t> млн. </w:t>
      </w:r>
      <w:r w:rsidRPr="009851E0">
        <w:rPr>
          <w:lang w:val="ru-RU"/>
        </w:rPr>
        <w:t>швейцарских франков) и включа</w:t>
      </w:r>
      <w:r w:rsidR="00D121C2" w:rsidRPr="009851E0">
        <w:rPr>
          <w:lang w:val="ru-RU"/>
        </w:rPr>
        <w:t>ю</w:t>
      </w:r>
      <w:r w:rsidRPr="009851E0">
        <w:rPr>
          <w:lang w:val="ru-RU"/>
        </w:rPr>
        <w:t>т с 31 декабря 201</w:t>
      </w:r>
      <w:r w:rsidR="00B76F30" w:rsidRPr="009851E0">
        <w:rPr>
          <w:lang w:val="ru-RU"/>
        </w:rPr>
        <w:t>7</w:t>
      </w:r>
      <w:r w:rsidRPr="009851E0">
        <w:rPr>
          <w:lang w:val="ru-RU"/>
        </w:rPr>
        <w:t xml:space="preserve"> года срочные вклады со сроком возврата не более 6 месяцев. Подробная разбивка вкладов по срокам возврата и основание для принятия решения о</w:t>
      </w:r>
      <w:r w:rsidR="001B281F" w:rsidRPr="009851E0">
        <w:rPr>
          <w:lang w:val="ru-RU"/>
        </w:rPr>
        <w:t xml:space="preserve"> снижении</w:t>
      </w:r>
      <w:r w:rsidRPr="009851E0">
        <w:rPr>
          <w:lang w:val="ru-RU"/>
        </w:rPr>
        <w:t xml:space="preserve"> объема вкладов в 201</w:t>
      </w:r>
      <w:r w:rsidR="00B76F30" w:rsidRPr="009851E0">
        <w:rPr>
          <w:lang w:val="ru-RU"/>
        </w:rPr>
        <w:t>7</w:t>
      </w:r>
      <w:r w:rsidRPr="009851E0">
        <w:rPr>
          <w:lang w:val="ru-RU"/>
        </w:rPr>
        <w:t xml:space="preserve"> году приводятся в Примечании </w:t>
      </w:r>
      <w:r w:rsidR="00826CA7" w:rsidRPr="009851E0">
        <w:rPr>
          <w:lang w:val="ru-RU"/>
        </w:rPr>
        <w:t>7</w:t>
      </w:r>
      <w:r w:rsidRPr="009851E0">
        <w:rPr>
          <w:lang w:val="ru-RU"/>
        </w:rPr>
        <w:t xml:space="preserve"> к Отчету о финансовой деятельности. </w:t>
      </w:r>
    </w:p>
    <w:p w:rsidR="00542F98" w:rsidRPr="009851E0" w:rsidRDefault="00542F98" w:rsidP="00F343D7">
      <w:pPr>
        <w:rPr>
          <w:lang w:val="ru-RU"/>
        </w:rPr>
      </w:pPr>
      <w:r w:rsidRPr="009851E0">
        <w:rPr>
          <w:lang w:val="ru-RU"/>
        </w:rPr>
        <w:t>10</w:t>
      </w:r>
      <w:r w:rsidRPr="009851E0">
        <w:rPr>
          <w:lang w:val="ru-RU"/>
        </w:rPr>
        <w:tab/>
        <w:t xml:space="preserve">В Примечании </w:t>
      </w:r>
      <w:r w:rsidR="00826CA7" w:rsidRPr="009851E0">
        <w:rPr>
          <w:lang w:val="ru-RU"/>
        </w:rPr>
        <w:t>2</w:t>
      </w:r>
      <w:r w:rsidRPr="009851E0">
        <w:rPr>
          <w:lang w:val="ru-RU"/>
        </w:rPr>
        <w:t xml:space="preserve"> к Отчету о финансовой деятельности, касающемся Основных принципов бухгалтерского учета, в отдельном пункте по финансовым инструментам представлена информация </w:t>
      </w:r>
      <w:r w:rsidR="00F343D7" w:rsidRPr="009851E0">
        <w:rPr>
          <w:lang w:val="ru-RU"/>
        </w:rPr>
        <w:t>по раскрытию</w:t>
      </w:r>
      <w:r w:rsidRPr="009851E0">
        <w:rPr>
          <w:lang w:val="ru-RU"/>
        </w:rPr>
        <w:t xml:space="preserve"> вклад</w:t>
      </w:r>
      <w:r w:rsidR="00F343D7" w:rsidRPr="009851E0">
        <w:rPr>
          <w:lang w:val="ru-RU"/>
        </w:rPr>
        <w:t>ов</w:t>
      </w:r>
      <w:r w:rsidRPr="009851E0">
        <w:rPr>
          <w:lang w:val="ru-RU"/>
        </w:rPr>
        <w:t xml:space="preserve">. В соответствии с IPSAS, в Примечании </w:t>
      </w:r>
      <w:r w:rsidR="005B20AE" w:rsidRPr="009851E0">
        <w:rPr>
          <w:lang w:val="ru-RU"/>
        </w:rPr>
        <w:t>4</w:t>
      </w:r>
      <w:r w:rsidRPr="009851E0">
        <w:rPr>
          <w:lang w:val="ru-RU"/>
        </w:rPr>
        <w:t xml:space="preserve"> представлена информация об управлении финансовыми рисками; в частности, все вклады подвержены кредитному риску, а также риску, связанному с процен</w:t>
      </w:r>
      <w:r w:rsidR="00B76F30" w:rsidRPr="009851E0">
        <w:rPr>
          <w:lang w:val="ru-RU"/>
        </w:rPr>
        <w:t>тной ставкой, риску ликвидности</w:t>
      </w:r>
      <w:r w:rsidRPr="009851E0">
        <w:rPr>
          <w:lang w:val="ru-RU"/>
        </w:rPr>
        <w:t xml:space="preserve"> и рыночному риск</w:t>
      </w:r>
      <w:r w:rsidR="00B76F30" w:rsidRPr="009851E0">
        <w:rPr>
          <w:lang w:val="ru-RU"/>
        </w:rPr>
        <w:t>у</w:t>
      </w:r>
      <w:r w:rsidRPr="009851E0">
        <w:rPr>
          <w:lang w:val="ru-RU"/>
        </w:rPr>
        <w:t xml:space="preserve">. </w:t>
      </w:r>
    </w:p>
    <w:p w:rsidR="00542F98" w:rsidRPr="009851E0" w:rsidRDefault="00542F98" w:rsidP="00170A17">
      <w:pPr>
        <w:pStyle w:val="Heading1"/>
        <w:rPr>
          <w:lang w:val="ru-RU"/>
        </w:rPr>
      </w:pPr>
      <w:bookmarkStart w:id="100" w:name="_Toc358192829"/>
      <w:bookmarkStart w:id="101" w:name="_Toc398125314"/>
      <w:bookmarkStart w:id="102" w:name="_Toc398125793"/>
      <w:bookmarkStart w:id="103" w:name="_Toc398127086"/>
      <w:bookmarkStart w:id="104" w:name="_Toc452157302"/>
      <w:bookmarkStart w:id="105" w:name="_Toc482995171"/>
      <w:bookmarkStart w:id="106" w:name="_Toc522633561"/>
      <w:r w:rsidRPr="009851E0">
        <w:rPr>
          <w:lang w:val="ru-RU"/>
        </w:rPr>
        <w:t>Долговые обязательства</w:t>
      </w:r>
      <w:bookmarkEnd w:id="100"/>
      <w:bookmarkEnd w:id="101"/>
      <w:bookmarkEnd w:id="102"/>
      <w:bookmarkEnd w:id="103"/>
      <w:bookmarkEnd w:id="104"/>
      <w:bookmarkEnd w:id="105"/>
      <w:bookmarkEnd w:id="106"/>
    </w:p>
    <w:p w:rsidR="00B76F30" w:rsidRPr="009851E0" w:rsidRDefault="00542F98" w:rsidP="00B76F30">
      <w:pPr>
        <w:rPr>
          <w:lang w:val="ru-RU"/>
        </w:rPr>
      </w:pPr>
      <w:r w:rsidRPr="009851E0">
        <w:rPr>
          <w:lang w:val="ru-RU"/>
        </w:rPr>
        <w:t>11</w:t>
      </w:r>
      <w:r w:rsidRPr="009851E0">
        <w:rPr>
          <w:lang w:val="ru-RU"/>
        </w:rPr>
        <w:tab/>
        <w:t>Чистый объем текущих долговых обязательств, как по обменным, так и по необменным операциям, составил в 201</w:t>
      </w:r>
      <w:r w:rsidR="00B76F30" w:rsidRPr="009851E0">
        <w:rPr>
          <w:lang w:val="ru-RU"/>
        </w:rPr>
        <w:t>7</w:t>
      </w:r>
      <w:r w:rsidRPr="009851E0">
        <w:rPr>
          <w:lang w:val="ru-RU"/>
        </w:rPr>
        <w:t xml:space="preserve"> году </w:t>
      </w:r>
      <w:r w:rsidR="00B76F30" w:rsidRPr="009851E0">
        <w:rPr>
          <w:lang w:val="ru-RU"/>
        </w:rPr>
        <w:t xml:space="preserve">97,1 млн. швейцарских франков по сравнению с </w:t>
      </w:r>
      <w:r w:rsidRPr="009851E0">
        <w:rPr>
          <w:lang w:val="ru-RU"/>
        </w:rPr>
        <w:t>8</w:t>
      </w:r>
      <w:r w:rsidR="00F71DD0" w:rsidRPr="009851E0">
        <w:rPr>
          <w:lang w:val="ru-RU"/>
        </w:rPr>
        <w:t>5</w:t>
      </w:r>
      <w:r w:rsidRPr="009851E0">
        <w:rPr>
          <w:lang w:val="ru-RU"/>
        </w:rPr>
        <w:t>,</w:t>
      </w:r>
      <w:r w:rsidR="00F71DD0" w:rsidRPr="009851E0">
        <w:rPr>
          <w:lang w:val="ru-RU"/>
        </w:rPr>
        <w:t>5</w:t>
      </w:r>
      <w:r w:rsidR="00954314" w:rsidRPr="009851E0">
        <w:rPr>
          <w:lang w:val="ru-RU"/>
        </w:rPr>
        <w:t> </w:t>
      </w:r>
      <w:r w:rsidRPr="009851E0">
        <w:rPr>
          <w:lang w:val="ru-RU"/>
        </w:rPr>
        <w:t>млн. швейцарских ф</w:t>
      </w:r>
      <w:r w:rsidR="003373E4" w:rsidRPr="009851E0">
        <w:rPr>
          <w:lang w:val="ru-RU"/>
        </w:rPr>
        <w:t xml:space="preserve">ранков </w:t>
      </w:r>
      <w:r w:rsidRPr="009851E0">
        <w:rPr>
          <w:lang w:val="ru-RU"/>
        </w:rPr>
        <w:t>в 201</w:t>
      </w:r>
      <w:r w:rsidR="00B76F30" w:rsidRPr="009851E0">
        <w:rPr>
          <w:lang w:val="ru-RU"/>
        </w:rPr>
        <w:t>6</w:t>
      </w:r>
      <w:r w:rsidR="00F71DD0" w:rsidRPr="009851E0">
        <w:rPr>
          <w:lang w:val="ru-RU"/>
        </w:rPr>
        <w:t xml:space="preserve"> году. </w:t>
      </w:r>
      <w:r w:rsidR="000F132B" w:rsidRPr="009851E0">
        <w:rPr>
          <w:lang w:val="ru-RU"/>
        </w:rPr>
        <w:t>Это составляет</w:t>
      </w:r>
      <w:r w:rsidR="00F71DD0" w:rsidRPr="009851E0">
        <w:rPr>
          <w:lang w:val="ru-RU"/>
        </w:rPr>
        <w:t xml:space="preserve"> 3</w:t>
      </w:r>
      <w:r w:rsidR="00B76F30" w:rsidRPr="009851E0">
        <w:rPr>
          <w:lang w:val="ru-RU"/>
        </w:rPr>
        <w:t>5</w:t>
      </w:r>
      <w:r w:rsidRPr="009851E0">
        <w:rPr>
          <w:lang w:val="ru-RU"/>
        </w:rPr>
        <w:t>,</w:t>
      </w:r>
      <w:r w:rsidR="00B76F30" w:rsidRPr="009851E0">
        <w:rPr>
          <w:lang w:val="ru-RU"/>
        </w:rPr>
        <w:t>7</w:t>
      </w:r>
      <w:r w:rsidRPr="009851E0">
        <w:rPr>
          <w:lang w:val="ru-RU"/>
        </w:rPr>
        <w:t>% от общего объема текущих активов по сравнению примерно с 3</w:t>
      </w:r>
      <w:r w:rsidR="00B76F30" w:rsidRPr="009851E0">
        <w:rPr>
          <w:lang w:val="ru-RU"/>
        </w:rPr>
        <w:t>1</w:t>
      </w:r>
      <w:r w:rsidRPr="009851E0">
        <w:rPr>
          <w:lang w:val="ru-RU"/>
        </w:rPr>
        <w:t>,</w:t>
      </w:r>
      <w:r w:rsidR="00B76F30" w:rsidRPr="009851E0">
        <w:rPr>
          <w:lang w:val="ru-RU"/>
        </w:rPr>
        <w:t>8</w:t>
      </w:r>
      <w:r w:rsidRPr="009851E0">
        <w:rPr>
          <w:lang w:val="ru-RU"/>
        </w:rPr>
        <w:t>% в 201</w:t>
      </w:r>
      <w:r w:rsidR="00B76F30" w:rsidRPr="009851E0">
        <w:rPr>
          <w:lang w:val="ru-RU"/>
        </w:rPr>
        <w:t>6</w:t>
      </w:r>
      <w:r w:rsidRPr="009851E0">
        <w:rPr>
          <w:lang w:val="ru-RU"/>
        </w:rPr>
        <w:t xml:space="preserve"> году. </w:t>
      </w:r>
    </w:p>
    <w:p w:rsidR="00542F98" w:rsidRPr="009851E0" w:rsidRDefault="00B76F30" w:rsidP="0063619D">
      <w:pPr>
        <w:rPr>
          <w:lang w:val="ru-RU"/>
        </w:rPr>
      </w:pPr>
      <w:r w:rsidRPr="009851E0">
        <w:rPr>
          <w:lang w:val="ru-RU"/>
        </w:rPr>
        <w:t>12</w:t>
      </w:r>
      <w:r w:rsidRPr="009851E0">
        <w:rPr>
          <w:lang w:val="ru-RU"/>
        </w:rPr>
        <w:tab/>
      </w:r>
      <w:r w:rsidR="00542F98" w:rsidRPr="009851E0">
        <w:rPr>
          <w:lang w:val="ru-RU"/>
        </w:rPr>
        <w:t xml:space="preserve">Как отмечается в Примечании </w:t>
      </w:r>
      <w:r w:rsidR="00F71DD0" w:rsidRPr="009851E0">
        <w:rPr>
          <w:lang w:val="ru-RU"/>
        </w:rPr>
        <w:t>8</w:t>
      </w:r>
      <w:r w:rsidR="00542F98" w:rsidRPr="009851E0">
        <w:rPr>
          <w:lang w:val="ru-RU"/>
        </w:rPr>
        <w:t xml:space="preserve"> к Отчету о финансовой деятельности, текущие долговые обязательства представляют собой неполученные доходы, которые Государства-Члены, Члены Секторов и Ассоциированные члены обязались внести в МСЭ в рамках ежегодных взносов, приобретения публикаций, обработки заявок на регистрацию спутниковых сетей и по другим счетам-фактурам, которые выставил МСЭ. </w:t>
      </w:r>
    </w:p>
    <w:p w:rsidR="00542F98" w:rsidRPr="009851E0" w:rsidRDefault="00542F98" w:rsidP="00F343D7">
      <w:pPr>
        <w:rPr>
          <w:lang w:val="ru-RU"/>
        </w:rPr>
      </w:pPr>
      <w:r w:rsidRPr="009851E0">
        <w:rPr>
          <w:lang w:val="ru-RU"/>
        </w:rPr>
        <w:t>1</w:t>
      </w:r>
      <w:r w:rsidR="00B76F30" w:rsidRPr="009851E0">
        <w:rPr>
          <w:lang w:val="ru-RU"/>
        </w:rPr>
        <w:t>3</w:t>
      </w:r>
      <w:r w:rsidRPr="009851E0">
        <w:rPr>
          <w:lang w:val="ru-RU"/>
        </w:rPr>
        <w:tab/>
        <w:t>Нетекущие долговые обязательства, как по обменным, так и по необменным операциям, которые также включены и пояснены в Пр</w:t>
      </w:r>
      <w:r w:rsidR="003373E4" w:rsidRPr="009851E0">
        <w:rPr>
          <w:lang w:val="ru-RU"/>
        </w:rPr>
        <w:t>имечании </w:t>
      </w:r>
      <w:r w:rsidR="00123CC7" w:rsidRPr="009851E0">
        <w:rPr>
          <w:lang w:val="ru-RU"/>
        </w:rPr>
        <w:t>8</w:t>
      </w:r>
      <w:r w:rsidR="003373E4" w:rsidRPr="009851E0">
        <w:rPr>
          <w:lang w:val="ru-RU"/>
        </w:rPr>
        <w:t xml:space="preserve">, составили </w:t>
      </w:r>
      <w:r w:rsidR="00123CC7" w:rsidRPr="009851E0">
        <w:rPr>
          <w:lang w:val="ru-RU"/>
        </w:rPr>
        <w:t>7</w:t>
      </w:r>
      <w:r w:rsidR="003373E4" w:rsidRPr="009851E0">
        <w:rPr>
          <w:lang w:val="ru-RU"/>
        </w:rPr>
        <w:t>,</w:t>
      </w:r>
      <w:r w:rsidR="00B76F30" w:rsidRPr="009851E0">
        <w:rPr>
          <w:lang w:val="ru-RU"/>
        </w:rPr>
        <w:t>0</w:t>
      </w:r>
      <w:r w:rsidR="003373E4" w:rsidRPr="009851E0">
        <w:rPr>
          <w:lang w:val="ru-RU"/>
        </w:rPr>
        <w:t> млн. </w:t>
      </w:r>
      <w:r w:rsidRPr="009851E0">
        <w:rPr>
          <w:lang w:val="ru-RU"/>
        </w:rPr>
        <w:t>швейцарских франков (в 201</w:t>
      </w:r>
      <w:r w:rsidR="00B76F30" w:rsidRPr="009851E0">
        <w:rPr>
          <w:lang w:val="ru-RU"/>
        </w:rPr>
        <w:t>6</w:t>
      </w:r>
      <w:r w:rsidRPr="009851E0">
        <w:rPr>
          <w:lang w:val="ru-RU"/>
        </w:rPr>
        <w:t xml:space="preserve"> г. – </w:t>
      </w:r>
      <w:r w:rsidR="00B76F30" w:rsidRPr="009851E0">
        <w:rPr>
          <w:lang w:val="ru-RU"/>
        </w:rPr>
        <w:t>7</w:t>
      </w:r>
      <w:r w:rsidRPr="009851E0">
        <w:rPr>
          <w:lang w:val="ru-RU"/>
        </w:rPr>
        <w:t>,</w:t>
      </w:r>
      <w:r w:rsidR="00B76F30" w:rsidRPr="009851E0">
        <w:rPr>
          <w:lang w:val="ru-RU"/>
        </w:rPr>
        <w:t>5</w:t>
      </w:r>
      <w:r w:rsidRPr="009851E0">
        <w:rPr>
          <w:lang w:val="ru-RU"/>
        </w:rPr>
        <w:t> млн. швейцарских франков). На 31 декабря 201</w:t>
      </w:r>
      <w:r w:rsidR="00B76F30" w:rsidRPr="009851E0">
        <w:rPr>
          <w:lang w:val="ru-RU"/>
        </w:rPr>
        <w:t>7</w:t>
      </w:r>
      <w:r w:rsidRPr="009851E0">
        <w:rPr>
          <w:lang w:val="ru-RU"/>
        </w:rPr>
        <w:t xml:space="preserve"> года эти обязательства были полностью покрыты в соответствии с принципами, изложенными в Примечании </w:t>
      </w:r>
      <w:r w:rsidR="00123CC7" w:rsidRPr="009851E0">
        <w:rPr>
          <w:lang w:val="ru-RU"/>
        </w:rPr>
        <w:t>2</w:t>
      </w:r>
      <w:r w:rsidR="00B76F30" w:rsidRPr="009851E0">
        <w:rPr>
          <w:lang w:val="ru-RU"/>
        </w:rPr>
        <w:t xml:space="preserve"> к финансовой отчетности.</w:t>
      </w:r>
    </w:p>
    <w:p w:rsidR="00542F98" w:rsidRPr="009851E0" w:rsidRDefault="00542F98" w:rsidP="00170A17">
      <w:pPr>
        <w:pStyle w:val="Heading1"/>
        <w:rPr>
          <w:lang w:val="ru-RU"/>
        </w:rPr>
      </w:pPr>
      <w:bookmarkStart w:id="107" w:name="_Toc358192830"/>
      <w:bookmarkStart w:id="108" w:name="_Toc398125315"/>
      <w:bookmarkStart w:id="109" w:name="_Toc398125794"/>
      <w:bookmarkStart w:id="110" w:name="_Toc398127087"/>
      <w:bookmarkStart w:id="111" w:name="_Toc452157303"/>
      <w:bookmarkStart w:id="112" w:name="_Toc482995172"/>
      <w:bookmarkStart w:id="113" w:name="_Toc522633562"/>
      <w:r w:rsidRPr="009851E0">
        <w:rPr>
          <w:lang w:val="ru-RU"/>
        </w:rPr>
        <w:t>Прочие текущие долговые обязательства</w:t>
      </w:r>
      <w:bookmarkEnd w:id="107"/>
      <w:bookmarkEnd w:id="108"/>
      <w:bookmarkEnd w:id="109"/>
      <w:bookmarkEnd w:id="110"/>
      <w:bookmarkEnd w:id="111"/>
      <w:bookmarkEnd w:id="112"/>
      <w:bookmarkEnd w:id="113"/>
      <w:r w:rsidRPr="009851E0">
        <w:rPr>
          <w:lang w:val="ru-RU"/>
        </w:rPr>
        <w:t xml:space="preserve"> </w:t>
      </w:r>
    </w:p>
    <w:p w:rsidR="00542F98" w:rsidRPr="009851E0" w:rsidRDefault="00B17665" w:rsidP="00F343D7">
      <w:pPr>
        <w:rPr>
          <w:lang w:val="ru-RU"/>
        </w:rPr>
      </w:pPr>
      <w:r w:rsidRPr="009851E0">
        <w:rPr>
          <w:lang w:val="ru-RU"/>
        </w:rPr>
        <w:t>14</w:t>
      </w:r>
      <w:r w:rsidR="00542F98" w:rsidRPr="009851E0">
        <w:rPr>
          <w:lang w:val="ru-RU"/>
        </w:rPr>
        <w:tab/>
        <w:t xml:space="preserve">В разделе "Прочие долговые обязательства" заключительного баланса представлена сумма в размере </w:t>
      </w:r>
      <w:r w:rsidRPr="009851E0">
        <w:rPr>
          <w:lang w:val="ru-RU"/>
        </w:rPr>
        <w:t>7</w:t>
      </w:r>
      <w:r w:rsidR="00542F98" w:rsidRPr="009851E0">
        <w:rPr>
          <w:lang w:val="ru-RU"/>
        </w:rPr>
        <w:t>,</w:t>
      </w:r>
      <w:r w:rsidRPr="009851E0">
        <w:rPr>
          <w:lang w:val="ru-RU"/>
        </w:rPr>
        <w:t>5</w:t>
      </w:r>
      <w:r w:rsidR="00542F98" w:rsidRPr="009851E0">
        <w:rPr>
          <w:lang w:val="ru-RU"/>
        </w:rPr>
        <w:t xml:space="preserve"> млн. швейцарских франков. (в 201</w:t>
      </w:r>
      <w:r w:rsidRPr="009851E0">
        <w:rPr>
          <w:lang w:val="ru-RU"/>
        </w:rPr>
        <w:t>6 г. – 9</w:t>
      </w:r>
      <w:r w:rsidR="00542F98" w:rsidRPr="009851E0">
        <w:rPr>
          <w:lang w:val="ru-RU"/>
        </w:rPr>
        <w:t>,</w:t>
      </w:r>
      <w:r w:rsidRPr="009851E0">
        <w:rPr>
          <w:lang w:val="ru-RU"/>
        </w:rPr>
        <w:t>4</w:t>
      </w:r>
      <w:r w:rsidR="00542F98" w:rsidRPr="009851E0">
        <w:rPr>
          <w:lang w:val="ru-RU"/>
        </w:rPr>
        <w:t xml:space="preserve"> млн. швейцарских франков). Подробная разбивка раздела "Прочие долговые обязательства" приводится в Примечании 1</w:t>
      </w:r>
      <w:r w:rsidR="008351B2" w:rsidRPr="009851E0">
        <w:rPr>
          <w:lang w:val="ru-RU"/>
        </w:rPr>
        <w:t>0</w:t>
      </w:r>
      <w:r w:rsidR="00542F98" w:rsidRPr="009851E0">
        <w:rPr>
          <w:lang w:val="ru-RU"/>
        </w:rPr>
        <w:t xml:space="preserve"> к Отчету о финансовой деятельности.</w:t>
      </w:r>
      <w:r w:rsidR="00313927" w:rsidRPr="009851E0">
        <w:rPr>
          <w:lang w:val="ru-RU"/>
        </w:rPr>
        <w:t xml:space="preserve"> </w:t>
      </w:r>
      <w:r w:rsidR="00F343D7" w:rsidRPr="009851E0">
        <w:rPr>
          <w:lang w:val="ru-RU"/>
        </w:rPr>
        <w:t xml:space="preserve">Самая крупная сумма занесена в раздел "Дебиторская задолженность", которая представляет собой в первую очередь </w:t>
      </w:r>
      <w:r w:rsidR="00F343D7" w:rsidRPr="009851E0">
        <w:rPr>
          <w:color w:val="000000"/>
          <w:lang w:val="ru-RU"/>
        </w:rPr>
        <w:t>расходы будущих периодов, относящиеся к бюджету</w:t>
      </w:r>
      <w:r w:rsidR="00313927" w:rsidRPr="009851E0">
        <w:rPr>
          <w:lang w:val="ru-RU"/>
        </w:rPr>
        <w:t xml:space="preserve"> 2017</w:t>
      </w:r>
      <w:r w:rsidR="00F343D7" w:rsidRPr="009851E0">
        <w:rPr>
          <w:lang w:val="ru-RU"/>
        </w:rPr>
        <w:t> </w:t>
      </w:r>
      <w:r w:rsidR="00313927" w:rsidRPr="009851E0">
        <w:rPr>
          <w:lang w:val="ru-RU"/>
        </w:rPr>
        <w:t>года.</w:t>
      </w:r>
    </w:p>
    <w:p w:rsidR="00542F98" w:rsidRPr="009851E0" w:rsidRDefault="00542F98" w:rsidP="00170A17">
      <w:pPr>
        <w:pStyle w:val="Heading1"/>
        <w:rPr>
          <w:lang w:val="ru-RU"/>
        </w:rPr>
      </w:pPr>
      <w:bookmarkStart w:id="114" w:name="_Toc358192831"/>
      <w:bookmarkStart w:id="115" w:name="_Toc398125316"/>
      <w:bookmarkStart w:id="116" w:name="_Toc398125795"/>
      <w:bookmarkStart w:id="117" w:name="_Toc398127088"/>
      <w:bookmarkStart w:id="118" w:name="_Toc452157304"/>
      <w:bookmarkStart w:id="119" w:name="_Toc482995173"/>
      <w:bookmarkStart w:id="120" w:name="_Toc522633563"/>
      <w:r w:rsidRPr="009851E0">
        <w:rPr>
          <w:lang w:val="ru-RU"/>
        </w:rPr>
        <w:t>Запасы</w:t>
      </w:r>
      <w:bookmarkEnd w:id="114"/>
      <w:bookmarkEnd w:id="115"/>
      <w:bookmarkEnd w:id="116"/>
      <w:bookmarkEnd w:id="117"/>
      <w:bookmarkEnd w:id="118"/>
      <w:bookmarkEnd w:id="119"/>
      <w:bookmarkEnd w:id="120"/>
    </w:p>
    <w:p w:rsidR="00542F98" w:rsidRPr="009851E0" w:rsidRDefault="00313927" w:rsidP="00560B42">
      <w:pPr>
        <w:rPr>
          <w:lang w:val="ru-RU"/>
        </w:rPr>
      </w:pPr>
      <w:r w:rsidRPr="009851E0">
        <w:rPr>
          <w:lang w:val="ru-RU"/>
        </w:rPr>
        <w:t>15</w:t>
      </w:r>
      <w:r w:rsidR="00542F98" w:rsidRPr="009851E0">
        <w:rPr>
          <w:lang w:val="ru-RU"/>
        </w:rPr>
        <w:tab/>
        <w:t>В 201</w:t>
      </w:r>
      <w:r w:rsidRPr="009851E0">
        <w:rPr>
          <w:lang w:val="ru-RU"/>
        </w:rPr>
        <w:t>7</w:t>
      </w:r>
      <w:r w:rsidR="00542F98" w:rsidRPr="009851E0">
        <w:rPr>
          <w:lang w:val="ru-RU"/>
        </w:rPr>
        <w:t xml:space="preserve"> году статьи, </w:t>
      </w:r>
      <w:r w:rsidR="00F343D7" w:rsidRPr="009851E0">
        <w:rPr>
          <w:lang w:val="ru-RU"/>
        </w:rPr>
        <w:t>относящиеся к</w:t>
      </w:r>
      <w:r w:rsidR="00542F98" w:rsidRPr="009851E0">
        <w:rPr>
          <w:lang w:val="ru-RU"/>
        </w:rPr>
        <w:t xml:space="preserve"> публикаци</w:t>
      </w:r>
      <w:r w:rsidR="00F343D7" w:rsidRPr="009851E0">
        <w:rPr>
          <w:lang w:val="ru-RU"/>
        </w:rPr>
        <w:t>ям</w:t>
      </w:r>
      <w:r w:rsidR="00542F98" w:rsidRPr="009851E0">
        <w:rPr>
          <w:lang w:val="ru-RU"/>
        </w:rPr>
        <w:t>, сувени</w:t>
      </w:r>
      <w:r w:rsidR="00F343D7" w:rsidRPr="009851E0">
        <w:rPr>
          <w:lang w:val="ru-RU"/>
        </w:rPr>
        <w:t>рам и предметам</w:t>
      </w:r>
      <w:r w:rsidR="00542F98" w:rsidRPr="009851E0">
        <w:rPr>
          <w:lang w:val="ru-RU"/>
        </w:rPr>
        <w:t xml:space="preserve"> снабжения, были учтены п</w:t>
      </w:r>
      <w:r w:rsidR="008351B2" w:rsidRPr="009851E0">
        <w:rPr>
          <w:lang w:val="ru-RU"/>
        </w:rPr>
        <w:t>о чистой стоимости в размере 0,</w:t>
      </w:r>
      <w:r w:rsidRPr="009851E0">
        <w:rPr>
          <w:lang w:val="ru-RU"/>
        </w:rPr>
        <w:t>66</w:t>
      </w:r>
      <w:r w:rsidR="00542F98" w:rsidRPr="009851E0">
        <w:rPr>
          <w:lang w:val="ru-RU"/>
        </w:rPr>
        <w:t xml:space="preserve"> млн. швейцарских франков, </w:t>
      </w:r>
      <w:r w:rsidR="00C419F6" w:rsidRPr="009851E0">
        <w:rPr>
          <w:lang w:val="ru-RU"/>
        </w:rPr>
        <w:t>что на</w:t>
      </w:r>
      <w:r w:rsidR="00542F98" w:rsidRPr="009851E0">
        <w:rPr>
          <w:lang w:val="ru-RU"/>
        </w:rPr>
        <w:t xml:space="preserve"> 0,</w:t>
      </w:r>
      <w:r w:rsidRPr="009851E0">
        <w:rPr>
          <w:lang w:val="ru-RU"/>
        </w:rPr>
        <w:t>11</w:t>
      </w:r>
      <w:r w:rsidR="00542F98" w:rsidRPr="009851E0">
        <w:rPr>
          <w:lang w:val="ru-RU"/>
        </w:rPr>
        <w:t xml:space="preserve"> млн. швейцарских франков </w:t>
      </w:r>
      <w:r w:rsidRPr="009851E0">
        <w:rPr>
          <w:lang w:val="ru-RU"/>
        </w:rPr>
        <w:t>больше</w:t>
      </w:r>
      <w:r w:rsidR="00C419F6" w:rsidRPr="009851E0">
        <w:rPr>
          <w:lang w:val="ru-RU"/>
        </w:rPr>
        <w:t>, чем уровень</w:t>
      </w:r>
      <w:r w:rsidR="00542F98" w:rsidRPr="009851E0">
        <w:rPr>
          <w:lang w:val="ru-RU"/>
        </w:rPr>
        <w:t xml:space="preserve"> чистой стоимост</w:t>
      </w:r>
      <w:r w:rsidR="00C419F6" w:rsidRPr="009851E0">
        <w:rPr>
          <w:lang w:val="ru-RU"/>
        </w:rPr>
        <w:t>и в</w:t>
      </w:r>
      <w:r w:rsidR="00542F98" w:rsidRPr="009851E0">
        <w:rPr>
          <w:lang w:val="ru-RU"/>
        </w:rPr>
        <w:t xml:space="preserve"> 0,</w:t>
      </w:r>
      <w:r w:rsidRPr="009851E0">
        <w:rPr>
          <w:lang w:val="ru-RU"/>
        </w:rPr>
        <w:t>55</w:t>
      </w:r>
      <w:r w:rsidR="00542F98" w:rsidRPr="009851E0">
        <w:rPr>
          <w:lang w:val="ru-RU"/>
        </w:rPr>
        <w:t xml:space="preserve"> млн. швейцарских франков в 201</w:t>
      </w:r>
      <w:r w:rsidRPr="009851E0">
        <w:rPr>
          <w:lang w:val="ru-RU"/>
        </w:rPr>
        <w:t>6</w:t>
      </w:r>
      <w:r w:rsidR="00542F98" w:rsidRPr="009851E0">
        <w:rPr>
          <w:lang w:val="ru-RU"/>
        </w:rPr>
        <w:t> году. Запасы под</w:t>
      </w:r>
      <w:r w:rsidR="008351B2" w:rsidRPr="009851E0">
        <w:rPr>
          <w:lang w:val="ru-RU"/>
        </w:rPr>
        <w:t>робно описываются в Примечании 9</w:t>
      </w:r>
      <w:r w:rsidR="00542F98" w:rsidRPr="009851E0">
        <w:rPr>
          <w:lang w:val="ru-RU"/>
        </w:rPr>
        <w:t xml:space="preserve"> к Отчету о финансовой деятельности</w:t>
      </w:r>
      <w:r w:rsidRPr="009851E0">
        <w:rPr>
          <w:lang w:val="ru-RU"/>
        </w:rPr>
        <w:t xml:space="preserve">, </w:t>
      </w:r>
      <w:r w:rsidR="00560B42" w:rsidRPr="009851E0">
        <w:rPr>
          <w:lang w:val="ru-RU"/>
        </w:rPr>
        <w:t>где показано, что увеличение объясняется в основном повышением объема публикаций</w:t>
      </w:r>
      <w:r w:rsidR="00542F98" w:rsidRPr="009851E0">
        <w:rPr>
          <w:lang w:val="ru-RU"/>
        </w:rPr>
        <w:t>.</w:t>
      </w:r>
    </w:p>
    <w:p w:rsidR="00542F98" w:rsidRPr="009851E0" w:rsidRDefault="00542F98" w:rsidP="00170A17">
      <w:pPr>
        <w:pStyle w:val="Heading1"/>
        <w:rPr>
          <w:lang w:val="ru-RU"/>
        </w:rPr>
      </w:pPr>
      <w:bookmarkStart w:id="121" w:name="_Ref292884400"/>
      <w:bookmarkStart w:id="122" w:name="_Toc324506726"/>
      <w:bookmarkStart w:id="123" w:name="_Toc325622854"/>
      <w:bookmarkStart w:id="124" w:name="_Toc356330882"/>
      <w:bookmarkStart w:id="125" w:name="_Toc358192832"/>
      <w:bookmarkStart w:id="126" w:name="_Toc398125317"/>
      <w:bookmarkStart w:id="127" w:name="_Toc398125796"/>
      <w:bookmarkStart w:id="128" w:name="_Toc398127089"/>
      <w:bookmarkStart w:id="129" w:name="_Toc452157305"/>
      <w:bookmarkStart w:id="130" w:name="_Toc482995174"/>
      <w:bookmarkStart w:id="131" w:name="_Toc522633564"/>
      <w:r w:rsidRPr="009851E0">
        <w:rPr>
          <w:lang w:val="ru-RU"/>
        </w:rPr>
        <w:t>Нетекущие активы</w:t>
      </w:r>
      <w:bookmarkEnd w:id="121"/>
      <w:bookmarkEnd w:id="122"/>
      <w:bookmarkEnd w:id="123"/>
      <w:bookmarkEnd w:id="124"/>
      <w:bookmarkEnd w:id="125"/>
      <w:bookmarkEnd w:id="126"/>
      <w:bookmarkEnd w:id="127"/>
      <w:bookmarkEnd w:id="128"/>
      <w:bookmarkEnd w:id="129"/>
      <w:bookmarkEnd w:id="130"/>
      <w:bookmarkEnd w:id="131"/>
    </w:p>
    <w:p w:rsidR="00542F98" w:rsidRPr="009851E0" w:rsidRDefault="00542F98" w:rsidP="00560B42">
      <w:pPr>
        <w:rPr>
          <w:lang w:val="ru-RU"/>
        </w:rPr>
      </w:pPr>
      <w:r w:rsidRPr="009851E0">
        <w:rPr>
          <w:lang w:val="ru-RU"/>
        </w:rPr>
        <w:t>1</w:t>
      </w:r>
      <w:r w:rsidR="00313927" w:rsidRPr="009851E0">
        <w:rPr>
          <w:lang w:val="ru-RU"/>
        </w:rPr>
        <w:t>6</w:t>
      </w:r>
      <w:r w:rsidRPr="009851E0">
        <w:rPr>
          <w:lang w:val="ru-RU"/>
        </w:rPr>
        <w:tab/>
        <w:t>Объем нетекущих активов по состоянию на 31 декабря 201</w:t>
      </w:r>
      <w:r w:rsidR="00313927" w:rsidRPr="009851E0">
        <w:rPr>
          <w:lang w:val="ru-RU"/>
        </w:rPr>
        <w:t>7</w:t>
      </w:r>
      <w:r w:rsidRPr="009851E0">
        <w:rPr>
          <w:lang w:val="ru-RU"/>
        </w:rPr>
        <w:t xml:space="preserve"> года составил в целом 10</w:t>
      </w:r>
      <w:r w:rsidR="00313927" w:rsidRPr="009851E0">
        <w:rPr>
          <w:lang w:val="ru-RU"/>
        </w:rPr>
        <w:t>0</w:t>
      </w:r>
      <w:r w:rsidRPr="009851E0">
        <w:rPr>
          <w:lang w:val="ru-RU"/>
        </w:rPr>
        <w:t>,</w:t>
      </w:r>
      <w:r w:rsidR="00313927" w:rsidRPr="009851E0">
        <w:rPr>
          <w:lang w:val="ru-RU"/>
        </w:rPr>
        <w:t>9</w:t>
      </w:r>
      <w:r w:rsidRPr="009851E0">
        <w:rPr>
          <w:lang w:val="ru-RU"/>
        </w:rPr>
        <w:t xml:space="preserve"> млн. швейцарских франков, сократившись на </w:t>
      </w:r>
      <w:r w:rsidR="00313927" w:rsidRPr="009851E0">
        <w:rPr>
          <w:lang w:val="ru-RU"/>
        </w:rPr>
        <w:t>3</w:t>
      </w:r>
      <w:r w:rsidRPr="009851E0">
        <w:rPr>
          <w:lang w:val="ru-RU"/>
        </w:rPr>
        <w:t>,</w:t>
      </w:r>
      <w:r w:rsidR="00313927" w:rsidRPr="009851E0">
        <w:rPr>
          <w:lang w:val="ru-RU"/>
        </w:rPr>
        <w:t>2</w:t>
      </w:r>
      <w:r w:rsidRPr="009851E0">
        <w:rPr>
          <w:lang w:val="ru-RU"/>
        </w:rPr>
        <w:t xml:space="preserve"> млн. швейцарских франков (−3,</w:t>
      </w:r>
      <w:r w:rsidR="00313927" w:rsidRPr="009851E0">
        <w:rPr>
          <w:lang w:val="ru-RU"/>
        </w:rPr>
        <w:t>1</w:t>
      </w:r>
      <w:r w:rsidRPr="009851E0">
        <w:rPr>
          <w:lang w:val="ru-RU"/>
        </w:rPr>
        <w:t>%) по сравнению с 201</w:t>
      </w:r>
      <w:r w:rsidR="00313927" w:rsidRPr="009851E0">
        <w:rPr>
          <w:lang w:val="ru-RU"/>
        </w:rPr>
        <w:t>6</w:t>
      </w:r>
      <w:r w:rsidRPr="009851E0">
        <w:rPr>
          <w:lang w:val="ru-RU"/>
        </w:rPr>
        <w:t xml:space="preserve"> годом, когда их объем составлял 1</w:t>
      </w:r>
      <w:r w:rsidR="0032522D" w:rsidRPr="009851E0">
        <w:rPr>
          <w:lang w:val="ru-RU"/>
        </w:rPr>
        <w:t>0</w:t>
      </w:r>
      <w:r w:rsidR="00313927" w:rsidRPr="009851E0">
        <w:rPr>
          <w:lang w:val="ru-RU"/>
        </w:rPr>
        <w:t>4</w:t>
      </w:r>
      <w:r w:rsidRPr="009851E0">
        <w:rPr>
          <w:lang w:val="ru-RU"/>
        </w:rPr>
        <w:t>,</w:t>
      </w:r>
      <w:r w:rsidR="00313927" w:rsidRPr="009851E0">
        <w:rPr>
          <w:lang w:val="ru-RU"/>
        </w:rPr>
        <w:t>1</w:t>
      </w:r>
      <w:r w:rsidR="00BF04BC" w:rsidRPr="009851E0">
        <w:rPr>
          <w:lang w:val="ru-RU"/>
        </w:rPr>
        <w:t> млн. швейцарских франков;</w:t>
      </w:r>
      <w:r w:rsidRPr="009851E0">
        <w:rPr>
          <w:lang w:val="ru-RU"/>
        </w:rPr>
        <w:t xml:space="preserve"> </w:t>
      </w:r>
      <w:r w:rsidR="00313927" w:rsidRPr="009851E0">
        <w:rPr>
          <w:lang w:val="ru-RU"/>
        </w:rPr>
        <w:t>это уменьшение</w:t>
      </w:r>
      <w:r w:rsidRPr="009851E0">
        <w:rPr>
          <w:lang w:val="ru-RU"/>
        </w:rPr>
        <w:t xml:space="preserve"> объясняется </w:t>
      </w:r>
      <w:r w:rsidR="0032522D" w:rsidRPr="009851E0">
        <w:rPr>
          <w:lang w:val="ru-RU"/>
        </w:rPr>
        <w:t>амортизацией зданий МСЭ</w:t>
      </w:r>
      <w:r w:rsidR="00313927" w:rsidRPr="009851E0">
        <w:rPr>
          <w:lang w:val="ru-RU"/>
        </w:rPr>
        <w:t xml:space="preserve"> </w:t>
      </w:r>
      <w:r w:rsidR="00BF04BC" w:rsidRPr="009851E0">
        <w:rPr>
          <w:lang w:val="ru-RU"/>
        </w:rPr>
        <w:t>и</w:t>
      </w:r>
      <w:r w:rsidR="00313927" w:rsidRPr="009851E0">
        <w:rPr>
          <w:lang w:val="ru-RU"/>
        </w:rPr>
        <w:t xml:space="preserve"> </w:t>
      </w:r>
      <w:r w:rsidR="00560B42" w:rsidRPr="009851E0">
        <w:rPr>
          <w:lang w:val="ru-RU"/>
        </w:rPr>
        <w:t>сокращением нематериальных активов</w:t>
      </w:r>
      <w:r w:rsidR="0032522D" w:rsidRPr="009851E0">
        <w:rPr>
          <w:lang w:val="ru-RU"/>
        </w:rPr>
        <w:t>.</w:t>
      </w:r>
    </w:p>
    <w:p w:rsidR="00542F98" w:rsidRPr="009851E0" w:rsidRDefault="00542F98" w:rsidP="00C37736">
      <w:pPr>
        <w:rPr>
          <w:lang w:val="ru-RU"/>
        </w:rPr>
      </w:pPr>
      <w:r w:rsidRPr="009851E0">
        <w:rPr>
          <w:lang w:val="ru-RU"/>
        </w:rPr>
        <w:t>1</w:t>
      </w:r>
      <w:r w:rsidR="00BF04BC" w:rsidRPr="009851E0">
        <w:rPr>
          <w:lang w:val="ru-RU"/>
        </w:rPr>
        <w:t>7</w:t>
      </w:r>
      <w:r w:rsidRPr="009851E0">
        <w:rPr>
          <w:lang w:val="ru-RU"/>
        </w:rPr>
        <w:tab/>
        <w:t xml:space="preserve">Этот раздел включает "Материальные активы" на сумму </w:t>
      </w:r>
      <w:r w:rsidR="00F37289" w:rsidRPr="009851E0">
        <w:rPr>
          <w:lang w:val="ru-RU"/>
        </w:rPr>
        <w:t>99</w:t>
      </w:r>
      <w:r w:rsidRPr="009851E0">
        <w:rPr>
          <w:lang w:val="ru-RU"/>
        </w:rPr>
        <w:t>,</w:t>
      </w:r>
      <w:r w:rsidR="00F37289" w:rsidRPr="009851E0">
        <w:rPr>
          <w:lang w:val="ru-RU"/>
        </w:rPr>
        <w:t>0 млн. швейцарских франков или 98</w:t>
      </w:r>
      <w:r w:rsidRPr="009851E0">
        <w:rPr>
          <w:lang w:val="ru-RU"/>
        </w:rPr>
        <w:t>,</w:t>
      </w:r>
      <w:r w:rsidR="00F37289" w:rsidRPr="009851E0">
        <w:rPr>
          <w:lang w:val="ru-RU"/>
        </w:rPr>
        <w:t>1</w:t>
      </w:r>
      <w:r w:rsidRPr="009851E0">
        <w:rPr>
          <w:lang w:val="ru-RU"/>
        </w:rPr>
        <w:t xml:space="preserve">% от </w:t>
      </w:r>
      <w:r w:rsidR="00797338" w:rsidRPr="009851E0">
        <w:rPr>
          <w:lang w:val="ru-RU"/>
        </w:rPr>
        <w:t>общего объема нетекущих активов</w:t>
      </w:r>
      <w:r w:rsidR="009F6ED6" w:rsidRPr="009851E0">
        <w:rPr>
          <w:lang w:val="ru-RU"/>
        </w:rPr>
        <w:t xml:space="preserve"> (в 201</w:t>
      </w:r>
      <w:r w:rsidR="00F37289" w:rsidRPr="009851E0">
        <w:rPr>
          <w:lang w:val="ru-RU"/>
        </w:rPr>
        <w:t>6</w:t>
      </w:r>
      <w:r w:rsidR="009F6ED6" w:rsidRPr="009851E0">
        <w:rPr>
          <w:lang w:val="ru-RU"/>
        </w:rPr>
        <w:t xml:space="preserve"> г</w:t>
      </w:r>
      <w:r w:rsidR="00833384" w:rsidRPr="009851E0">
        <w:rPr>
          <w:lang w:val="ru-RU"/>
        </w:rPr>
        <w:t>.</w:t>
      </w:r>
      <w:r w:rsidR="009F6ED6" w:rsidRPr="009851E0">
        <w:rPr>
          <w:lang w:val="ru-RU"/>
        </w:rPr>
        <w:t xml:space="preserve"> его объем составлял 10</w:t>
      </w:r>
      <w:r w:rsidR="00F37289" w:rsidRPr="009851E0">
        <w:rPr>
          <w:lang w:val="ru-RU"/>
        </w:rPr>
        <w:t>1</w:t>
      </w:r>
      <w:r w:rsidR="009F6ED6" w:rsidRPr="009851E0">
        <w:rPr>
          <w:lang w:val="ru-RU"/>
        </w:rPr>
        <w:t>,</w:t>
      </w:r>
      <w:r w:rsidR="00F37289" w:rsidRPr="009851E0">
        <w:rPr>
          <w:lang w:val="ru-RU"/>
        </w:rPr>
        <w:t>4</w:t>
      </w:r>
      <w:r w:rsidR="009F6ED6" w:rsidRPr="009851E0">
        <w:rPr>
          <w:lang w:val="ru-RU"/>
        </w:rPr>
        <w:t xml:space="preserve"> млн. швейцарских франков или 97,</w:t>
      </w:r>
      <w:r w:rsidR="00F37289" w:rsidRPr="009851E0">
        <w:rPr>
          <w:lang w:val="ru-RU"/>
        </w:rPr>
        <w:t>5</w:t>
      </w:r>
      <w:r w:rsidR="009F6ED6" w:rsidRPr="009851E0">
        <w:rPr>
          <w:lang w:val="ru-RU"/>
        </w:rPr>
        <w:t>% от нетекущих активов),</w:t>
      </w:r>
      <w:r w:rsidRPr="009851E0">
        <w:rPr>
          <w:lang w:val="ru-RU"/>
        </w:rPr>
        <w:t xml:space="preserve"> "Н</w:t>
      </w:r>
      <w:r w:rsidR="00797338" w:rsidRPr="009851E0">
        <w:rPr>
          <w:lang w:val="ru-RU"/>
        </w:rPr>
        <w:t xml:space="preserve">ематериальные активы" на сумму </w:t>
      </w:r>
      <w:r w:rsidR="00841AA0" w:rsidRPr="009851E0">
        <w:rPr>
          <w:lang w:val="ru-RU"/>
        </w:rPr>
        <w:t>1</w:t>
      </w:r>
      <w:r w:rsidRPr="009851E0">
        <w:rPr>
          <w:lang w:val="ru-RU"/>
        </w:rPr>
        <w:t>,</w:t>
      </w:r>
      <w:r w:rsidR="00841AA0" w:rsidRPr="009851E0">
        <w:rPr>
          <w:lang w:val="ru-RU"/>
        </w:rPr>
        <w:t>0</w:t>
      </w:r>
      <w:r w:rsidRPr="009851E0">
        <w:rPr>
          <w:lang w:val="ru-RU"/>
        </w:rPr>
        <w:t xml:space="preserve"> млн. швейцарских франков или </w:t>
      </w:r>
      <w:r w:rsidR="00841AA0" w:rsidRPr="009851E0">
        <w:rPr>
          <w:lang w:val="ru-RU"/>
        </w:rPr>
        <w:t>1</w:t>
      </w:r>
      <w:r w:rsidRPr="009851E0">
        <w:rPr>
          <w:lang w:val="ru-RU"/>
        </w:rPr>
        <w:t>,</w:t>
      </w:r>
      <w:r w:rsidR="00841AA0" w:rsidRPr="009851E0">
        <w:rPr>
          <w:lang w:val="ru-RU"/>
        </w:rPr>
        <w:t>0</w:t>
      </w:r>
      <w:r w:rsidRPr="009851E0">
        <w:rPr>
          <w:lang w:val="ru-RU"/>
        </w:rPr>
        <w:t>% от общего объема (в 201</w:t>
      </w:r>
      <w:r w:rsidR="00841AA0" w:rsidRPr="009851E0">
        <w:rPr>
          <w:lang w:val="ru-RU"/>
        </w:rPr>
        <w:t>6</w:t>
      </w:r>
      <w:r w:rsidR="00833384" w:rsidRPr="009851E0">
        <w:rPr>
          <w:lang w:val="ru-RU"/>
        </w:rPr>
        <w:t> г.</w:t>
      </w:r>
      <w:r w:rsidRPr="009851E0">
        <w:rPr>
          <w:lang w:val="ru-RU"/>
        </w:rPr>
        <w:t xml:space="preserve"> − </w:t>
      </w:r>
      <w:r w:rsidR="00841AA0" w:rsidRPr="009851E0">
        <w:rPr>
          <w:lang w:val="ru-RU"/>
        </w:rPr>
        <w:t>2</w:t>
      </w:r>
      <w:r w:rsidRPr="009851E0">
        <w:rPr>
          <w:lang w:val="ru-RU"/>
        </w:rPr>
        <w:t>,</w:t>
      </w:r>
      <w:r w:rsidR="00841AA0" w:rsidRPr="009851E0">
        <w:rPr>
          <w:lang w:val="ru-RU"/>
        </w:rPr>
        <w:t>6</w:t>
      </w:r>
      <w:r w:rsidR="003373E4" w:rsidRPr="009851E0">
        <w:rPr>
          <w:lang w:val="ru-RU"/>
        </w:rPr>
        <w:t> млн. швейцарских франков или </w:t>
      </w:r>
      <w:r w:rsidR="00841AA0" w:rsidRPr="009851E0">
        <w:rPr>
          <w:lang w:val="ru-RU"/>
        </w:rPr>
        <w:t>2</w:t>
      </w:r>
      <w:r w:rsidR="009F6ED6" w:rsidRPr="009851E0">
        <w:rPr>
          <w:lang w:val="ru-RU"/>
        </w:rPr>
        <w:t>,</w:t>
      </w:r>
      <w:r w:rsidR="00841AA0" w:rsidRPr="009851E0">
        <w:rPr>
          <w:lang w:val="ru-RU"/>
        </w:rPr>
        <w:t>5</w:t>
      </w:r>
      <w:r w:rsidRPr="009851E0">
        <w:rPr>
          <w:lang w:val="ru-RU"/>
        </w:rPr>
        <w:t>%)</w:t>
      </w:r>
      <w:r w:rsidR="00841AA0" w:rsidRPr="009851E0">
        <w:rPr>
          <w:lang w:val="ru-RU"/>
        </w:rPr>
        <w:t xml:space="preserve"> </w:t>
      </w:r>
      <w:r w:rsidR="00201755" w:rsidRPr="009851E0">
        <w:rPr>
          <w:lang w:val="ru-RU"/>
        </w:rPr>
        <w:t xml:space="preserve">и "Активы на этапе строительства", которые в 2016 году </w:t>
      </w:r>
      <w:r w:rsidR="00C25C57" w:rsidRPr="009851E0">
        <w:rPr>
          <w:lang w:val="ru-RU"/>
        </w:rPr>
        <w:t xml:space="preserve">присутствовали как </w:t>
      </w:r>
      <w:r w:rsidR="00C37736" w:rsidRPr="009851E0">
        <w:rPr>
          <w:lang w:val="ru-RU"/>
        </w:rPr>
        <w:t>статья</w:t>
      </w:r>
      <w:r w:rsidR="00C25C57" w:rsidRPr="009851E0">
        <w:rPr>
          <w:lang w:val="ru-RU"/>
        </w:rPr>
        <w:t xml:space="preserve"> нематериальных активов, а в 2017 году составляли</w:t>
      </w:r>
      <w:r w:rsidR="00841AA0" w:rsidRPr="009851E0">
        <w:rPr>
          <w:lang w:val="ru-RU"/>
        </w:rPr>
        <w:t xml:space="preserve"> 0,9 млн. швейцарских франков или 0,9% </w:t>
      </w:r>
      <w:r w:rsidR="00C25C57" w:rsidRPr="009851E0">
        <w:rPr>
          <w:lang w:val="ru-RU"/>
        </w:rPr>
        <w:t>от общей суммы нематериальных активов</w:t>
      </w:r>
      <w:r w:rsidR="00841AA0" w:rsidRPr="009851E0">
        <w:rPr>
          <w:lang w:val="ru-RU"/>
        </w:rPr>
        <w:t xml:space="preserve">). </w:t>
      </w:r>
      <w:r w:rsidR="00C25C57" w:rsidRPr="009851E0">
        <w:rPr>
          <w:lang w:val="ru-RU"/>
        </w:rPr>
        <w:t>Первые два подраздела</w:t>
      </w:r>
      <w:r w:rsidRPr="009851E0">
        <w:rPr>
          <w:lang w:val="ru-RU"/>
        </w:rPr>
        <w:t xml:space="preserve"> показаны, соответственно, в Примечаниях 1</w:t>
      </w:r>
      <w:r w:rsidR="00797338" w:rsidRPr="009851E0">
        <w:rPr>
          <w:lang w:val="ru-RU"/>
        </w:rPr>
        <w:t>1</w:t>
      </w:r>
      <w:r w:rsidRPr="009851E0">
        <w:rPr>
          <w:lang w:val="ru-RU"/>
        </w:rPr>
        <w:t xml:space="preserve"> и 1</w:t>
      </w:r>
      <w:r w:rsidR="00797338" w:rsidRPr="009851E0">
        <w:rPr>
          <w:lang w:val="ru-RU"/>
        </w:rPr>
        <w:t>2</w:t>
      </w:r>
      <w:r w:rsidRPr="009851E0">
        <w:rPr>
          <w:lang w:val="ru-RU"/>
        </w:rPr>
        <w:t xml:space="preserve"> к Отчету о финансовой деятельности.</w:t>
      </w:r>
      <w:r w:rsidR="003B398B" w:rsidRPr="009851E0">
        <w:rPr>
          <w:lang w:val="ru-RU"/>
        </w:rPr>
        <w:t xml:space="preserve"> </w:t>
      </w:r>
      <w:r w:rsidR="00C25C57" w:rsidRPr="009851E0">
        <w:rPr>
          <w:lang w:val="ru-RU"/>
        </w:rPr>
        <w:t>В Примечании </w:t>
      </w:r>
      <w:r w:rsidR="00841AA0" w:rsidRPr="009851E0">
        <w:rPr>
          <w:lang w:val="ru-RU"/>
        </w:rPr>
        <w:t xml:space="preserve">13 </w:t>
      </w:r>
      <w:r w:rsidR="00C25C57" w:rsidRPr="009851E0">
        <w:rPr>
          <w:lang w:val="ru-RU"/>
        </w:rPr>
        <w:t>показан подраздел "Активы на этапе строительства"</w:t>
      </w:r>
      <w:r w:rsidR="00C37736" w:rsidRPr="009851E0">
        <w:rPr>
          <w:lang w:val="ru-RU"/>
        </w:rPr>
        <w:t>, сумма которого относится только к статье "Прочие активы на этапе строительства"</w:t>
      </w:r>
      <w:r w:rsidR="00841AA0" w:rsidRPr="009851E0">
        <w:rPr>
          <w:lang w:val="ru-RU"/>
        </w:rPr>
        <w:t>.</w:t>
      </w:r>
    </w:p>
    <w:p w:rsidR="00542F98" w:rsidRPr="009851E0" w:rsidRDefault="00542F98" w:rsidP="00170A17">
      <w:pPr>
        <w:pStyle w:val="Heading1"/>
        <w:rPr>
          <w:lang w:val="ru-RU"/>
        </w:rPr>
      </w:pPr>
      <w:bookmarkStart w:id="132" w:name="_Toc358192833"/>
      <w:bookmarkStart w:id="133" w:name="_Toc398125318"/>
      <w:bookmarkStart w:id="134" w:name="_Toc398125797"/>
      <w:bookmarkStart w:id="135" w:name="_Toc398127090"/>
      <w:bookmarkStart w:id="136" w:name="_Toc452157306"/>
      <w:bookmarkStart w:id="137" w:name="_Toc482995175"/>
      <w:bookmarkStart w:id="138" w:name="_Toc522633565"/>
      <w:r w:rsidRPr="009851E0">
        <w:rPr>
          <w:lang w:val="ru-RU"/>
        </w:rPr>
        <w:t>Материальные активы</w:t>
      </w:r>
      <w:bookmarkEnd w:id="132"/>
      <w:bookmarkEnd w:id="133"/>
      <w:bookmarkEnd w:id="134"/>
      <w:bookmarkEnd w:id="135"/>
      <w:bookmarkEnd w:id="136"/>
      <w:bookmarkEnd w:id="137"/>
      <w:bookmarkEnd w:id="138"/>
    </w:p>
    <w:p w:rsidR="00542F98" w:rsidRPr="009851E0" w:rsidRDefault="00542F98" w:rsidP="00C37736">
      <w:pPr>
        <w:rPr>
          <w:lang w:val="ru-RU"/>
        </w:rPr>
      </w:pPr>
      <w:bookmarkStart w:id="139" w:name="_Ref355125291"/>
      <w:r w:rsidRPr="009851E0">
        <w:rPr>
          <w:lang w:val="ru-RU"/>
        </w:rPr>
        <w:t>1</w:t>
      </w:r>
      <w:r w:rsidR="00610B6C" w:rsidRPr="009851E0">
        <w:rPr>
          <w:lang w:val="ru-RU"/>
        </w:rPr>
        <w:t>8</w:t>
      </w:r>
      <w:r w:rsidRPr="009851E0">
        <w:rPr>
          <w:lang w:val="ru-RU"/>
        </w:rPr>
        <w:tab/>
        <w:t xml:space="preserve">В этом разделе приводится величина в </w:t>
      </w:r>
      <w:r w:rsidR="00833384" w:rsidRPr="009851E0">
        <w:rPr>
          <w:lang w:val="ru-RU"/>
        </w:rPr>
        <w:t>99</w:t>
      </w:r>
      <w:r w:rsidRPr="009851E0">
        <w:rPr>
          <w:lang w:val="ru-RU"/>
        </w:rPr>
        <w:t>,</w:t>
      </w:r>
      <w:r w:rsidR="00833384" w:rsidRPr="009851E0">
        <w:rPr>
          <w:lang w:val="ru-RU"/>
        </w:rPr>
        <w:t>0</w:t>
      </w:r>
      <w:r w:rsidRPr="009851E0">
        <w:rPr>
          <w:lang w:val="ru-RU"/>
        </w:rPr>
        <w:t xml:space="preserve"> млн. швейцарских франков, которая представляла собой чистую стоимость по состоянию на 31 декабря 201</w:t>
      </w:r>
      <w:r w:rsidR="00833384" w:rsidRPr="009851E0">
        <w:rPr>
          <w:lang w:val="ru-RU"/>
        </w:rPr>
        <w:t>7</w:t>
      </w:r>
      <w:r w:rsidRPr="009851E0">
        <w:rPr>
          <w:lang w:val="ru-RU"/>
        </w:rPr>
        <w:t xml:space="preserve"> года капитализированных затрат за вычетом соответствующей амортизации по каждой перечисленной здесь категории: здания (в 201</w:t>
      </w:r>
      <w:r w:rsidR="00833384" w:rsidRPr="009851E0">
        <w:rPr>
          <w:lang w:val="ru-RU"/>
        </w:rPr>
        <w:t>7</w:t>
      </w:r>
      <w:r w:rsidRPr="009851E0">
        <w:rPr>
          <w:lang w:val="ru-RU"/>
        </w:rPr>
        <w:t xml:space="preserve"> г</w:t>
      </w:r>
      <w:r w:rsidR="00833384" w:rsidRPr="009851E0">
        <w:rPr>
          <w:lang w:val="ru-RU"/>
        </w:rPr>
        <w:t>.</w:t>
      </w:r>
      <w:r w:rsidRPr="009851E0">
        <w:rPr>
          <w:lang w:val="ru-RU"/>
        </w:rPr>
        <w:t xml:space="preserve"> были учтены п</w:t>
      </w:r>
      <w:r w:rsidR="00833384" w:rsidRPr="009851E0">
        <w:rPr>
          <w:lang w:val="ru-RU"/>
        </w:rPr>
        <w:t>о чистой стоимости в размере 97</w:t>
      </w:r>
      <w:r w:rsidRPr="009851E0">
        <w:rPr>
          <w:lang w:val="ru-RU"/>
        </w:rPr>
        <w:t>,</w:t>
      </w:r>
      <w:r w:rsidR="00833384" w:rsidRPr="009851E0">
        <w:rPr>
          <w:lang w:val="ru-RU"/>
        </w:rPr>
        <w:t>7</w:t>
      </w:r>
      <w:r w:rsidRPr="009851E0">
        <w:rPr>
          <w:lang w:val="ru-RU"/>
        </w:rPr>
        <w:t xml:space="preserve"> млн. швейцарских франков; в 201</w:t>
      </w:r>
      <w:r w:rsidR="00833384" w:rsidRPr="009851E0">
        <w:rPr>
          <w:lang w:val="ru-RU"/>
        </w:rPr>
        <w:t>6</w:t>
      </w:r>
      <w:r w:rsidR="00473375" w:rsidRPr="009851E0">
        <w:rPr>
          <w:lang w:val="ru-RU"/>
        </w:rPr>
        <w:t> г. − 10</w:t>
      </w:r>
      <w:r w:rsidR="00833384" w:rsidRPr="009851E0">
        <w:rPr>
          <w:lang w:val="ru-RU"/>
        </w:rPr>
        <w:t>0</w:t>
      </w:r>
      <w:r w:rsidRPr="009851E0">
        <w:rPr>
          <w:lang w:val="ru-RU"/>
        </w:rPr>
        <w:t>,</w:t>
      </w:r>
      <w:r w:rsidR="00833384" w:rsidRPr="009851E0">
        <w:rPr>
          <w:lang w:val="ru-RU"/>
        </w:rPr>
        <w:t>6</w:t>
      </w:r>
      <w:r w:rsidRPr="009851E0">
        <w:rPr>
          <w:lang w:val="ru-RU"/>
        </w:rPr>
        <w:t> млн. швейцарских франков); машины и оборудование (в 201</w:t>
      </w:r>
      <w:r w:rsidR="00833384" w:rsidRPr="009851E0">
        <w:rPr>
          <w:lang w:val="ru-RU"/>
        </w:rPr>
        <w:t>7</w:t>
      </w:r>
      <w:r w:rsidRPr="009851E0">
        <w:rPr>
          <w:lang w:val="ru-RU"/>
        </w:rPr>
        <w:t> г. − 0,0</w:t>
      </w:r>
      <w:r w:rsidR="00B66EDB" w:rsidRPr="009851E0">
        <w:rPr>
          <w:lang w:val="ru-RU"/>
        </w:rPr>
        <w:t>7</w:t>
      </w:r>
      <w:r w:rsidRPr="009851E0">
        <w:rPr>
          <w:lang w:val="ru-RU"/>
        </w:rPr>
        <w:t> млн. швейцарских франков</w:t>
      </w:r>
      <w:r w:rsidR="00C37736" w:rsidRPr="009851E0">
        <w:rPr>
          <w:lang w:val="ru-RU"/>
        </w:rPr>
        <w:t>, как и в</w:t>
      </w:r>
      <w:r w:rsidRPr="009851E0">
        <w:rPr>
          <w:lang w:val="ru-RU"/>
        </w:rPr>
        <w:t xml:space="preserve"> 201</w:t>
      </w:r>
      <w:r w:rsidR="00833384" w:rsidRPr="009851E0">
        <w:rPr>
          <w:lang w:val="ru-RU"/>
        </w:rPr>
        <w:t>6 г.</w:t>
      </w:r>
      <w:r w:rsidRPr="009851E0">
        <w:rPr>
          <w:lang w:val="ru-RU"/>
        </w:rPr>
        <w:t>); мебель (в 201</w:t>
      </w:r>
      <w:r w:rsidR="00833384" w:rsidRPr="009851E0">
        <w:rPr>
          <w:lang w:val="ru-RU"/>
        </w:rPr>
        <w:t>7</w:t>
      </w:r>
      <w:r w:rsidRPr="009851E0">
        <w:rPr>
          <w:lang w:val="ru-RU"/>
        </w:rPr>
        <w:t> г. − 0,</w:t>
      </w:r>
      <w:r w:rsidR="00B66EDB" w:rsidRPr="009851E0">
        <w:rPr>
          <w:lang w:val="ru-RU"/>
        </w:rPr>
        <w:t>0</w:t>
      </w:r>
      <w:r w:rsidR="00833384" w:rsidRPr="009851E0">
        <w:rPr>
          <w:lang w:val="ru-RU"/>
        </w:rPr>
        <w:t>5</w:t>
      </w:r>
      <w:r w:rsidRPr="009851E0">
        <w:rPr>
          <w:lang w:val="ru-RU"/>
        </w:rPr>
        <w:t xml:space="preserve"> млн. швейцарских франков; в 201</w:t>
      </w:r>
      <w:r w:rsidR="00833384" w:rsidRPr="009851E0">
        <w:rPr>
          <w:lang w:val="ru-RU"/>
        </w:rPr>
        <w:t>6</w:t>
      </w:r>
      <w:r w:rsidRPr="009851E0">
        <w:rPr>
          <w:lang w:val="ru-RU"/>
        </w:rPr>
        <w:t> г. − 0,</w:t>
      </w:r>
      <w:r w:rsidR="00833384" w:rsidRPr="009851E0">
        <w:rPr>
          <w:lang w:val="ru-RU"/>
        </w:rPr>
        <w:t>0</w:t>
      </w:r>
      <w:r w:rsidR="00B66EDB" w:rsidRPr="009851E0">
        <w:rPr>
          <w:lang w:val="ru-RU"/>
        </w:rPr>
        <w:t>2</w:t>
      </w:r>
      <w:r w:rsidRPr="009851E0">
        <w:rPr>
          <w:lang w:val="ru-RU"/>
        </w:rPr>
        <w:t xml:space="preserve"> млн. швейцарских франков); оборудование ИТ (в 201</w:t>
      </w:r>
      <w:r w:rsidR="00833384" w:rsidRPr="009851E0">
        <w:rPr>
          <w:lang w:val="ru-RU"/>
        </w:rPr>
        <w:t>7 г. − 1</w:t>
      </w:r>
      <w:r w:rsidRPr="009851E0">
        <w:rPr>
          <w:lang w:val="ru-RU"/>
        </w:rPr>
        <w:t>,</w:t>
      </w:r>
      <w:r w:rsidR="00833384" w:rsidRPr="009851E0">
        <w:rPr>
          <w:lang w:val="ru-RU"/>
        </w:rPr>
        <w:t>1</w:t>
      </w:r>
      <w:r w:rsidRPr="009851E0">
        <w:rPr>
          <w:lang w:val="ru-RU"/>
        </w:rPr>
        <w:t> млн. швейцарских франков; в 201</w:t>
      </w:r>
      <w:r w:rsidR="00833384" w:rsidRPr="009851E0">
        <w:rPr>
          <w:lang w:val="ru-RU"/>
        </w:rPr>
        <w:t>6</w:t>
      </w:r>
      <w:r w:rsidRPr="009851E0">
        <w:rPr>
          <w:lang w:val="ru-RU"/>
        </w:rPr>
        <w:t> г. − 0,</w:t>
      </w:r>
      <w:r w:rsidR="00B66EDB" w:rsidRPr="009851E0">
        <w:rPr>
          <w:lang w:val="ru-RU"/>
        </w:rPr>
        <w:t>7</w:t>
      </w:r>
      <w:r w:rsidR="00833384" w:rsidRPr="009851E0">
        <w:rPr>
          <w:lang w:val="ru-RU"/>
        </w:rPr>
        <w:t> </w:t>
      </w:r>
      <w:r w:rsidRPr="009851E0">
        <w:rPr>
          <w:lang w:val="ru-RU"/>
        </w:rPr>
        <w:t>млн. швейцарских франков). Это проиллюстрировано в Примечании 1</w:t>
      </w:r>
      <w:r w:rsidR="00BD766F" w:rsidRPr="009851E0">
        <w:rPr>
          <w:lang w:val="ru-RU"/>
        </w:rPr>
        <w:t>1</w:t>
      </w:r>
      <w:r w:rsidRPr="009851E0">
        <w:rPr>
          <w:lang w:val="ru-RU"/>
        </w:rPr>
        <w:t xml:space="preserve"> к Отчету о финансовой деятельности.</w:t>
      </w:r>
    </w:p>
    <w:bookmarkEnd w:id="139"/>
    <w:p w:rsidR="00542F98" w:rsidRPr="009851E0" w:rsidRDefault="00833384" w:rsidP="00866E0F">
      <w:pPr>
        <w:rPr>
          <w:lang w:val="ru-RU"/>
        </w:rPr>
      </w:pPr>
      <w:r w:rsidRPr="009851E0">
        <w:rPr>
          <w:lang w:val="ru-RU"/>
        </w:rPr>
        <w:t>19</w:t>
      </w:r>
      <w:r w:rsidR="00542F98" w:rsidRPr="009851E0">
        <w:rPr>
          <w:lang w:val="ru-RU"/>
        </w:rPr>
        <w:tab/>
        <w:t>Согласно стандарту IPSAS 1</w:t>
      </w:r>
      <w:r w:rsidR="003B398B" w:rsidRPr="009851E0">
        <w:rPr>
          <w:lang w:val="ru-RU"/>
        </w:rPr>
        <w:t>,</w:t>
      </w:r>
      <w:r w:rsidR="00542F98" w:rsidRPr="009851E0">
        <w:rPr>
          <w:lang w:val="ru-RU"/>
        </w:rPr>
        <w:t xml:space="preserve"> требуется, чтобы в Отчете о финансовом положении здания учитывались в качестве активов. В стандарте IPSAS 17 отмечается, что при первоначальном учете должна указываться стоимость этих позиций или надежные данные по текущей стоимости. Амортизация систематически начисляется в течение срока полезного использования актива, а метод амортизации должен отражать модель, на основе которой, как ожидается, организация будет использовать будущие экономические выгоды от актива или потенциал услуг. Остаточную стоимость необходимо оценивать по крайней мере ежегодно, и она должна быть равна той сумме, которую организация могла бы сейчас получить, если бы данный актив уже достиг возраста и состояния, которые ожидаются в конце срока его полезного использования. Земля и здания являются делимыми активами и учитываются отдельно, даже если они приобретены вместе. </w:t>
      </w:r>
    </w:p>
    <w:p w:rsidR="00542F98" w:rsidRPr="009851E0" w:rsidRDefault="00D96052" w:rsidP="00B66EDB">
      <w:pPr>
        <w:rPr>
          <w:lang w:val="ru-RU"/>
        </w:rPr>
      </w:pPr>
      <w:r w:rsidRPr="009851E0">
        <w:rPr>
          <w:lang w:val="ru-RU"/>
        </w:rPr>
        <w:t>20</w:t>
      </w:r>
      <w:r w:rsidR="00542F98" w:rsidRPr="009851E0">
        <w:rPr>
          <w:lang w:val="ru-RU"/>
        </w:rPr>
        <w:tab/>
        <w:t xml:space="preserve">Согласно Приложению II к Финансовому регламенту МСЭ Внешний аудитор должен высказать мнение по поводу того, что "при учете всех активов, пассивов, излишков и дефицитов средств применялись процедуры, которые Внешний аудитор считает удовлетворительными". </w:t>
      </w:r>
    </w:p>
    <w:p w:rsidR="00542F98" w:rsidRPr="009851E0" w:rsidRDefault="00D96052" w:rsidP="00D96052">
      <w:pPr>
        <w:rPr>
          <w:lang w:val="ru-RU"/>
        </w:rPr>
      </w:pPr>
      <w:r w:rsidRPr="009851E0">
        <w:rPr>
          <w:lang w:val="ru-RU"/>
        </w:rPr>
        <w:t>21</w:t>
      </w:r>
      <w:r w:rsidR="00542F98" w:rsidRPr="009851E0">
        <w:rPr>
          <w:lang w:val="ru-RU"/>
        </w:rPr>
        <w:tab/>
        <w:t xml:space="preserve">В Примечании </w:t>
      </w:r>
      <w:r w:rsidR="00B66EDB" w:rsidRPr="009851E0">
        <w:rPr>
          <w:lang w:val="ru-RU"/>
        </w:rPr>
        <w:t>2</w:t>
      </w:r>
      <w:r w:rsidR="00542F98" w:rsidRPr="009851E0">
        <w:rPr>
          <w:lang w:val="ru-RU"/>
        </w:rPr>
        <w:t xml:space="preserve"> к Отчету о финансовой деятельности "Основные принципы бухгалтерского учета" в подпункте "Материальные активы" отмечается, что первоначальный учет зданий был произведен по "</w:t>
      </w:r>
      <w:r w:rsidR="00542F98" w:rsidRPr="009851E0">
        <w:rPr>
          <w:i/>
          <w:lang w:val="ru-RU"/>
        </w:rPr>
        <w:t>фактической стоимости</w:t>
      </w:r>
      <w:r w:rsidR="00542F98" w:rsidRPr="009851E0">
        <w:rPr>
          <w:lang w:val="ru-RU"/>
        </w:rPr>
        <w:t>" "</w:t>
      </w:r>
      <w:r w:rsidR="00542F98" w:rsidRPr="009851E0">
        <w:rPr>
          <w:i/>
          <w:lang w:val="ru-RU"/>
        </w:rPr>
        <w:t>на основе оценки, проведенной внешней организацией</w:t>
      </w:r>
      <w:r w:rsidR="00542F98" w:rsidRPr="009851E0">
        <w:rPr>
          <w:lang w:val="ru-RU"/>
        </w:rPr>
        <w:t>" для определения величины начального баланса согласно IPSAS. Эта величина считалась "стоимостью приобретения", а амортизация рассчитывалась на основе "</w:t>
      </w:r>
      <w:r w:rsidR="00542F98" w:rsidRPr="009851E0">
        <w:rPr>
          <w:i/>
          <w:lang w:val="ru-RU"/>
        </w:rPr>
        <w:t>прогнозируемой продолжительности полезного использования</w:t>
      </w:r>
      <w:r w:rsidR="00542F98" w:rsidRPr="009851E0">
        <w:rPr>
          <w:lang w:val="ru-RU"/>
        </w:rPr>
        <w:t>", которая составляет для сооружений 100 лет. При определении первоначальной стоимости зданий не учитывались земельные площади, на которые МСЭ имеет бесплатное "</w:t>
      </w:r>
      <w:r w:rsidR="00542F98" w:rsidRPr="009851E0">
        <w:rPr>
          <w:i/>
          <w:lang w:val="ru-RU"/>
        </w:rPr>
        <w:t>право суперфиция</w:t>
      </w:r>
      <w:r w:rsidR="00542F98" w:rsidRPr="009851E0">
        <w:rPr>
          <w:lang w:val="ru-RU"/>
        </w:rPr>
        <w:t xml:space="preserve">". </w:t>
      </w:r>
    </w:p>
    <w:p w:rsidR="00D96052" w:rsidRPr="009851E0" w:rsidRDefault="00D96052" w:rsidP="00033DBC">
      <w:pPr>
        <w:rPr>
          <w:lang w:val="ru-RU"/>
        </w:rPr>
      </w:pPr>
      <w:r w:rsidRPr="009851E0">
        <w:rPr>
          <w:lang w:val="ru-RU"/>
        </w:rPr>
        <w:t>22</w:t>
      </w:r>
      <w:r w:rsidRPr="009851E0">
        <w:rPr>
          <w:lang w:val="ru-RU"/>
        </w:rPr>
        <w:tab/>
      </w:r>
      <w:r w:rsidR="00A27550" w:rsidRPr="009851E0">
        <w:rPr>
          <w:lang w:val="ru-RU"/>
        </w:rPr>
        <w:t>В первый год действия нашего мандата мы выпустили рекомендацию </w:t>
      </w:r>
      <w:r w:rsidRPr="009851E0">
        <w:rPr>
          <w:lang w:val="ru-RU"/>
        </w:rPr>
        <w:t xml:space="preserve">№ 3/2012, </w:t>
      </w:r>
      <w:r w:rsidR="00A27550" w:rsidRPr="009851E0">
        <w:rPr>
          <w:lang w:val="ru-RU"/>
        </w:rPr>
        <w:t xml:space="preserve">касающуюся </w:t>
      </w:r>
      <w:r w:rsidR="00033DBC" w:rsidRPr="009851E0">
        <w:rPr>
          <w:color w:val="000000"/>
          <w:lang w:val="ru-RU"/>
        </w:rPr>
        <w:t>пересмотра Соглашения с принимающей страной</w:t>
      </w:r>
      <w:r w:rsidRPr="009851E0">
        <w:rPr>
          <w:lang w:val="ru-RU"/>
        </w:rPr>
        <w:t xml:space="preserve">. </w:t>
      </w:r>
      <w:r w:rsidR="00033DBC" w:rsidRPr="009851E0">
        <w:rPr>
          <w:lang w:val="ru-RU"/>
        </w:rPr>
        <w:t>Мы принимаем последующие меры по этой рекомендации</w:t>
      </w:r>
      <w:r w:rsidRPr="009851E0">
        <w:rPr>
          <w:lang w:val="ru-RU"/>
        </w:rPr>
        <w:t xml:space="preserve">: </w:t>
      </w:r>
      <w:r w:rsidR="00033DBC" w:rsidRPr="009851E0">
        <w:rPr>
          <w:lang w:val="ru-RU"/>
        </w:rPr>
        <w:t>в 2017 году была создана Рабочая группа МСЭ/принимающей страны, в которую входят представители МСЭ, кантона Женева (землевладелец), Швейцарской Конфедерации и ФИПОИ, чтобы обсудить конкретно вопрос "права суперфиция", и первое собрание группы прошло</w:t>
      </w:r>
      <w:r w:rsidRPr="009851E0">
        <w:rPr>
          <w:lang w:val="ru-RU"/>
        </w:rPr>
        <w:t xml:space="preserve"> 15 ноября 2017 года. Когда подготовка данного соглашени</w:t>
      </w:r>
      <w:r w:rsidR="00033DBC" w:rsidRPr="009851E0">
        <w:rPr>
          <w:lang w:val="ru-RU"/>
        </w:rPr>
        <w:t>я</w:t>
      </w:r>
      <w:r w:rsidRPr="009851E0">
        <w:rPr>
          <w:lang w:val="ru-RU"/>
        </w:rPr>
        <w:t xml:space="preserve"> будет завершена, следует соответствующим образом скорректировать остаточную балансовую стоимость.</w:t>
      </w:r>
    </w:p>
    <w:p w:rsidR="00542F98" w:rsidRPr="009851E0" w:rsidRDefault="00542F98" w:rsidP="00B7252F">
      <w:pPr>
        <w:rPr>
          <w:lang w:val="ru-RU"/>
        </w:rPr>
      </w:pPr>
      <w:r w:rsidRPr="009851E0">
        <w:rPr>
          <w:lang w:val="ru-RU"/>
        </w:rPr>
        <w:t>2</w:t>
      </w:r>
      <w:r w:rsidR="00D96052" w:rsidRPr="009851E0">
        <w:rPr>
          <w:lang w:val="ru-RU"/>
        </w:rPr>
        <w:t>3</w:t>
      </w:r>
      <w:r w:rsidR="00B66EDB" w:rsidRPr="009851E0">
        <w:rPr>
          <w:lang w:val="ru-RU"/>
        </w:rPr>
        <w:tab/>
        <w:t>В Примечании 11</w:t>
      </w:r>
      <w:r w:rsidRPr="009851E0">
        <w:rPr>
          <w:lang w:val="ru-RU"/>
        </w:rPr>
        <w:t xml:space="preserve"> к финансовой отчетности зданиями, учтенными в качестве нетекущих активов, были здания "Башня", "Варембе", пристройк</w:t>
      </w:r>
      <w:r w:rsidR="00B66EDB" w:rsidRPr="009851E0">
        <w:rPr>
          <w:lang w:val="ru-RU"/>
        </w:rPr>
        <w:t>а</w:t>
      </w:r>
      <w:r w:rsidRPr="009851E0">
        <w:rPr>
          <w:lang w:val="ru-RU"/>
        </w:rPr>
        <w:t xml:space="preserve"> С и кафетерий, а также здание "Монбрийан". В том что касается зданий, как отмечено выше, чистая балансовая стоимость изменилась от 10</w:t>
      </w:r>
      <w:r w:rsidR="00D96052" w:rsidRPr="009851E0">
        <w:rPr>
          <w:lang w:val="ru-RU"/>
        </w:rPr>
        <w:t>0</w:t>
      </w:r>
      <w:r w:rsidRPr="009851E0">
        <w:rPr>
          <w:lang w:val="ru-RU"/>
        </w:rPr>
        <w:t>,</w:t>
      </w:r>
      <w:r w:rsidR="00D96052" w:rsidRPr="009851E0">
        <w:rPr>
          <w:lang w:val="ru-RU"/>
        </w:rPr>
        <w:t>56</w:t>
      </w:r>
      <w:r w:rsidRPr="009851E0">
        <w:rPr>
          <w:lang w:val="ru-RU"/>
        </w:rPr>
        <w:t> млн. швейцарских франков по состоянию на 1 января 201</w:t>
      </w:r>
      <w:r w:rsidR="00D96052" w:rsidRPr="009851E0">
        <w:rPr>
          <w:lang w:val="ru-RU"/>
        </w:rPr>
        <w:t>7 года до 97</w:t>
      </w:r>
      <w:r w:rsidRPr="009851E0">
        <w:rPr>
          <w:lang w:val="ru-RU"/>
        </w:rPr>
        <w:t>,</w:t>
      </w:r>
      <w:r w:rsidR="00D96052" w:rsidRPr="009851E0">
        <w:rPr>
          <w:lang w:val="ru-RU"/>
        </w:rPr>
        <w:t>7</w:t>
      </w:r>
      <w:r w:rsidRPr="009851E0">
        <w:rPr>
          <w:lang w:val="ru-RU"/>
        </w:rPr>
        <w:t xml:space="preserve"> млн. швейца</w:t>
      </w:r>
      <w:r w:rsidR="00B66EDB" w:rsidRPr="009851E0">
        <w:rPr>
          <w:lang w:val="ru-RU"/>
        </w:rPr>
        <w:t>рских франков на 31 декабря 201</w:t>
      </w:r>
      <w:r w:rsidR="00D96052" w:rsidRPr="009851E0">
        <w:rPr>
          <w:lang w:val="ru-RU"/>
        </w:rPr>
        <w:t>7</w:t>
      </w:r>
      <w:r w:rsidRPr="009851E0">
        <w:rPr>
          <w:lang w:val="ru-RU"/>
        </w:rPr>
        <w:t xml:space="preserve"> года, что вызвано </w:t>
      </w:r>
      <w:r w:rsidR="00B7252F" w:rsidRPr="009851E0">
        <w:rPr>
          <w:lang w:val="ru-RU"/>
        </w:rPr>
        <w:t>приростом в размере</w:t>
      </w:r>
      <w:r w:rsidR="00D96052" w:rsidRPr="009851E0">
        <w:rPr>
          <w:lang w:val="ru-RU"/>
        </w:rPr>
        <w:t xml:space="preserve"> 0,25</w:t>
      </w:r>
      <w:r w:rsidR="006C76F9" w:rsidRPr="009851E0">
        <w:rPr>
          <w:lang w:val="ru-RU"/>
        </w:rPr>
        <w:t xml:space="preserve"> млн. швейцарских франков</w:t>
      </w:r>
      <w:r w:rsidR="00D96052" w:rsidRPr="009851E0">
        <w:rPr>
          <w:lang w:val="ru-RU"/>
        </w:rPr>
        <w:t xml:space="preserve"> и </w:t>
      </w:r>
      <w:r w:rsidRPr="009851E0">
        <w:rPr>
          <w:lang w:val="ru-RU"/>
        </w:rPr>
        <w:t>амортизацией в размере 3,</w:t>
      </w:r>
      <w:r w:rsidR="00D96052" w:rsidRPr="009851E0">
        <w:rPr>
          <w:lang w:val="ru-RU"/>
        </w:rPr>
        <w:t>1</w:t>
      </w:r>
      <w:r w:rsidRPr="009851E0">
        <w:rPr>
          <w:lang w:val="ru-RU"/>
        </w:rPr>
        <w:t> мл</w:t>
      </w:r>
      <w:r w:rsidR="00D96052" w:rsidRPr="009851E0">
        <w:rPr>
          <w:lang w:val="ru-RU"/>
        </w:rPr>
        <w:t>н. швейцарских франков, учтенными</w:t>
      </w:r>
      <w:r w:rsidRPr="009851E0">
        <w:rPr>
          <w:lang w:val="ru-RU"/>
        </w:rPr>
        <w:t xml:space="preserve"> в течение года.</w:t>
      </w:r>
    </w:p>
    <w:p w:rsidR="00542F98" w:rsidRPr="009851E0" w:rsidRDefault="00542F98" w:rsidP="001B2755">
      <w:pPr>
        <w:rPr>
          <w:lang w:val="ru-RU"/>
        </w:rPr>
      </w:pPr>
      <w:r w:rsidRPr="009851E0">
        <w:rPr>
          <w:lang w:val="ru-RU"/>
        </w:rPr>
        <w:t>2</w:t>
      </w:r>
      <w:r w:rsidR="00D96052" w:rsidRPr="009851E0">
        <w:rPr>
          <w:lang w:val="ru-RU"/>
        </w:rPr>
        <w:t>4</w:t>
      </w:r>
      <w:r w:rsidRPr="009851E0">
        <w:rPr>
          <w:lang w:val="ru-RU"/>
        </w:rPr>
        <w:tab/>
        <w:t xml:space="preserve">Швейцарская Конфедерация обеспечивает финансирование строительства зданий для международных организаций через Фонд недвижимого имущества для международных организаций (ФИПОИ) в форме займа, предоставляемого на благоприятных условиях, а именно на период 50 лет с процентной ставкой в размере 0%. Земельные площади предоставляются на бесплатной основе </w:t>
      </w:r>
      <w:r w:rsidR="00D96052" w:rsidRPr="009851E0">
        <w:rPr>
          <w:lang w:val="ru-RU"/>
        </w:rPr>
        <w:t>кантоном</w:t>
      </w:r>
      <w:r w:rsidRPr="009851E0">
        <w:rPr>
          <w:lang w:val="ru-RU"/>
        </w:rPr>
        <w:t xml:space="preserve"> Женев</w:t>
      </w:r>
      <w:r w:rsidR="00D96052" w:rsidRPr="009851E0">
        <w:rPr>
          <w:lang w:val="ru-RU"/>
        </w:rPr>
        <w:t>а</w:t>
      </w:r>
      <w:r w:rsidRPr="009851E0">
        <w:rPr>
          <w:lang w:val="ru-RU"/>
        </w:rPr>
        <w:t xml:space="preserve"> с использованием "</w:t>
      </w:r>
      <w:r w:rsidRPr="009851E0">
        <w:rPr>
          <w:i/>
          <w:lang w:val="ru-RU"/>
        </w:rPr>
        <w:t>права суперфиция</w:t>
      </w:r>
      <w:r w:rsidRPr="009851E0">
        <w:rPr>
          <w:lang w:val="ru-RU"/>
        </w:rPr>
        <w:t>". Объем займов из ФИПОИ показан в Примечании 1</w:t>
      </w:r>
      <w:r w:rsidR="001B2755" w:rsidRPr="009851E0">
        <w:rPr>
          <w:lang w:val="ru-RU"/>
        </w:rPr>
        <w:t>6</w:t>
      </w:r>
      <w:r w:rsidRPr="009851E0">
        <w:rPr>
          <w:lang w:val="ru-RU"/>
        </w:rPr>
        <w:t xml:space="preserve"> к Отчету о финансовой деятельности. </w:t>
      </w:r>
    </w:p>
    <w:p w:rsidR="001B2755" w:rsidRPr="009851E0" w:rsidRDefault="00B7252F" w:rsidP="00B7252F">
      <w:pPr>
        <w:pStyle w:val="Heading1"/>
        <w:rPr>
          <w:i/>
          <w:iCs/>
          <w:lang w:val="ru-RU"/>
        </w:rPr>
      </w:pPr>
      <w:bookmarkStart w:id="140" w:name="_Toc517093865"/>
      <w:bookmarkStart w:id="141" w:name="_Toc522633566"/>
      <w:r w:rsidRPr="009851E0">
        <w:rPr>
          <w:i/>
          <w:iCs/>
          <w:lang w:val="ru-RU"/>
        </w:rPr>
        <w:t>Здания штаб-квартиры Союза</w:t>
      </w:r>
      <w:bookmarkEnd w:id="140"/>
      <w:bookmarkEnd w:id="141"/>
    </w:p>
    <w:p w:rsidR="001B2755" w:rsidRPr="009851E0" w:rsidRDefault="00954A75" w:rsidP="00EE1AC7">
      <w:pPr>
        <w:rPr>
          <w:lang w:val="ru-RU"/>
        </w:rPr>
      </w:pPr>
      <w:r w:rsidRPr="009851E0">
        <w:rPr>
          <w:lang w:val="ru-RU"/>
        </w:rPr>
        <w:t>25</w:t>
      </w:r>
      <w:r w:rsidRPr="009851E0">
        <w:rPr>
          <w:lang w:val="ru-RU"/>
        </w:rPr>
        <w:tab/>
        <w:t>Совет</w:t>
      </w:r>
      <w:r w:rsidR="001B2755" w:rsidRPr="009851E0">
        <w:rPr>
          <w:lang w:val="ru-RU"/>
        </w:rPr>
        <w:t xml:space="preserve"> МСЭ 2016 года</w:t>
      </w:r>
      <w:r w:rsidR="00B7252F" w:rsidRPr="009851E0">
        <w:rPr>
          <w:lang w:val="ru-RU"/>
        </w:rPr>
        <w:t xml:space="preserve"> в Решении </w:t>
      </w:r>
      <w:r w:rsidR="001B2755" w:rsidRPr="009851E0">
        <w:rPr>
          <w:lang w:val="ru-RU"/>
        </w:rPr>
        <w:t>588 of 10 июня 2016 года</w:t>
      </w:r>
      <w:r w:rsidR="00B7252F" w:rsidRPr="009851E0">
        <w:rPr>
          <w:lang w:val="ru-RU"/>
        </w:rPr>
        <w:t xml:space="preserve"> утвердил </w:t>
      </w:r>
      <w:r w:rsidR="00EE1AC7" w:rsidRPr="009851E0">
        <w:rPr>
          <w:lang w:val="ru-RU"/>
        </w:rPr>
        <w:t>замену</w:t>
      </w:r>
      <w:r w:rsidR="001B2755" w:rsidRPr="009851E0">
        <w:rPr>
          <w:lang w:val="ru-RU"/>
        </w:rPr>
        <w:t xml:space="preserve"> </w:t>
      </w:r>
      <w:r w:rsidRPr="009851E0">
        <w:rPr>
          <w:lang w:val="ru-RU"/>
        </w:rPr>
        <w:t xml:space="preserve">здания </w:t>
      </w:r>
      <w:r w:rsidR="001B2755" w:rsidRPr="009851E0">
        <w:rPr>
          <w:lang w:val="ru-RU"/>
        </w:rPr>
        <w:t xml:space="preserve">"Варембе" </w:t>
      </w:r>
      <w:r w:rsidR="00EE1AC7" w:rsidRPr="009851E0">
        <w:rPr>
          <w:lang w:val="ru-RU"/>
        </w:rPr>
        <w:t>новым зданием, в котором также разместятся офисы и объекты здания "Башня", сохранение и обновление здания "Монбрийан"</w:t>
      </w:r>
      <w:r w:rsidR="001B2755" w:rsidRPr="009851E0">
        <w:rPr>
          <w:lang w:val="ru-RU"/>
        </w:rPr>
        <w:t xml:space="preserve">; </w:t>
      </w:r>
      <w:r w:rsidR="00EE1AC7" w:rsidRPr="009851E0">
        <w:rPr>
          <w:lang w:val="ru-RU"/>
        </w:rPr>
        <w:t>эта мера была сочтена наиболее экономически эффективной, при условии успешной продажи здания "Башня"</w:t>
      </w:r>
      <w:r w:rsidR="001B2755" w:rsidRPr="009851E0">
        <w:rPr>
          <w:lang w:val="ru-RU"/>
        </w:rPr>
        <w:t>.</w:t>
      </w:r>
    </w:p>
    <w:p w:rsidR="001B2755" w:rsidRPr="009851E0" w:rsidRDefault="00954A75" w:rsidP="006C76F9">
      <w:pPr>
        <w:rPr>
          <w:lang w:val="ru-RU"/>
        </w:rPr>
      </w:pPr>
      <w:r w:rsidRPr="009851E0">
        <w:rPr>
          <w:lang w:val="ru-RU"/>
        </w:rPr>
        <w:t>26</w:t>
      </w:r>
      <w:r w:rsidRPr="009851E0">
        <w:rPr>
          <w:lang w:val="ru-RU"/>
        </w:rPr>
        <w:tab/>
      </w:r>
      <w:r w:rsidR="00EE1AC7" w:rsidRPr="009851E0">
        <w:rPr>
          <w:lang w:val="ru-RU"/>
        </w:rPr>
        <w:t xml:space="preserve">Вся эта процедура в настоящее время осуществляется, поскольку еще предстоит </w:t>
      </w:r>
      <w:r w:rsidR="005E233C" w:rsidRPr="009851E0">
        <w:rPr>
          <w:lang w:val="ru-RU"/>
        </w:rPr>
        <w:t xml:space="preserve">определить </w:t>
      </w:r>
      <w:r w:rsidR="006C76F9" w:rsidRPr="009851E0">
        <w:rPr>
          <w:lang w:val="ru-RU"/>
        </w:rPr>
        <w:t xml:space="preserve">нечто </w:t>
      </w:r>
      <w:r w:rsidR="005E233C" w:rsidRPr="009851E0">
        <w:rPr>
          <w:lang w:val="ru-RU"/>
        </w:rPr>
        <w:t>в отношении продажи</w:t>
      </w:r>
      <w:r w:rsidR="001B2755" w:rsidRPr="009851E0">
        <w:rPr>
          <w:lang w:val="ru-RU"/>
        </w:rPr>
        <w:t xml:space="preserve"> </w:t>
      </w:r>
      <w:r w:rsidRPr="009851E0">
        <w:rPr>
          <w:lang w:val="ru-RU"/>
        </w:rPr>
        <w:t>здания "Башня"</w:t>
      </w:r>
      <w:r w:rsidR="001B2755" w:rsidRPr="009851E0">
        <w:rPr>
          <w:lang w:val="ru-RU"/>
        </w:rPr>
        <w:t xml:space="preserve">. </w:t>
      </w:r>
      <w:r w:rsidR="005E233C" w:rsidRPr="009851E0">
        <w:rPr>
          <w:lang w:val="ru-RU"/>
        </w:rPr>
        <w:t>Как только будет принято окончательное решение относительно сноса здания "Варембе", амортизация этого здания, учтенная в счетах, должна будет быть пересчитана в соответствии с оставшимся сроком службы</w:t>
      </w:r>
      <w:r w:rsidR="001B2755" w:rsidRPr="009851E0">
        <w:rPr>
          <w:lang w:val="ru-RU"/>
        </w:rPr>
        <w:t>.</w:t>
      </w:r>
    </w:p>
    <w:p w:rsidR="001B2755" w:rsidRPr="009851E0" w:rsidRDefault="00954A75" w:rsidP="006C5386">
      <w:pPr>
        <w:spacing w:after="120"/>
        <w:rPr>
          <w:lang w:val="ru-RU"/>
        </w:rPr>
      </w:pPr>
      <w:r w:rsidRPr="009851E0">
        <w:rPr>
          <w:lang w:val="ru-RU"/>
        </w:rPr>
        <w:t>27</w:t>
      </w:r>
      <w:r w:rsidRPr="009851E0">
        <w:rPr>
          <w:lang w:val="ru-RU"/>
        </w:rPr>
        <w:tab/>
      </w:r>
      <w:r w:rsidR="005E233C" w:rsidRPr="009851E0">
        <w:rPr>
          <w:lang w:val="ru-RU"/>
        </w:rPr>
        <w:t xml:space="preserve">Что касается нового здания, необходимо в осуществляемых проектах и исследованиях принимать во внимание потребности Союза в долгосрочной перспективе, в том что относится к </w:t>
      </w:r>
      <w:r w:rsidR="006C5386" w:rsidRPr="009851E0">
        <w:rPr>
          <w:lang w:val="ru-RU"/>
        </w:rPr>
        <w:t>офисам</w:t>
      </w:r>
      <w:r w:rsidR="005E233C" w:rsidRPr="009851E0">
        <w:rPr>
          <w:lang w:val="ru-RU"/>
        </w:rPr>
        <w:t xml:space="preserve">, залам заседаний, </w:t>
      </w:r>
      <w:r w:rsidR="006C5386" w:rsidRPr="009851E0">
        <w:rPr>
          <w:lang w:val="ru-RU"/>
        </w:rPr>
        <w:t>служебным помещениям, парковкам и т. п</w:t>
      </w:r>
      <w:r w:rsidR="001B2755" w:rsidRPr="009851E0">
        <w:rPr>
          <w:lang w:val="ru-RU"/>
        </w:rPr>
        <w:t>.</w:t>
      </w:r>
    </w:p>
    <w:tbl>
      <w:tblPr>
        <w:tblStyle w:val="TableGrid2"/>
        <w:tblW w:w="0" w:type="auto"/>
        <w:tblInd w:w="-5" w:type="dxa"/>
        <w:tblLook w:val="04A0" w:firstRow="1" w:lastRow="0" w:firstColumn="1" w:lastColumn="0" w:noHBand="0" w:noVBand="1"/>
      </w:tblPr>
      <w:tblGrid>
        <w:gridCol w:w="9634"/>
      </w:tblGrid>
      <w:tr w:rsidR="000022A6" w:rsidRPr="00E65E97" w:rsidTr="00027553">
        <w:tc>
          <w:tcPr>
            <w:tcW w:w="9634" w:type="dxa"/>
          </w:tcPr>
          <w:p w:rsidR="000022A6" w:rsidRPr="009851E0" w:rsidRDefault="00592DA2" w:rsidP="00027553">
            <w:pPr>
              <w:keepNext/>
              <w:rPr>
                <w:b/>
                <w:bCs/>
                <w:i/>
                <w:iCs/>
                <w:lang w:val="ru-RU"/>
              </w:rPr>
            </w:pPr>
            <w:r w:rsidRPr="009851E0">
              <w:rPr>
                <w:b/>
                <w:bCs/>
                <w:i/>
                <w:iCs/>
                <w:lang w:val="ru-RU"/>
              </w:rPr>
              <w:t>Рекомендация</w:t>
            </w:r>
            <w:r w:rsidR="000022A6" w:rsidRPr="009851E0">
              <w:rPr>
                <w:b/>
                <w:bCs/>
                <w:i/>
                <w:iCs/>
                <w:lang w:val="ru-RU"/>
              </w:rPr>
              <w:t xml:space="preserve"> 1</w:t>
            </w:r>
          </w:p>
          <w:p w:rsidR="000022A6" w:rsidRPr="009851E0" w:rsidRDefault="000022A6" w:rsidP="00223CCC">
            <w:pPr>
              <w:spacing w:after="120"/>
              <w:rPr>
                <w:lang w:val="ru-RU"/>
              </w:rPr>
            </w:pPr>
            <w:r w:rsidRPr="009851E0">
              <w:rPr>
                <w:lang w:val="ru-RU"/>
              </w:rPr>
              <w:t>28</w:t>
            </w:r>
            <w:r w:rsidRPr="009851E0">
              <w:rPr>
                <w:lang w:val="ru-RU"/>
              </w:rPr>
              <w:tab/>
            </w:r>
            <w:r w:rsidR="003F560D" w:rsidRPr="009851E0">
              <w:rPr>
                <w:u w:val="single"/>
                <w:lang w:val="ru-RU"/>
              </w:rPr>
              <w:t>Мы рекомендуем</w:t>
            </w:r>
            <w:r w:rsidR="003F560D" w:rsidRPr="009851E0">
              <w:rPr>
                <w:lang w:val="ru-RU"/>
              </w:rPr>
              <w:t xml:space="preserve"> </w:t>
            </w:r>
            <w:r w:rsidR="001909AA" w:rsidRPr="009851E0">
              <w:rPr>
                <w:lang w:val="ru-RU"/>
              </w:rPr>
              <w:t>руководству, в процессе оценки проектов и исследований</w:t>
            </w:r>
            <w:r w:rsidR="00223CCC" w:rsidRPr="009851E0">
              <w:rPr>
                <w:lang w:val="ru-RU"/>
              </w:rPr>
              <w:t xml:space="preserve"> для строительства новых помещений штаб-квартиры, принимать во внимание потребности Союза в долгосрочной перспективе, а также учитывать Стратегический план МСЭ по людским ресурсам</w:t>
            </w:r>
            <w:r w:rsidRPr="009851E0">
              <w:rPr>
                <w:lang w:val="ru-RU"/>
              </w:rPr>
              <w:t>.</w:t>
            </w:r>
          </w:p>
        </w:tc>
      </w:tr>
    </w:tbl>
    <w:p w:rsidR="000022A6" w:rsidRPr="009851E0" w:rsidRDefault="000022A6" w:rsidP="000022A6">
      <w:pPr>
        <w:rPr>
          <w:lang w:val="ru-RU"/>
        </w:rPr>
      </w:pPr>
      <w:bookmarkStart w:id="142" w:name="_Toc450158097"/>
      <w:bookmarkStart w:id="143" w:name="_Toc450323527"/>
      <w:bookmarkStart w:id="144" w:name="_Toc450991466"/>
      <w:bookmarkStart w:id="145" w:name="_Toc452157307"/>
      <w:bookmarkStart w:id="146" w:name="_Toc482995176"/>
    </w:p>
    <w:tbl>
      <w:tblPr>
        <w:tblStyle w:val="TableGrid2"/>
        <w:tblW w:w="0" w:type="auto"/>
        <w:tblInd w:w="-5" w:type="dxa"/>
        <w:tblLook w:val="04A0" w:firstRow="1" w:lastRow="0" w:firstColumn="1" w:lastColumn="0" w:noHBand="0" w:noVBand="1"/>
      </w:tblPr>
      <w:tblGrid>
        <w:gridCol w:w="9634"/>
      </w:tblGrid>
      <w:tr w:rsidR="000022A6" w:rsidRPr="00E65E97" w:rsidTr="00027553">
        <w:trPr>
          <w:cantSplit/>
        </w:trPr>
        <w:tc>
          <w:tcPr>
            <w:tcW w:w="9634" w:type="dxa"/>
          </w:tcPr>
          <w:p w:rsidR="000022A6" w:rsidRPr="009851E0" w:rsidRDefault="000022A6" w:rsidP="00027553">
            <w:pPr>
              <w:rPr>
                <w:b/>
                <w:bCs/>
                <w:i/>
                <w:iCs/>
                <w:u w:val="single"/>
                <w:lang w:val="ru-RU"/>
              </w:rPr>
            </w:pPr>
            <w:r w:rsidRPr="009851E0">
              <w:rPr>
                <w:b/>
                <w:bCs/>
                <w:i/>
                <w:iCs/>
                <w:u w:val="single"/>
                <w:lang w:val="ru-RU"/>
              </w:rPr>
              <w:t>Комментарии Генерального секретаря</w:t>
            </w:r>
          </w:p>
          <w:p w:rsidR="000022A6" w:rsidRPr="009851E0" w:rsidRDefault="00223CCC" w:rsidP="002E055D">
            <w:pPr>
              <w:spacing w:after="120"/>
              <w:rPr>
                <w:lang w:val="ru-RU"/>
              </w:rPr>
            </w:pPr>
            <w:r w:rsidRPr="009851E0">
              <w:rPr>
                <w:lang w:val="ru-RU"/>
              </w:rPr>
              <w:t>Правление проекта строительства приняло данную рекомендацию к сведению</w:t>
            </w:r>
            <w:r w:rsidR="000022A6" w:rsidRPr="009851E0">
              <w:rPr>
                <w:lang w:val="ru-RU"/>
              </w:rPr>
              <w:t xml:space="preserve">. </w:t>
            </w:r>
            <w:r w:rsidR="00150FE2" w:rsidRPr="009851E0">
              <w:rPr>
                <w:lang w:val="ru-RU"/>
              </w:rPr>
              <w:t xml:space="preserve">Ведущиеся обсуждения и исследования, имеющие целью поддержку процесса принятия решений по определенному числу вариантов, касающихся проектирования, </w:t>
            </w:r>
            <w:r w:rsidR="002E055D" w:rsidRPr="009851E0">
              <w:rPr>
                <w:lang w:val="ru-RU"/>
              </w:rPr>
              <w:t>определения параметров и т. п. нового здания, и которые основываются на прогнозировании численности персонала (регулярного и внештатного), который может иметься на дату ввода в действие нового здания</w:t>
            </w:r>
            <w:r w:rsidR="000022A6" w:rsidRPr="009851E0">
              <w:rPr>
                <w:lang w:val="ru-RU"/>
              </w:rPr>
              <w:t>.</w:t>
            </w:r>
          </w:p>
        </w:tc>
      </w:tr>
    </w:tbl>
    <w:p w:rsidR="00542F98" w:rsidRPr="009851E0" w:rsidRDefault="005B2D9F" w:rsidP="00170A17">
      <w:pPr>
        <w:pStyle w:val="Heading1"/>
        <w:rPr>
          <w:lang w:val="ru-RU"/>
        </w:rPr>
      </w:pPr>
      <w:bookmarkStart w:id="147" w:name="_Toc522633567"/>
      <w:r w:rsidRPr="009851E0">
        <w:rPr>
          <w:lang w:val="ru-RU"/>
        </w:rPr>
        <w:t>Р</w:t>
      </w:r>
      <w:r w:rsidR="00542F98" w:rsidRPr="009851E0">
        <w:rPr>
          <w:lang w:val="ru-RU"/>
        </w:rPr>
        <w:t>еестр активов</w:t>
      </w:r>
      <w:bookmarkEnd w:id="142"/>
      <w:bookmarkEnd w:id="143"/>
      <w:bookmarkEnd w:id="144"/>
      <w:bookmarkEnd w:id="145"/>
      <w:bookmarkEnd w:id="146"/>
      <w:bookmarkEnd w:id="147"/>
    </w:p>
    <w:p w:rsidR="00542F98" w:rsidRPr="009851E0" w:rsidRDefault="00EF57D2" w:rsidP="00011B38">
      <w:pPr>
        <w:rPr>
          <w:lang w:val="ru-RU"/>
        </w:rPr>
      </w:pPr>
      <w:r w:rsidRPr="009851E0">
        <w:rPr>
          <w:lang w:val="ru-RU"/>
        </w:rPr>
        <w:t>29</w:t>
      </w:r>
      <w:r w:rsidR="004366F9" w:rsidRPr="009851E0">
        <w:rPr>
          <w:lang w:val="ru-RU"/>
        </w:rPr>
        <w:tab/>
      </w:r>
      <w:r w:rsidR="00542F98" w:rsidRPr="009851E0">
        <w:rPr>
          <w:lang w:val="ru-RU"/>
        </w:rPr>
        <w:t xml:space="preserve">Мы получили и проверили списки активов, и мы провели проверку реальных запасов на основе выборки объектов, учтенных в реестре материальных активов. </w:t>
      </w:r>
      <w:r w:rsidR="00011B38" w:rsidRPr="009851E0">
        <w:rPr>
          <w:lang w:val="ru-RU"/>
        </w:rPr>
        <w:t xml:space="preserve">С нашими предыдущими рекомендациями и предложениями можно ознакомиться в таблицах последующих </w:t>
      </w:r>
      <w:r w:rsidR="001C51AD" w:rsidRPr="009851E0">
        <w:rPr>
          <w:lang w:val="ru-RU"/>
        </w:rPr>
        <w:t>мер (см. </w:t>
      </w:r>
      <w:hyperlink w:anchor="_ПРИЛОЖЕНИЕ_I" w:history="1">
        <w:r w:rsidR="007C4D9B" w:rsidRPr="009851E0">
          <w:rPr>
            <w:rStyle w:val="Hyperlink"/>
            <w:lang w:val="ru-RU"/>
          </w:rPr>
          <w:t>Приложения</w:t>
        </w:r>
      </w:hyperlink>
      <w:r w:rsidR="00CB49BD" w:rsidRPr="009851E0">
        <w:rPr>
          <w:lang w:val="ru-RU"/>
        </w:rPr>
        <w:t>).</w:t>
      </w:r>
    </w:p>
    <w:p w:rsidR="00EB539F" w:rsidRPr="009851E0" w:rsidRDefault="00EB539F" w:rsidP="00170A17">
      <w:pPr>
        <w:pStyle w:val="Heading1"/>
        <w:rPr>
          <w:lang w:val="ru-RU"/>
        </w:rPr>
      </w:pPr>
      <w:bookmarkStart w:id="148" w:name="_Toc452157311"/>
      <w:bookmarkStart w:id="149" w:name="_Toc482995177"/>
      <w:bookmarkStart w:id="150" w:name="_Toc522633568"/>
      <w:r w:rsidRPr="009851E0">
        <w:rPr>
          <w:lang w:val="ru-RU"/>
        </w:rPr>
        <w:t>Нематериальные активы</w:t>
      </w:r>
      <w:bookmarkEnd w:id="148"/>
      <w:bookmarkEnd w:id="149"/>
      <w:bookmarkEnd w:id="150"/>
    </w:p>
    <w:p w:rsidR="00EB539F" w:rsidRPr="009851E0" w:rsidRDefault="00EF57D2" w:rsidP="00EF57D2">
      <w:pPr>
        <w:rPr>
          <w:lang w:val="ru-RU"/>
        </w:rPr>
      </w:pPr>
      <w:r w:rsidRPr="009851E0">
        <w:rPr>
          <w:lang w:val="ru-RU"/>
        </w:rPr>
        <w:t>30</w:t>
      </w:r>
      <w:r w:rsidR="00EB539F" w:rsidRPr="009851E0">
        <w:rPr>
          <w:lang w:val="ru-RU"/>
        </w:rPr>
        <w:tab/>
        <w:t>В 201</w:t>
      </w:r>
      <w:r w:rsidRPr="009851E0">
        <w:rPr>
          <w:lang w:val="ru-RU"/>
        </w:rPr>
        <w:t>7</w:t>
      </w:r>
      <w:r w:rsidR="00EB539F" w:rsidRPr="009851E0">
        <w:rPr>
          <w:lang w:val="ru-RU"/>
        </w:rPr>
        <w:t xml:space="preserve"> году размер н</w:t>
      </w:r>
      <w:r w:rsidRPr="009851E0">
        <w:rPr>
          <w:lang w:val="ru-RU"/>
        </w:rPr>
        <w:t>ематериальных активов составил 1</w:t>
      </w:r>
      <w:r w:rsidR="00EB539F" w:rsidRPr="009851E0">
        <w:rPr>
          <w:lang w:val="ru-RU"/>
        </w:rPr>
        <w:t xml:space="preserve"> млн. швейца</w:t>
      </w:r>
      <w:r w:rsidRPr="009851E0">
        <w:rPr>
          <w:lang w:val="ru-RU"/>
        </w:rPr>
        <w:t>рских франков, уменьшившись на 1</w:t>
      </w:r>
      <w:r w:rsidR="00EB539F" w:rsidRPr="009851E0">
        <w:rPr>
          <w:lang w:val="ru-RU"/>
        </w:rPr>
        <w:t>,</w:t>
      </w:r>
      <w:r w:rsidR="00104CAD" w:rsidRPr="009851E0">
        <w:rPr>
          <w:lang w:val="ru-RU"/>
        </w:rPr>
        <w:t>6</w:t>
      </w:r>
      <w:r w:rsidR="00EB539F" w:rsidRPr="009851E0">
        <w:rPr>
          <w:lang w:val="ru-RU"/>
        </w:rPr>
        <w:t xml:space="preserve"> млн. швейцарских франков (−</w:t>
      </w:r>
      <w:r w:rsidRPr="009851E0">
        <w:rPr>
          <w:lang w:val="ru-RU"/>
        </w:rPr>
        <w:t>63</w:t>
      </w:r>
      <w:r w:rsidR="00EB539F" w:rsidRPr="009851E0">
        <w:rPr>
          <w:lang w:val="ru-RU"/>
        </w:rPr>
        <w:t>,</w:t>
      </w:r>
      <w:r w:rsidRPr="009851E0">
        <w:rPr>
          <w:lang w:val="ru-RU"/>
        </w:rPr>
        <w:t>3</w:t>
      </w:r>
      <w:r w:rsidR="00EB539F" w:rsidRPr="009851E0">
        <w:rPr>
          <w:lang w:val="ru-RU"/>
        </w:rPr>
        <w:t>%) по с</w:t>
      </w:r>
      <w:r w:rsidR="00826221" w:rsidRPr="009851E0">
        <w:rPr>
          <w:lang w:val="ru-RU"/>
        </w:rPr>
        <w:t>равнению с 201</w:t>
      </w:r>
      <w:r w:rsidRPr="009851E0">
        <w:rPr>
          <w:lang w:val="ru-RU"/>
        </w:rPr>
        <w:t>6</w:t>
      </w:r>
      <w:r w:rsidR="00104CAD" w:rsidRPr="009851E0">
        <w:rPr>
          <w:lang w:val="ru-RU"/>
        </w:rPr>
        <w:t> годом (2</w:t>
      </w:r>
      <w:r w:rsidRPr="009851E0">
        <w:rPr>
          <w:lang w:val="ru-RU"/>
        </w:rPr>
        <w:t>,6</w:t>
      </w:r>
      <w:r w:rsidR="00826221" w:rsidRPr="009851E0">
        <w:rPr>
          <w:lang w:val="ru-RU"/>
        </w:rPr>
        <w:t> млн. </w:t>
      </w:r>
      <w:r w:rsidR="00EB539F" w:rsidRPr="009851E0">
        <w:rPr>
          <w:lang w:val="ru-RU"/>
        </w:rPr>
        <w:t>швейцарских франков).</w:t>
      </w:r>
    </w:p>
    <w:p w:rsidR="00EB539F" w:rsidRPr="009851E0" w:rsidRDefault="00EF57D2" w:rsidP="00BA5F08">
      <w:pPr>
        <w:rPr>
          <w:lang w:val="ru-RU"/>
        </w:rPr>
      </w:pPr>
      <w:r w:rsidRPr="009851E0">
        <w:rPr>
          <w:lang w:val="ru-RU"/>
        </w:rPr>
        <w:t>31</w:t>
      </w:r>
      <w:r w:rsidR="00EB539F" w:rsidRPr="009851E0">
        <w:rPr>
          <w:lang w:val="ru-RU"/>
        </w:rPr>
        <w:tab/>
        <w:t>Как указано руководством в Примечании 1</w:t>
      </w:r>
      <w:r w:rsidR="00104CAD" w:rsidRPr="009851E0">
        <w:rPr>
          <w:lang w:val="ru-RU"/>
        </w:rPr>
        <w:t>2</w:t>
      </w:r>
      <w:r w:rsidR="00EB539F" w:rsidRPr="009851E0">
        <w:rPr>
          <w:lang w:val="ru-RU"/>
        </w:rPr>
        <w:t xml:space="preserve"> к Отчету о финансовой деятельности, капитализация, согласно стандарту IPSAS 31, касалась </w:t>
      </w:r>
      <w:r w:rsidRPr="009851E0">
        <w:rPr>
          <w:lang w:val="ru-RU"/>
        </w:rPr>
        <w:t>i) </w:t>
      </w:r>
      <w:r w:rsidR="00EB539F" w:rsidRPr="009851E0">
        <w:rPr>
          <w:lang w:val="ru-RU"/>
        </w:rPr>
        <w:t>внутренних разработок, связанных с совершенствованием некоторых конкретных услуг, предлагаемых членам, в частности в отношении доступа к документам МСЭ, управления документами и их архивирования</w:t>
      </w:r>
      <w:r w:rsidRPr="009851E0">
        <w:rPr>
          <w:lang w:val="ru-RU"/>
        </w:rPr>
        <w:t>; ii) </w:t>
      </w:r>
      <w:r w:rsidR="00BA5F08" w:rsidRPr="009851E0">
        <w:rPr>
          <w:lang w:val="ru-RU"/>
        </w:rPr>
        <w:t xml:space="preserve">стандартных пакетов программного обеспечения и обновления, используемых в оперативной деятельности </w:t>
      </w:r>
      <w:r w:rsidRPr="009851E0">
        <w:rPr>
          <w:lang w:val="ru-RU"/>
        </w:rPr>
        <w:t>МСЭ</w:t>
      </w:r>
      <w:r w:rsidR="00EB539F" w:rsidRPr="009851E0">
        <w:rPr>
          <w:lang w:val="ru-RU"/>
        </w:rPr>
        <w:t xml:space="preserve">. </w:t>
      </w:r>
    </w:p>
    <w:p w:rsidR="00EB539F" w:rsidRPr="009851E0" w:rsidRDefault="00EB539F" w:rsidP="00170A17">
      <w:pPr>
        <w:pStyle w:val="Heading1"/>
        <w:rPr>
          <w:lang w:val="ru-RU"/>
        </w:rPr>
      </w:pPr>
      <w:bookmarkStart w:id="151" w:name="_Toc358192836"/>
      <w:bookmarkStart w:id="152" w:name="_Toc398125320"/>
      <w:bookmarkStart w:id="153" w:name="_Toc398125799"/>
      <w:bookmarkStart w:id="154" w:name="_Toc398127092"/>
      <w:bookmarkStart w:id="155" w:name="_Toc452157312"/>
      <w:bookmarkStart w:id="156" w:name="_Toc482995178"/>
      <w:bookmarkStart w:id="157" w:name="_Toc522633569"/>
      <w:r w:rsidRPr="009851E0">
        <w:rPr>
          <w:lang w:val="ru-RU"/>
        </w:rPr>
        <w:t>ПАССИВЫ</w:t>
      </w:r>
      <w:bookmarkEnd w:id="151"/>
      <w:bookmarkEnd w:id="152"/>
      <w:bookmarkEnd w:id="153"/>
      <w:bookmarkEnd w:id="154"/>
      <w:bookmarkEnd w:id="155"/>
      <w:bookmarkEnd w:id="156"/>
      <w:bookmarkEnd w:id="157"/>
    </w:p>
    <w:p w:rsidR="00EB539F" w:rsidRPr="009851E0" w:rsidRDefault="005F5901" w:rsidP="005F5901">
      <w:pPr>
        <w:rPr>
          <w:lang w:val="ru-RU"/>
        </w:rPr>
      </w:pPr>
      <w:r w:rsidRPr="009851E0">
        <w:rPr>
          <w:lang w:val="ru-RU"/>
        </w:rPr>
        <w:t>32</w:t>
      </w:r>
      <w:r w:rsidR="00EB539F" w:rsidRPr="009851E0">
        <w:rPr>
          <w:lang w:val="ru-RU"/>
        </w:rPr>
        <w:tab/>
        <w:t>В 201</w:t>
      </w:r>
      <w:r w:rsidRPr="009851E0">
        <w:rPr>
          <w:lang w:val="ru-RU"/>
        </w:rPr>
        <w:t>7</w:t>
      </w:r>
      <w:r w:rsidR="00EB539F" w:rsidRPr="009851E0">
        <w:rPr>
          <w:lang w:val="ru-RU"/>
        </w:rPr>
        <w:t xml:space="preserve"> году общий размер пассивов составил </w:t>
      </w:r>
      <w:r w:rsidRPr="009851E0">
        <w:rPr>
          <w:lang w:val="ru-RU"/>
        </w:rPr>
        <w:t>855</w:t>
      </w:r>
      <w:r w:rsidR="00EB539F" w:rsidRPr="009851E0">
        <w:rPr>
          <w:lang w:val="ru-RU"/>
        </w:rPr>
        <w:t>,</w:t>
      </w:r>
      <w:r w:rsidRPr="009851E0">
        <w:rPr>
          <w:lang w:val="ru-RU"/>
        </w:rPr>
        <w:t>3</w:t>
      </w:r>
      <w:r w:rsidR="00EB539F" w:rsidRPr="009851E0">
        <w:rPr>
          <w:lang w:val="ru-RU"/>
        </w:rPr>
        <w:t xml:space="preserve"> млн. швейцарских франков, </w:t>
      </w:r>
      <w:r w:rsidR="00104CAD" w:rsidRPr="009851E0">
        <w:rPr>
          <w:lang w:val="ru-RU"/>
        </w:rPr>
        <w:t>увеличившись</w:t>
      </w:r>
      <w:r w:rsidR="00EB539F" w:rsidRPr="009851E0">
        <w:rPr>
          <w:lang w:val="ru-RU"/>
        </w:rPr>
        <w:t xml:space="preserve"> на </w:t>
      </w:r>
      <w:r w:rsidRPr="009851E0">
        <w:rPr>
          <w:lang w:val="ru-RU"/>
        </w:rPr>
        <w:t>63</w:t>
      </w:r>
      <w:r w:rsidR="00EB539F" w:rsidRPr="009851E0">
        <w:rPr>
          <w:lang w:val="ru-RU"/>
        </w:rPr>
        <w:t>,</w:t>
      </w:r>
      <w:r w:rsidRPr="009851E0">
        <w:rPr>
          <w:lang w:val="ru-RU"/>
        </w:rPr>
        <w:t>2</w:t>
      </w:r>
      <w:r w:rsidR="00104CAD" w:rsidRPr="009851E0">
        <w:rPr>
          <w:lang w:val="ru-RU"/>
        </w:rPr>
        <w:t> млн. швейцарских франков (+</w:t>
      </w:r>
      <w:r w:rsidRPr="009851E0">
        <w:rPr>
          <w:lang w:val="ru-RU"/>
        </w:rPr>
        <w:t>8</w:t>
      </w:r>
      <w:r w:rsidR="00EB539F" w:rsidRPr="009851E0">
        <w:rPr>
          <w:lang w:val="ru-RU"/>
        </w:rPr>
        <w:t>,</w:t>
      </w:r>
      <w:r w:rsidR="00104CAD" w:rsidRPr="009851E0">
        <w:rPr>
          <w:lang w:val="ru-RU"/>
        </w:rPr>
        <w:t>0</w:t>
      </w:r>
      <w:r w:rsidR="00EB539F" w:rsidRPr="009851E0">
        <w:rPr>
          <w:lang w:val="ru-RU"/>
        </w:rPr>
        <w:t>%) по сравнению с величиной, учтенной в 201</w:t>
      </w:r>
      <w:r w:rsidRPr="009851E0">
        <w:rPr>
          <w:lang w:val="ru-RU"/>
        </w:rPr>
        <w:t>6</w:t>
      </w:r>
      <w:r w:rsidR="00EB539F" w:rsidRPr="009851E0">
        <w:rPr>
          <w:lang w:val="ru-RU"/>
        </w:rPr>
        <w:t> год</w:t>
      </w:r>
      <w:r w:rsidR="00104CAD" w:rsidRPr="009851E0">
        <w:rPr>
          <w:lang w:val="ru-RU"/>
        </w:rPr>
        <w:t>у (</w:t>
      </w:r>
      <w:r w:rsidRPr="009851E0">
        <w:rPr>
          <w:lang w:val="ru-RU"/>
        </w:rPr>
        <w:t>792</w:t>
      </w:r>
      <w:r w:rsidR="00EB539F" w:rsidRPr="009851E0">
        <w:rPr>
          <w:lang w:val="ru-RU"/>
        </w:rPr>
        <w:t>,</w:t>
      </w:r>
      <w:r w:rsidRPr="009851E0">
        <w:rPr>
          <w:lang w:val="ru-RU"/>
        </w:rPr>
        <w:t>1</w:t>
      </w:r>
      <w:r w:rsidR="00EB539F" w:rsidRPr="009851E0">
        <w:rPr>
          <w:lang w:val="ru-RU"/>
        </w:rPr>
        <w:t> млн. швейцарских франков). Пассивы включают:</w:t>
      </w:r>
    </w:p>
    <w:p w:rsidR="00EB539F" w:rsidRPr="009851E0" w:rsidRDefault="00EB539F" w:rsidP="00E948D8">
      <w:pPr>
        <w:pStyle w:val="enumlev1"/>
        <w:rPr>
          <w:lang w:val="ru-RU"/>
        </w:rPr>
      </w:pPr>
      <w:r w:rsidRPr="009851E0">
        <w:rPr>
          <w:lang w:val="ru-RU"/>
        </w:rPr>
        <w:t>a)</w:t>
      </w:r>
      <w:r w:rsidRPr="009851E0">
        <w:rPr>
          <w:lang w:val="ru-RU"/>
        </w:rPr>
        <w:tab/>
      </w:r>
      <w:r w:rsidRPr="009851E0">
        <w:rPr>
          <w:i/>
          <w:iCs/>
          <w:lang w:val="ru-RU"/>
        </w:rPr>
        <w:t>текущие пассивы</w:t>
      </w:r>
      <w:r w:rsidRPr="009851E0">
        <w:rPr>
          <w:lang w:val="ru-RU"/>
        </w:rPr>
        <w:t xml:space="preserve"> в размере 14</w:t>
      </w:r>
      <w:r w:rsidR="00E948D8" w:rsidRPr="009851E0">
        <w:rPr>
          <w:lang w:val="ru-RU"/>
        </w:rPr>
        <w:t>9</w:t>
      </w:r>
      <w:r w:rsidRPr="009851E0">
        <w:rPr>
          <w:lang w:val="ru-RU"/>
        </w:rPr>
        <w:t>,</w:t>
      </w:r>
      <w:r w:rsidR="00E948D8" w:rsidRPr="009851E0">
        <w:rPr>
          <w:lang w:val="ru-RU"/>
        </w:rPr>
        <w:t>1</w:t>
      </w:r>
      <w:r w:rsidRPr="009851E0">
        <w:rPr>
          <w:lang w:val="ru-RU"/>
        </w:rPr>
        <w:t xml:space="preserve"> млн. швейцарских франков, что составляет </w:t>
      </w:r>
      <w:r w:rsidR="007C0EC0" w:rsidRPr="009851E0">
        <w:rPr>
          <w:lang w:val="ru-RU"/>
        </w:rPr>
        <w:t>1</w:t>
      </w:r>
      <w:r w:rsidR="00E948D8" w:rsidRPr="009851E0">
        <w:rPr>
          <w:lang w:val="ru-RU"/>
        </w:rPr>
        <w:t>7</w:t>
      </w:r>
      <w:r w:rsidRPr="009851E0">
        <w:rPr>
          <w:lang w:val="ru-RU"/>
        </w:rPr>
        <w:t>,</w:t>
      </w:r>
      <w:r w:rsidR="00E948D8" w:rsidRPr="009851E0">
        <w:rPr>
          <w:lang w:val="ru-RU"/>
        </w:rPr>
        <w:t>4</w:t>
      </w:r>
      <w:r w:rsidRPr="009851E0">
        <w:rPr>
          <w:lang w:val="ru-RU"/>
        </w:rPr>
        <w:t>% от общего размера пассивов (в 201</w:t>
      </w:r>
      <w:r w:rsidR="00E948D8" w:rsidRPr="009851E0">
        <w:rPr>
          <w:lang w:val="ru-RU"/>
        </w:rPr>
        <w:t>6</w:t>
      </w:r>
      <w:r w:rsidRPr="009851E0">
        <w:rPr>
          <w:lang w:val="ru-RU"/>
        </w:rPr>
        <w:t xml:space="preserve"> г</w:t>
      </w:r>
      <w:r w:rsidR="00E948D8" w:rsidRPr="009851E0">
        <w:rPr>
          <w:lang w:val="ru-RU"/>
        </w:rPr>
        <w:t>.</w:t>
      </w:r>
      <w:r w:rsidRPr="009851E0">
        <w:rPr>
          <w:lang w:val="ru-RU"/>
        </w:rPr>
        <w:t xml:space="preserve"> они составляли </w:t>
      </w:r>
      <w:r w:rsidR="00E948D8" w:rsidRPr="009851E0">
        <w:rPr>
          <w:lang w:val="ru-RU"/>
        </w:rPr>
        <w:t>18</w:t>
      </w:r>
      <w:r w:rsidR="00826221" w:rsidRPr="009851E0">
        <w:rPr>
          <w:lang w:val="ru-RU"/>
        </w:rPr>
        <w:t>,</w:t>
      </w:r>
      <w:r w:rsidR="00E948D8" w:rsidRPr="009851E0">
        <w:rPr>
          <w:lang w:val="ru-RU"/>
        </w:rPr>
        <w:t>6</w:t>
      </w:r>
      <w:r w:rsidR="00826221" w:rsidRPr="009851E0">
        <w:rPr>
          <w:lang w:val="ru-RU"/>
        </w:rPr>
        <w:t>% на общую сумму 14</w:t>
      </w:r>
      <w:r w:rsidR="00E948D8" w:rsidRPr="009851E0">
        <w:rPr>
          <w:lang w:val="ru-RU"/>
        </w:rPr>
        <w:t>7</w:t>
      </w:r>
      <w:r w:rsidR="00826221" w:rsidRPr="009851E0">
        <w:rPr>
          <w:lang w:val="ru-RU"/>
        </w:rPr>
        <w:t>,</w:t>
      </w:r>
      <w:r w:rsidR="00E948D8" w:rsidRPr="009851E0">
        <w:rPr>
          <w:lang w:val="ru-RU"/>
        </w:rPr>
        <w:t>3</w:t>
      </w:r>
      <w:r w:rsidR="00826221" w:rsidRPr="009851E0">
        <w:rPr>
          <w:lang w:val="ru-RU"/>
        </w:rPr>
        <w:t> млн. </w:t>
      </w:r>
      <w:r w:rsidRPr="009851E0">
        <w:rPr>
          <w:lang w:val="ru-RU"/>
        </w:rPr>
        <w:t>швейцарских франков)</w:t>
      </w:r>
      <w:r w:rsidR="00826221" w:rsidRPr="009851E0">
        <w:rPr>
          <w:lang w:val="ru-RU"/>
        </w:rPr>
        <w:t>; и</w:t>
      </w:r>
    </w:p>
    <w:p w:rsidR="00EB539F" w:rsidRPr="009851E0" w:rsidRDefault="00EB539F" w:rsidP="009C77A0">
      <w:pPr>
        <w:pStyle w:val="enumlev1"/>
        <w:rPr>
          <w:lang w:val="ru-RU"/>
        </w:rPr>
      </w:pPr>
      <w:r w:rsidRPr="009851E0">
        <w:rPr>
          <w:lang w:val="ru-RU"/>
        </w:rPr>
        <w:t>b)</w:t>
      </w:r>
      <w:r w:rsidRPr="009851E0">
        <w:rPr>
          <w:lang w:val="ru-RU"/>
        </w:rPr>
        <w:tab/>
      </w:r>
      <w:r w:rsidRPr="009851E0">
        <w:rPr>
          <w:i/>
          <w:iCs/>
          <w:lang w:val="ru-RU"/>
        </w:rPr>
        <w:t>нетекущие пассивы</w:t>
      </w:r>
      <w:r w:rsidRPr="009851E0">
        <w:rPr>
          <w:lang w:val="ru-RU"/>
        </w:rPr>
        <w:t xml:space="preserve"> в размере </w:t>
      </w:r>
      <w:r w:rsidR="009C77A0" w:rsidRPr="009851E0">
        <w:rPr>
          <w:lang w:val="ru-RU"/>
        </w:rPr>
        <w:t>706</w:t>
      </w:r>
      <w:r w:rsidR="005B2D9F" w:rsidRPr="009851E0">
        <w:rPr>
          <w:lang w:val="ru-RU"/>
        </w:rPr>
        <w:t>,</w:t>
      </w:r>
      <w:r w:rsidR="009C77A0" w:rsidRPr="009851E0">
        <w:rPr>
          <w:lang w:val="ru-RU"/>
        </w:rPr>
        <w:t>2</w:t>
      </w:r>
      <w:r w:rsidRPr="009851E0">
        <w:rPr>
          <w:lang w:val="ru-RU"/>
        </w:rPr>
        <w:t xml:space="preserve"> млн. швейцарских франков, составляющие </w:t>
      </w:r>
      <w:r w:rsidR="005B2D9F" w:rsidRPr="009851E0">
        <w:rPr>
          <w:lang w:val="ru-RU"/>
        </w:rPr>
        <w:t>8</w:t>
      </w:r>
      <w:r w:rsidR="009C77A0" w:rsidRPr="009851E0">
        <w:rPr>
          <w:lang w:val="ru-RU"/>
        </w:rPr>
        <w:t>2</w:t>
      </w:r>
      <w:r w:rsidRPr="009851E0">
        <w:rPr>
          <w:lang w:val="ru-RU"/>
        </w:rPr>
        <w:t>,</w:t>
      </w:r>
      <w:r w:rsidR="009C77A0" w:rsidRPr="009851E0">
        <w:rPr>
          <w:lang w:val="ru-RU"/>
        </w:rPr>
        <w:t>6</w:t>
      </w:r>
      <w:r w:rsidRPr="009851E0">
        <w:rPr>
          <w:lang w:val="ru-RU"/>
        </w:rPr>
        <w:t>% от</w:t>
      </w:r>
      <w:r w:rsidR="009C77A0" w:rsidRPr="009851E0">
        <w:rPr>
          <w:lang w:val="ru-RU"/>
        </w:rPr>
        <w:t xml:space="preserve"> общего размера пассивов (в 2016</w:t>
      </w:r>
      <w:r w:rsidRPr="009851E0">
        <w:rPr>
          <w:lang w:val="ru-RU"/>
        </w:rPr>
        <w:t xml:space="preserve"> г</w:t>
      </w:r>
      <w:r w:rsidR="009C77A0" w:rsidRPr="009851E0">
        <w:rPr>
          <w:lang w:val="ru-RU"/>
        </w:rPr>
        <w:t>.</w:t>
      </w:r>
      <w:r w:rsidRPr="009851E0">
        <w:rPr>
          <w:lang w:val="ru-RU"/>
        </w:rPr>
        <w:t xml:space="preserve"> они составляли </w:t>
      </w:r>
      <w:r w:rsidR="009C77A0" w:rsidRPr="009851E0">
        <w:rPr>
          <w:lang w:val="ru-RU"/>
        </w:rPr>
        <w:t>81</w:t>
      </w:r>
      <w:r w:rsidR="00826221" w:rsidRPr="009851E0">
        <w:rPr>
          <w:lang w:val="ru-RU"/>
        </w:rPr>
        <w:t>,</w:t>
      </w:r>
      <w:r w:rsidR="009C77A0" w:rsidRPr="009851E0">
        <w:rPr>
          <w:lang w:val="ru-RU"/>
        </w:rPr>
        <w:t>4</w:t>
      </w:r>
      <w:r w:rsidR="00826221" w:rsidRPr="009851E0">
        <w:rPr>
          <w:lang w:val="ru-RU"/>
        </w:rPr>
        <w:t xml:space="preserve">% на общую сумму </w:t>
      </w:r>
      <w:r w:rsidR="009C77A0" w:rsidRPr="009851E0">
        <w:rPr>
          <w:lang w:val="ru-RU"/>
        </w:rPr>
        <w:t>644</w:t>
      </w:r>
      <w:r w:rsidR="00826221" w:rsidRPr="009851E0">
        <w:rPr>
          <w:lang w:val="ru-RU"/>
        </w:rPr>
        <w:t>,</w:t>
      </w:r>
      <w:r w:rsidR="009C77A0" w:rsidRPr="009851E0">
        <w:rPr>
          <w:lang w:val="ru-RU"/>
        </w:rPr>
        <w:t>8</w:t>
      </w:r>
      <w:r w:rsidR="00826221" w:rsidRPr="009851E0">
        <w:rPr>
          <w:lang w:val="ru-RU"/>
        </w:rPr>
        <w:t> млн. </w:t>
      </w:r>
      <w:r w:rsidRPr="009851E0">
        <w:rPr>
          <w:lang w:val="ru-RU"/>
        </w:rPr>
        <w:t>швейцарских франков).</w:t>
      </w:r>
    </w:p>
    <w:p w:rsidR="00EB539F" w:rsidRPr="009851E0" w:rsidRDefault="00EB539F" w:rsidP="00170A17">
      <w:pPr>
        <w:pStyle w:val="Heading1"/>
        <w:rPr>
          <w:lang w:val="ru-RU"/>
        </w:rPr>
      </w:pPr>
      <w:bookmarkStart w:id="158" w:name="_Toc358192837"/>
      <w:bookmarkStart w:id="159" w:name="_Toc398125321"/>
      <w:bookmarkStart w:id="160" w:name="_Toc398125800"/>
      <w:bookmarkStart w:id="161" w:name="_Toc398127093"/>
      <w:bookmarkStart w:id="162" w:name="_Toc452157313"/>
      <w:bookmarkStart w:id="163" w:name="_Toc482995179"/>
      <w:bookmarkStart w:id="164" w:name="_Toc522633570"/>
      <w:r w:rsidRPr="009851E0">
        <w:rPr>
          <w:lang w:val="ru-RU"/>
        </w:rPr>
        <w:t>Текущие пассивы</w:t>
      </w:r>
      <w:bookmarkEnd w:id="158"/>
      <w:bookmarkEnd w:id="159"/>
      <w:bookmarkEnd w:id="160"/>
      <w:bookmarkEnd w:id="161"/>
      <w:bookmarkEnd w:id="162"/>
      <w:bookmarkEnd w:id="163"/>
      <w:bookmarkEnd w:id="164"/>
    </w:p>
    <w:p w:rsidR="00EB539F" w:rsidRPr="009851E0" w:rsidRDefault="009C77A0" w:rsidP="002340B9">
      <w:pPr>
        <w:rPr>
          <w:lang w:val="ru-RU"/>
        </w:rPr>
      </w:pPr>
      <w:r w:rsidRPr="009851E0">
        <w:rPr>
          <w:lang w:val="ru-RU"/>
        </w:rPr>
        <w:t>33</w:t>
      </w:r>
      <w:r w:rsidR="00EB539F" w:rsidRPr="009851E0">
        <w:rPr>
          <w:lang w:val="ru-RU"/>
        </w:rPr>
        <w:tab/>
        <w:t>Общий размер текущих пассивов в 201</w:t>
      </w:r>
      <w:r w:rsidRPr="009851E0">
        <w:rPr>
          <w:lang w:val="ru-RU"/>
        </w:rPr>
        <w:t>7</w:t>
      </w:r>
      <w:r w:rsidR="00EB539F" w:rsidRPr="009851E0">
        <w:rPr>
          <w:lang w:val="ru-RU"/>
        </w:rPr>
        <w:t xml:space="preserve"> году</w:t>
      </w:r>
      <w:r w:rsidR="00027553" w:rsidRPr="009851E0">
        <w:rPr>
          <w:lang w:val="ru-RU"/>
        </w:rPr>
        <w:t xml:space="preserve">, </w:t>
      </w:r>
      <w:r w:rsidR="00EE7E1A" w:rsidRPr="009851E0">
        <w:rPr>
          <w:lang w:val="ru-RU"/>
        </w:rPr>
        <w:t>как показано выше</w:t>
      </w:r>
      <w:r w:rsidR="00027553" w:rsidRPr="009851E0">
        <w:rPr>
          <w:lang w:val="ru-RU"/>
        </w:rPr>
        <w:t>,</w:t>
      </w:r>
      <w:r w:rsidR="00EB539F" w:rsidRPr="009851E0">
        <w:rPr>
          <w:lang w:val="ru-RU"/>
        </w:rPr>
        <w:t xml:space="preserve"> составил 14</w:t>
      </w:r>
      <w:r w:rsidRPr="009851E0">
        <w:rPr>
          <w:lang w:val="ru-RU"/>
        </w:rPr>
        <w:t>9</w:t>
      </w:r>
      <w:r w:rsidR="00EB539F" w:rsidRPr="009851E0">
        <w:rPr>
          <w:lang w:val="ru-RU"/>
        </w:rPr>
        <w:t>,</w:t>
      </w:r>
      <w:r w:rsidRPr="009851E0">
        <w:rPr>
          <w:lang w:val="ru-RU"/>
        </w:rPr>
        <w:t>1</w:t>
      </w:r>
      <w:r w:rsidR="00EB539F" w:rsidRPr="009851E0">
        <w:rPr>
          <w:lang w:val="ru-RU"/>
        </w:rPr>
        <w:t xml:space="preserve"> млн. швейцарских франков, </w:t>
      </w:r>
      <w:r w:rsidR="007F6248" w:rsidRPr="009851E0">
        <w:rPr>
          <w:lang w:val="ru-RU"/>
        </w:rPr>
        <w:t>увеличившись</w:t>
      </w:r>
      <w:r w:rsidR="00EB539F" w:rsidRPr="009851E0">
        <w:rPr>
          <w:lang w:val="ru-RU"/>
        </w:rPr>
        <w:t xml:space="preserve"> на </w:t>
      </w:r>
      <w:r w:rsidRPr="009851E0">
        <w:rPr>
          <w:lang w:val="ru-RU"/>
        </w:rPr>
        <w:t>1</w:t>
      </w:r>
      <w:r w:rsidR="00EB539F" w:rsidRPr="009851E0">
        <w:rPr>
          <w:lang w:val="ru-RU"/>
        </w:rPr>
        <w:t>,</w:t>
      </w:r>
      <w:r w:rsidRPr="009851E0">
        <w:rPr>
          <w:lang w:val="ru-RU"/>
        </w:rPr>
        <w:t>8</w:t>
      </w:r>
      <w:r w:rsidR="00EB539F" w:rsidRPr="009851E0">
        <w:rPr>
          <w:lang w:val="ru-RU"/>
        </w:rPr>
        <w:t xml:space="preserve"> млн. швейцарских франков по сравнению с 201</w:t>
      </w:r>
      <w:r w:rsidRPr="009851E0">
        <w:rPr>
          <w:lang w:val="ru-RU"/>
        </w:rPr>
        <w:t>6</w:t>
      </w:r>
      <w:r w:rsidR="00EB539F" w:rsidRPr="009851E0">
        <w:rPr>
          <w:lang w:val="ru-RU"/>
        </w:rPr>
        <w:t xml:space="preserve"> годом (14</w:t>
      </w:r>
      <w:r w:rsidRPr="009851E0">
        <w:rPr>
          <w:lang w:val="ru-RU"/>
        </w:rPr>
        <w:t>7</w:t>
      </w:r>
      <w:r w:rsidR="00EB539F" w:rsidRPr="009851E0">
        <w:rPr>
          <w:lang w:val="ru-RU"/>
        </w:rPr>
        <w:t>,</w:t>
      </w:r>
      <w:r w:rsidRPr="009851E0">
        <w:rPr>
          <w:lang w:val="ru-RU"/>
        </w:rPr>
        <w:t>3</w:t>
      </w:r>
      <w:r w:rsidR="00EB539F" w:rsidRPr="009851E0">
        <w:rPr>
          <w:lang w:val="ru-RU"/>
        </w:rPr>
        <w:t xml:space="preserve"> млн. швейцарских франков). Это в целом </w:t>
      </w:r>
      <w:r w:rsidR="00BB46A8" w:rsidRPr="009851E0">
        <w:rPr>
          <w:lang w:val="ru-RU"/>
        </w:rPr>
        <w:t>объясняется увеличением объема средств по разделам</w:t>
      </w:r>
      <w:r w:rsidR="00EB539F" w:rsidRPr="009851E0">
        <w:rPr>
          <w:lang w:val="ru-RU"/>
        </w:rPr>
        <w:t xml:space="preserve"> "Доходы будущих периодов" (</w:t>
      </w:r>
      <w:r w:rsidR="007F6248" w:rsidRPr="009851E0">
        <w:rPr>
          <w:lang w:val="ru-RU"/>
        </w:rPr>
        <w:t>+</w:t>
      </w:r>
      <w:r w:rsidRPr="009851E0">
        <w:rPr>
          <w:lang w:val="ru-RU"/>
        </w:rPr>
        <w:t>5</w:t>
      </w:r>
      <w:r w:rsidR="00EB539F" w:rsidRPr="009851E0">
        <w:rPr>
          <w:lang w:val="ru-RU"/>
        </w:rPr>
        <w:t>,</w:t>
      </w:r>
      <w:r w:rsidRPr="009851E0">
        <w:rPr>
          <w:lang w:val="ru-RU"/>
        </w:rPr>
        <w:t>3</w:t>
      </w:r>
      <w:r w:rsidR="00EB539F" w:rsidRPr="009851E0">
        <w:rPr>
          <w:lang w:val="ru-RU"/>
        </w:rPr>
        <w:t xml:space="preserve"> млн. швейцарских франков)</w:t>
      </w:r>
      <w:r w:rsidR="00BB46A8" w:rsidRPr="009851E0">
        <w:rPr>
          <w:lang w:val="ru-RU"/>
        </w:rPr>
        <w:t>,</w:t>
      </w:r>
      <w:r w:rsidR="00EB539F" w:rsidRPr="009851E0">
        <w:rPr>
          <w:lang w:val="ru-RU"/>
        </w:rPr>
        <w:t xml:space="preserve"> "Поставщики и прочие кредиторы" (</w:t>
      </w:r>
      <w:r w:rsidRPr="009851E0">
        <w:rPr>
          <w:lang w:val="ru-RU"/>
        </w:rPr>
        <w:t>+0</w:t>
      </w:r>
      <w:r w:rsidR="00EB539F" w:rsidRPr="009851E0">
        <w:rPr>
          <w:lang w:val="ru-RU"/>
        </w:rPr>
        <w:t>,</w:t>
      </w:r>
      <w:r w:rsidRPr="009851E0">
        <w:rPr>
          <w:lang w:val="ru-RU"/>
        </w:rPr>
        <w:t>5</w:t>
      </w:r>
      <w:r w:rsidR="00EB539F" w:rsidRPr="009851E0">
        <w:rPr>
          <w:lang w:val="ru-RU"/>
        </w:rPr>
        <w:t xml:space="preserve"> млн. швейцарских франков) </w:t>
      </w:r>
      <w:r w:rsidR="00027553" w:rsidRPr="009851E0">
        <w:rPr>
          <w:lang w:val="ru-RU"/>
        </w:rPr>
        <w:t xml:space="preserve">и </w:t>
      </w:r>
      <w:r w:rsidRPr="009851E0">
        <w:rPr>
          <w:lang w:val="ru-RU"/>
        </w:rPr>
        <w:t>"</w:t>
      </w:r>
      <w:r w:rsidR="002340B9" w:rsidRPr="009851E0">
        <w:rPr>
          <w:lang w:val="ru-RU"/>
        </w:rPr>
        <w:t>Резервные фонды</w:t>
      </w:r>
      <w:r w:rsidRPr="009851E0">
        <w:rPr>
          <w:lang w:val="ru-RU"/>
        </w:rPr>
        <w:t xml:space="preserve">" (+0,2 млн. швейцарских франков), </w:t>
      </w:r>
      <w:r w:rsidR="002340B9" w:rsidRPr="009851E0">
        <w:rPr>
          <w:lang w:val="ru-RU"/>
        </w:rPr>
        <w:t>тогда как имело место снижение по статье</w:t>
      </w:r>
      <w:r w:rsidRPr="009851E0">
        <w:rPr>
          <w:lang w:val="ru-RU"/>
        </w:rPr>
        <w:t xml:space="preserve"> "Вознаграждение сотрудников" (−0</w:t>
      </w:r>
      <w:r w:rsidR="00BB46A8" w:rsidRPr="009851E0">
        <w:rPr>
          <w:lang w:val="ru-RU"/>
        </w:rPr>
        <w:t>,</w:t>
      </w:r>
      <w:r w:rsidRPr="009851E0">
        <w:rPr>
          <w:lang w:val="ru-RU"/>
        </w:rPr>
        <w:t>9</w:t>
      </w:r>
      <w:r w:rsidR="00EB539F" w:rsidRPr="009851E0">
        <w:rPr>
          <w:lang w:val="ru-RU"/>
        </w:rPr>
        <w:t xml:space="preserve"> млн. швейцарских франков)</w:t>
      </w:r>
      <w:r w:rsidRPr="009851E0">
        <w:rPr>
          <w:lang w:val="ru-RU"/>
        </w:rPr>
        <w:t xml:space="preserve"> </w:t>
      </w:r>
      <w:r w:rsidR="00027553" w:rsidRPr="009851E0">
        <w:rPr>
          <w:lang w:val="ru-RU"/>
        </w:rPr>
        <w:t>и</w:t>
      </w:r>
      <w:r w:rsidRPr="009851E0">
        <w:rPr>
          <w:lang w:val="ru-RU"/>
        </w:rPr>
        <w:t>,</w:t>
      </w:r>
      <w:r w:rsidR="002340B9" w:rsidRPr="009851E0">
        <w:rPr>
          <w:lang w:val="ru-RU"/>
        </w:rPr>
        <w:t xml:space="preserve"> в особенности, по статье</w:t>
      </w:r>
      <w:r w:rsidRPr="009851E0">
        <w:rPr>
          <w:lang w:val="ru-RU"/>
        </w:rPr>
        <w:t xml:space="preserve"> "</w:t>
      </w:r>
      <w:r w:rsidR="002340B9" w:rsidRPr="009851E0">
        <w:rPr>
          <w:lang w:val="ru-RU"/>
        </w:rPr>
        <w:t>Прочая задолженность</w:t>
      </w:r>
      <w:r w:rsidRPr="009851E0">
        <w:rPr>
          <w:lang w:val="ru-RU"/>
        </w:rPr>
        <w:t>" (−3,3 млн. швейцарских франков)</w:t>
      </w:r>
      <w:r w:rsidR="00EB539F" w:rsidRPr="009851E0">
        <w:rPr>
          <w:lang w:val="ru-RU"/>
        </w:rPr>
        <w:t xml:space="preserve">. Основа оценки текущих пассивов изложена в Принципах бухгалтерского учета (Примечание </w:t>
      </w:r>
      <w:r w:rsidR="00BB46A8" w:rsidRPr="009851E0">
        <w:rPr>
          <w:lang w:val="ru-RU"/>
        </w:rPr>
        <w:t>2</w:t>
      </w:r>
      <w:r w:rsidR="00EB539F" w:rsidRPr="009851E0">
        <w:rPr>
          <w:lang w:val="ru-RU"/>
        </w:rPr>
        <w:t xml:space="preserve">). </w:t>
      </w:r>
    </w:p>
    <w:p w:rsidR="00EB539F" w:rsidRPr="009851E0" w:rsidRDefault="00EB539F" w:rsidP="00170A17">
      <w:pPr>
        <w:pStyle w:val="Heading1"/>
        <w:rPr>
          <w:spacing w:val="6"/>
          <w:lang w:val="ru-RU"/>
        </w:rPr>
      </w:pPr>
      <w:bookmarkStart w:id="165" w:name="_Toc358192838"/>
      <w:bookmarkStart w:id="166" w:name="_Toc398125322"/>
      <w:bookmarkStart w:id="167" w:name="_Toc398125801"/>
      <w:bookmarkStart w:id="168" w:name="_Toc398127094"/>
      <w:bookmarkStart w:id="169" w:name="_Toc452157314"/>
      <w:bookmarkStart w:id="170" w:name="_Toc482995180"/>
      <w:bookmarkStart w:id="171" w:name="_Toc522633571"/>
      <w:r w:rsidRPr="009851E0">
        <w:rPr>
          <w:lang w:val="ru-RU"/>
        </w:rPr>
        <w:t>Поставщики и прочие кредиторы</w:t>
      </w:r>
      <w:bookmarkEnd w:id="165"/>
      <w:bookmarkEnd w:id="166"/>
      <w:bookmarkEnd w:id="167"/>
      <w:bookmarkEnd w:id="168"/>
      <w:bookmarkEnd w:id="169"/>
      <w:bookmarkEnd w:id="170"/>
      <w:bookmarkEnd w:id="171"/>
      <w:r w:rsidRPr="009851E0">
        <w:rPr>
          <w:spacing w:val="6"/>
          <w:lang w:val="ru-RU"/>
        </w:rPr>
        <w:t xml:space="preserve"> </w:t>
      </w:r>
    </w:p>
    <w:p w:rsidR="00EB539F" w:rsidRPr="009851E0" w:rsidRDefault="00027553" w:rsidP="002340B9">
      <w:pPr>
        <w:rPr>
          <w:lang w:val="ru-RU"/>
        </w:rPr>
      </w:pPr>
      <w:r w:rsidRPr="009851E0">
        <w:rPr>
          <w:lang w:val="ru-RU"/>
        </w:rPr>
        <w:t>34</w:t>
      </w:r>
      <w:r w:rsidR="00EB539F" w:rsidRPr="009851E0">
        <w:rPr>
          <w:lang w:val="ru-RU"/>
        </w:rPr>
        <w:tab/>
        <w:t xml:space="preserve">В разделе "Поставщики и прочие кредиторы" заключительного баланса приводится сумма в размере </w:t>
      </w:r>
      <w:r w:rsidR="00351D7D" w:rsidRPr="009851E0">
        <w:rPr>
          <w:lang w:val="ru-RU"/>
        </w:rPr>
        <w:t>9,</w:t>
      </w:r>
      <w:r w:rsidRPr="009851E0">
        <w:rPr>
          <w:lang w:val="ru-RU"/>
        </w:rPr>
        <w:t>65</w:t>
      </w:r>
      <w:r w:rsidR="00351D7D" w:rsidRPr="009851E0">
        <w:rPr>
          <w:lang w:val="ru-RU"/>
        </w:rPr>
        <w:t xml:space="preserve"> млн. швейцарских франков (в 201</w:t>
      </w:r>
      <w:r w:rsidRPr="009851E0">
        <w:rPr>
          <w:lang w:val="ru-RU"/>
        </w:rPr>
        <w:t>6</w:t>
      </w:r>
      <w:r w:rsidR="00351D7D" w:rsidRPr="009851E0">
        <w:rPr>
          <w:lang w:val="ru-RU"/>
        </w:rPr>
        <w:t xml:space="preserve"> г. − </w:t>
      </w:r>
      <w:r w:rsidRPr="009851E0">
        <w:rPr>
          <w:lang w:val="ru-RU"/>
        </w:rPr>
        <w:t>9</w:t>
      </w:r>
      <w:r w:rsidR="00EB539F" w:rsidRPr="009851E0">
        <w:rPr>
          <w:lang w:val="ru-RU"/>
        </w:rPr>
        <w:t>,</w:t>
      </w:r>
      <w:r w:rsidRPr="009851E0">
        <w:rPr>
          <w:lang w:val="ru-RU"/>
        </w:rPr>
        <w:t>15</w:t>
      </w:r>
      <w:r w:rsidR="00EB539F" w:rsidRPr="009851E0">
        <w:rPr>
          <w:lang w:val="ru-RU"/>
        </w:rPr>
        <w:t xml:space="preserve"> млн. швейцарских франков). Подробная разбивка показана в Примечании 1</w:t>
      </w:r>
      <w:r w:rsidRPr="009851E0">
        <w:rPr>
          <w:lang w:val="ru-RU"/>
        </w:rPr>
        <w:t>4</w:t>
      </w:r>
      <w:r w:rsidR="00EB539F" w:rsidRPr="009851E0">
        <w:rPr>
          <w:lang w:val="ru-RU"/>
        </w:rPr>
        <w:t xml:space="preserve"> к Отчету о финансовой деятельности</w:t>
      </w:r>
      <w:r w:rsidRPr="009851E0">
        <w:rPr>
          <w:lang w:val="ru-RU"/>
        </w:rPr>
        <w:t xml:space="preserve">, </w:t>
      </w:r>
      <w:r w:rsidR="002340B9" w:rsidRPr="009851E0">
        <w:rPr>
          <w:lang w:val="ru-RU"/>
        </w:rPr>
        <w:t xml:space="preserve">где перечислены три подраздела: </w:t>
      </w:r>
      <w:r w:rsidRPr="009851E0">
        <w:rPr>
          <w:lang w:val="ru-RU"/>
        </w:rPr>
        <w:t>"</w:t>
      </w:r>
      <w:r w:rsidR="002340B9" w:rsidRPr="009851E0">
        <w:rPr>
          <w:lang w:val="ru-RU"/>
        </w:rPr>
        <w:t>Поставщики</w:t>
      </w:r>
      <w:r w:rsidRPr="009851E0">
        <w:rPr>
          <w:lang w:val="ru-RU"/>
        </w:rPr>
        <w:t>", "</w:t>
      </w:r>
      <w:r w:rsidR="002340B9" w:rsidRPr="009851E0">
        <w:rPr>
          <w:lang w:val="ru-RU"/>
        </w:rPr>
        <w:t>Полученные депозиты</w:t>
      </w:r>
      <w:r w:rsidRPr="009851E0">
        <w:rPr>
          <w:lang w:val="ru-RU"/>
        </w:rPr>
        <w:t>" и "</w:t>
      </w:r>
      <w:r w:rsidR="002340B9" w:rsidRPr="009851E0">
        <w:rPr>
          <w:lang w:val="ru-RU"/>
        </w:rPr>
        <w:t>Полученные авансы</w:t>
      </w:r>
      <w:r w:rsidRPr="009851E0">
        <w:rPr>
          <w:lang w:val="ru-RU"/>
        </w:rPr>
        <w:t>"</w:t>
      </w:r>
      <w:r w:rsidR="00EB539F" w:rsidRPr="009851E0">
        <w:rPr>
          <w:lang w:val="ru-RU"/>
        </w:rPr>
        <w:t>.</w:t>
      </w:r>
    </w:p>
    <w:p w:rsidR="00EB539F" w:rsidRPr="009851E0" w:rsidRDefault="00EB539F" w:rsidP="00170A17">
      <w:pPr>
        <w:pStyle w:val="Heading1"/>
        <w:rPr>
          <w:lang w:val="ru-RU"/>
        </w:rPr>
      </w:pPr>
      <w:bookmarkStart w:id="172" w:name="_Toc358192839"/>
      <w:bookmarkStart w:id="173" w:name="_Toc398125323"/>
      <w:bookmarkStart w:id="174" w:name="_Toc398125802"/>
      <w:bookmarkStart w:id="175" w:name="_Toc398127095"/>
      <w:bookmarkStart w:id="176" w:name="_Toc452157315"/>
      <w:bookmarkStart w:id="177" w:name="_Toc482995181"/>
      <w:bookmarkStart w:id="178" w:name="_Toc522633572"/>
      <w:r w:rsidRPr="009851E0">
        <w:rPr>
          <w:lang w:val="ru-RU"/>
        </w:rPr>
        <w:t>Доходы будущих периодов</w:t>
      </w:r>
      <w:bookmarkEnd w:id="172"/>
      <w:bookmarkEnd w:id="173"/>
      <w:bookmarkEnd w:id="174"/>
      <w:bookmarkEnd w:id="175"/>
      <w:bookmarkEnd w:id="176"/>
      <w:bookmarkEnd w:id="177"/>
      <w:bookmarkEnd w:id="178"/>
    </w:p>
    <w:p w:rsidR="00EB539F" w:rsidRPr="009851E0" w:rsidRDefault="00027553" w:rsidP="00574B5A">
      <w:pPr>
        <w:rPr>
          <w:lang w:val="ru-RU"/>
        </w:rPr>
      </w:pPr>
      <w:r w:rsidRPr="009851E0">
        <w:rPr>
          <w:lang w:val="ru-RU"/>
        </w:rPr>
        <w:t>35</w:t>
      </w:r>
      <w:r w:rsidR="00EB539F" w:rsidRPr="009851E0">
        <w:rPr>
          <w:lang w:val="ru-RU"/>
        </w:rPr>
        <w:tab/>
        <w:t xml:space="preserve">Подраздел "Доходы будущих периодов" составил </w:t>
      </w:r>
      <w:r w:rsidRPr="009851E0">
        <w:rPr>
          <w:lang w:val="ru-RU"/>
        </w:rPr>
        <w:t>134</w:t>
      </w:r>
      <w:r w:rsidR="00EB539F" w:rsidRPr="009851E0">
        <w:rPr>
          <w:lang w:val="ru-RU"/>
        </w:rPr>
        <w:t>,</w:t>
      </w:r>
      <w:r w:rsidRPr="009851E0">
        <w:rPr>
          <w:lang w:val="ru-RU"/>
        </w:rPr>
        <w:t>3</w:t>
      </w:r>
      <w:r w:rsidR="00EB539F" w:rsidRPr="009851E0">
        <w:rPr>
          <w:lang w:val="ru-RU"/>
        </w:rPr>
        <w:t xml:space="preserve"> млн. швейцарских франков (</w:t>
      </w:r>
      <w:r w:rsidR="00826221" w:rsidRPr="009851E0">
        <w:rPr>
          <w:lang w:val="ru-RU"/>
        </w:rPr>
        <w:t>в 201</w:t>
      </w:r>
      <w:r w:rsidRPr="009851E0">
        <w:rPr>
          <w:lang w:val="ru-RU"/>
        </w:rPr>
        <w:t>6</w:t>
      </w:r>
      <w:r w:rsidR="00826221" w:rsidRPr="009851E0">
        <w:rPr>
          <w:lang w:val="ru-RU"/>
        </w:rPr>
        <w:t> </w:t>
      </w:r>
      <w:r w:rsidR="00EB539F" w:rsidRPr="009851E0">
        <w:rPr>
          <w:lang w:val="ru-RU"/>
        </w:rPr>
        <w:t>г.</w:t>
      </w:r>
      <w:r w:rsidR="00826221" w:rsidRPr="009851E0">
        <w:rPr>
          <w:lang w:val="ru-RU"/>
        </w:rPr>
        <w:t> </w:t>
      </w:r>
      <w:r w:rsidR="00D808A4" w:rsidRPr="009851E0">
        <w:rPr>
          <w:lang w:val="ru-RU"/>
        </w:rPr>
        <w:t xml:space="preserve">− </w:t>
      </w:r>
      <w:r w:rsidRPr="009851E0">
        <w:rPr>
          <w:lang w:val="ru-RU"/>
        </w:rPr>
        <w:t>129</w:t>
      </w:r>
      <w:r w:rsidR="00EB539F" w:rsidRPr="009851E0">
        <w:rPr>
          <w:lang w:val="ru-RU"/>
        </w:rPr>
        <w:t>,</w:t>
      </w:r>
      <w:r w:rsidRPr="009851E0">
        <w:rPr>
          <w:lang w:val="ru-RU"/>
        </w:rPr>
        <w:t>0</w:t>
      </w:r>
      <w:r w:rsidR="00EB539F" w:rsidRPr="009851E0">
        <w:rPr>
          <w:lang w:val="ru-RU"/>
        </w:rPr>
        <w:t xml:space="preserve"> млн. швейцарских франков). Бóльшая часть этой суммы приходится на взносы членов МСЭ (Государств-Членов, Членов Секторов, Ассоциированных членов) и на доходы от обработки заявок на регистрацию спутниковых сетей, еще окончательно не определенные на конец 201</w:t>
      </w:r>
      <w:r w:rsidRPr="009851E0">
        <w:rPr>
          <w:lang w:val="ru-RU"/>
        </w:rPr>
        <w:t>7</w:t>
      </w:r>
      <w:r w:rsidR="00EB539F" w:rsidRPr="009851E0">
        <w:rPr>
          <w:lang w:val="ru-RU"/>
        </w:rPr>
        <w:t xml:space="preserve"> года</w:t>
      </w:r>
      <w:r w:rsidR="00574B5A" w:rsidRPr="009851E0">
        <w:rPr>
          <w:lang w:val="ru-RU"/>
        </w:rPr>
        <w:t xml:space="preserve">, с датами публикации в </w:t>
      </w:r>
      <w:r w:rsidRPr="009851E0">
        <w:rPr>
          <w:lang w:val="ru-RU"/>
        </w:rPr>
        <w:t>2018 году</w:t>
      </w:r>
      <w:r w:rsidR="00EB539F" w:rsidRPr="009851E0">
        <w:rPr>
          <w:lang w:val="ru-RU"/>
        </w:rPr>
        <w:t>. Под</w:t>
      </w:r>
      <w:r w:rsidR="00574B5A" w:rsidRPr="009851E0">
        <w:rPr>
          <w:lang w:val="ru-RU"/>
        </w:rPr>
        <w:t>р</w:t>
      </w:r>
      <w:r w:rsidR="00EB539F" w:rsidRPr="009851E0">
        <w:rPr>
          <w:lang w:val="ru-RU"/>
        </w:rPr>
        <w:t>обная разбивка доходов будущих периодов приводится в Примечании 1</w:t>
      </w:r>
      <w:r w:rsidRPr="009851E0">
        <w:rPr>
          <w:lang w:val="ru-RU"/>
        </w:rPr>
        <w:t>5</w:t>
      </w:r>
      <w:r w:rsidR="00EB539F" w:rsidRPr="009851E0">
        <w:rPr>
          <w:lang w:val="ru-RU"/>
        </w:rPr>
        <w:t xml:space="preserve"> к Отчету о финансовой деятельности.</w:t>
      </w:r>
    </w:p>
    <w:p w:rsidR="00EB539F" w:rsidRPr="009851E0" w:rsidRDefault="00EB539F" w:rsidP="00170A17">
      <w:pPr>
        <w:pStyle w:val="Heading1"/>
        <w:rPr>
          <w:lang w:val="ru-RU"/>
        </w:rPr>
      </w:pPr>
      <w:bookmarkStart w:id="179" w:name="_Toc358192840"/>
      <w:bookmarkStart w:id="180" w:name="_Toc398125324"/>
      <w:bookmarkStart w:id="181" w:name="_Toc398125803"/>
      <w:bookmarkStart w:id="182" w:name="_Toc398127096"/>
      <w:bookmarkStart w:id="183" w:name="_Toc452157316"/>
      <w:bookmarkStart w:id="184" w:name="_Toc482995182"/>
      <w:bookmarkStart w:id="185" w:name="_Toc522633573"/>
      <w:r w:rsidRPr="009851E0">
        <w:rPr>
          <w:lang w:val="ru-RU"/>
        </w:rPr>
        <w:t>Резервные фонды</w:t>
      </w:r>
      <w:bookmarkEnd w:id="179"/>
      <w:bookmarkEnd w:id="180"/>
      <w:bookmarkEnd w:id="181"/>
      <w:bookmarkEnd w:id="182"/>
      <w:bookmarkEnd w:id="183"/>
      <w:bookmarkEnd w:id="184"/>
      <w:bookmarkEnd w:id="185"/>
    </w:p>
    <w:p w:rsidR="00EB539F" w:rsidRPr="009851E0" w:rsidRDefault="00027553" w:rsidP="00B53816">
      <w:pPr>
        <w:rPr>
          <w:lang w:val="ru-RU"/>
        </w:rPr>
      </w:pPr>
      <w:r w:rsidRPr="009851E0">
        <w:rPr>
          <w:lang w:val="ru-RU"/>
        </w:rPr>
        <w:t>36</w:t>
      </w:r>
      <w:r w:rsidR="00EB539F" w:rsidRPr="009851E0">
        <w:rPr>
          <w:lang w:val="ru-RU"/>
        </w:rPr>
        <w:tab/>
        <w:t>В 201</w:t>
      </w:r>
      <w:r w:rsidRPr="009851E0">
        <w:rPr>
          <w:lang w:val="ru-RU"/>
        </w:rPr>
        <w:t>7</w:t>
      </w:r>
      <w:r w:rsidR="00EB539F" w:rsidRPr="009851E0">
        <w:rPr>
          <w:lang w:val="ru-RU"/>
        </w:rPr>
        <w:t xml:space="preserve"> году подраздел "Резервные фонды" составил 1,</w:t>
      </w:r>
      <w:r w:rsidRPr="009851E0">
        <w:rPr>
          <w:lang w:val="ru-RU"/>
        </w:rPr>
        <w:t>65</w:t>
      </w:r>
      <w:r w:rsidR="00EB539F" w:rsidRPr="009851E0">
        <w:rPr>
          <w:lang w:val="ru-RU"/>
        </w:rPr>
        <w:t xml:space="preserve"> млн. швейцарских франков (</w:t>
      </w:r>
      <w:r w:rsidR="00826221" w:rsidRPr="009851E0">
        <w:rPr>
          <w:lang w:val="ru-RU"/>
        </w:rPr>
        <w:t>в 201</w:t>
      </w:r>
      <w:r w:rsidRPr="009851E0">
        <w:rPr>
          <w:lang w:val="ru-RU"/>
        </w:rPr>
        <w:t>6</w:t>
      </w:r>
      <w:r w:rsidR="00826221" w:rsidRPr="009851E0">
        <w:rPr>
          <w:lang w:val="ru-RU"/>
        </w:rPr>
        <w:t> г. </w:t>
      </w:r>
      <w:r w:rsidR="00EB539F" w:rsidRPr="009851E0">
        <w:rPr>
          <w:lang w:val="ru-RU"/>
        </w:rPr>
        <w:t xml:space="preserve">− </w:t>
      </w:r>
      <w:r w:rsidR="00B21657" w:rsidRPr="009851E0">
        <w:rPr>
          <w:lang w:val="ru-RU"/>
        </w:rPr>
        <w:t>1</w:t>
      </w:r>
      <w:r w:rsidR="00EB539F" w:rsidRPr="009851E0">
        <w:rPr>
          <w:lang w:val="ru-RU"/>
        </w:rPr>
        <w:t>,</w:t>
      </w:r>
      <w:r w:rsidRPr="009851E0">
        <w:rPr>
          <w:lang w:val="ru-RU"/>
        </w:rPr>
        <w:t>45</w:t>
      </w:r>
      <w:r w:rsidR="00EB539F" w:rsidRPr="009851E0">
        <w:rPr>
          <w:lang w:val="ru-RU"/>
        </w:rPr>
        <w:t xml:space="preserve"> млн. швейцарских франков). Этот раздел включает резервный фо</w:t>
      </w:r>
      <w:r w:rsidRPr="009851E0">
        <w:rPr>
          <w:lang w:val="ru-RU"/>
        </w:rPr>
        <w:t>нд для судебных разбирательств (</w:t>
      </w:r>
      <w:r w:rsidR="00B53816" w:rsidRPr="009851E0">
        <w:rPr>
          <w:lang w:val="ru-RU"/>
        </w:rPr>
        <w:t>около</w:t>
      </w:r>
      <w:r w:rsidRPr="009851E0">
        <w:rPr>
          <w:lang w:val="ru-RU"/>
        </w:rPr>
        <w:t xml:space="preserve"> 1</w:t>
      </w:r>
      <w:r w:rsidR="00EB539F" w:rsidRPr="009851E0">
        <w:rPr>
          <w:lang w:val="ru-RU"/>
        </w:rPr>
        <w:t>,</w:t>
      </w:r>
      <w:r w:rsidRPr="009851E0">
        <w:rPr>
          <w:lang w:val="ru-RU"/>
        </w:rPr>
        <w:t>15</w:t>
      </w:r>
      <w:r w:rsidR="00EB539F" w:rsidRPr="009851E0">
        <w:rPr>
          <w:lang w:val="ru-RU"/>
        </w:rPr>
        <w:t> млн. швейцарских франков) и резервный фонд для бесплатной обработки заявок на регистрацию спутниковых сетей (0,</w:t>
      </w:r>
      <w:r w:rsidR="00B21657" w:rsidRPr="009851E0">
        <w:rPr>
          <w:lang w:val="ru-RU"/>
        </w:rPr>
        <w:t>5</w:t>
      </w:r>
      <w:r w:rsidR="00EB539F" w:rsidRPr="009851E0">
        <w:rPr>
          <w:lang w:val="ru-RU"/>
        </w:rPr>
        <w:t xml:space="preserve"> млн. швейцарских франков).</w:t>
      </w:r>
      <w:r w:rsidR="00B044EB" w:rsidRPr="009851E0">
        <w:rPr>
          <w:lang w:val="ru-RU"/>
        </w:rPr>
        <w:t xml:space="preserve"> Подробная разбивка данных о резервных фондах приводится в Примечании</w:t>
      </w:r>
      <w:r w:rsidRPr="009851E0">
        <w:rPr>
          <w:lang w:val="ru-RU"/>
        </w:rPr>
        <w:t xml:space="preserve"> 18</w:t>
      </w:r>
      <w:r w:rsidR="00B21657" w:rsidRPr="009851E0">
        <w:rPr>
          <w:lang w:val="ru-RU"/>
        </w:rPr>
        <w:t xml:space="preserve"> </w:t>
      </w:r>
      <w:r w:rsidR="00B044EB" w:rsidRPr="009851E0">
        <w:rPr>
          <w:lang w:val="ru-RU"/>
        </w:rPr>
        <w:t>к Отчету о финансовой деятельности</w:t>
      </w:r>
      <w:r w:rsidR="00B21657" w:rsidRPr="009851E0">
        <w:rPr>
          <w:lang w:val="ru-RU"/>
        </w:rPr>
        <w:t>.</w:t>
      </w:r>
    </w:p>
    <w:p w:rsidR="00B21657" w:rsidRPr="009851E0" w:rsidRDefault="00027553" w:rsidP="00780526">
      <w:pPr>
        <w:rPr>
          <w:lang w:val="ru-RU"/>
        </w:rPr>
      </w:pPr>
      <w:r w:rsidRPr="009851E0">
        <w:rPr>
          <w:lang w:val="ru-RU"/>
        </w:rPr>
        <w:t>37</w:t>
      </w:r>
      <w:r w:rsidR="00B21657" w:rsidRPr="009851E0">
        <w:rPr>
          <w:lang w:val="ru-RU"/>
        </w:rPr>
        <w:tab/>
      </w:r>
      <w:r w:rsidR="00C633DD" w:rsidRPr="009851E0">
        <w:rPr>
          <w:lang w:val="ru-RU"/>
        </w:rPr>
        <w:t xml:space="preserve">Объем резервного фонда для судебных разбирательств </w:t>
      </w:r>
      <w:r w:rsidR="00B53816" w:rsidRPr="009851E0">
        <w:rPr>
          <w:lang w:val="ru-RU"/>
        </w:rPr>
        <w:t>колебался</w:t>
      </w:r>
      <w:r w:rsidR="00C633DD" w:rsidRPr="009851E0">
        <w:rPr>
          <w:lang w:val="ru-RU"/>
        </w:rPr>
        <w:t xml:space="preserve"> с первоначального уровня в </w:t>
      </w:r>
      <w:r w:rsidRPr="009851E0">
        <w:rPr>
          <w:lang w:val="ru-RU"/>
        </w:rPr>
        <w:t>2017</w:t>
      </w:r>
      <w:r w:rsidR="00C633DD" w:rsidRPr="009851E0">
        <w:rPr>
          <w:lang w:val="ru-RU"/>
        </w:rPr>
        <w:t xml:space="preserve"> году</w:t>
      </w:r>
      <w:r w:rsidR="00B21657" w:rsidRPr="009851E0">
        <w:rPr>
          <w:lang w:val="ru-RU"/>
        </w:rPr>
        <w:t xml:space="preserve"> (</w:t>
      </w:r>
      <w:r w:rsidRPr="009851E0">
        <w:rPr>
          <w:lang w:val="ru-RU"/>
        </w:rPr>
        <w:t>909</w:t>
      </w:r>
      <w:r w:rsidR="00C633DD" w:rsidRPr="009851E0">
        <w:rPr>
          <w:lang w:val="ru-RU"/>
        </w:rPr>
        <w:t xml:space="preserve"> тыс. швейцарских франков</w:t>
      </w:r>
      <w:r w:rsidR="00B21657" w:rsidRPr="009851E0">
        <w:rPr>
          <w:lang w:val="ru-RU"/>
        </w:rPr>
        <w:t xml:space="preserve">) </w:t>
      </w:r>
      <w:r w:rsidR="00C633DD" w:rsidRPr="009851E0">
        <w:rPr>
          <w:lang w:val="ru-RU"/>
        </w:rPr>
        <w:t>до окончательной величины</w:t>
      </w:r>
      <w:r w:rsidR="00B21657" w:rsidRPr="009851E0">
        <w:rPr>
          <w:lang w:val="ru-RU"/>
        </w:rPr>
        <w:t xml:space="preserve"> </w:t>
      </w:r>
      <w:r w:rsidR="00583C2B" w:rsidRPr="009851E0">
        <w:rPr>
          <w:lang w:val="ru-RU"/>
        </w:rPr>
        <w:t xml:space="preserve">в </w:t>
      </w:r>
      <w:r w:rsidR="00E860D4" w:rsidRPr="009851E0">
        <w:rPr>
          <w:lang w:val="ru-RU"/>
        </w:rPr>
        <w:t>1135 </w:t>
      </w:r>
      <w:r w:rsidR="00583C2B" w:rsidRPr="009851E0">
        <w:rPr>
          <w:lang w:val="ru-RU"/>
        </w:rPr>
        <w:t xml:space="preserve">тыс. швейцарских франков </w:t>
      </w:r>
      <w:r w:rsidR="00B21657" w:rsidRPr="009851E0">
        <w:rPr>
          <w:lang w:val="ru-RU"/>
        </w:rPr>
        <w:t>(</w:t>
      </w:r>
      <w:r w:rsidR="00C633DD" w:rsidRPr="009851E0">
        <w:rPr>
          <w:lang w:val="ru-RU"/>
        </w:rPr>
        <w:t xml:space="preserve">на </w:t>
      </w:r>
      <w:r w:rsidR="00B21657" w:rsidRPr="009851E0">
        <w:rPr>
          <w:lang w:val="ru-RU"/>
        </w:rPr>
        <w:t>31</w:t>
      </w:r>
      <w:r w:rsidR="00B241A8" w:rsidRPr="009851E0">
        <w:rPr>
          <w:lang w:val="ru-RU"/>
        </w:rPr>
        <w:t xml:space="preserve"> декабря </w:t>
      </w:r>
      <w:r w:rsidR="00B21657" w:rsidRPr="009851E0">
        <w:rPr>
          <w:lang w:val="ru-RU"/>
        </w:rPr>
        <w:t>201</w:t>
      </w:r>
      <w:r w:rsidR="00E860D4" w:rsidRPr="009851E0">
        <w:rPr>
          <w:lang w:val="ru-RU"/>
        </w:rPr>
        <w:t>7</w:t>
      </w:r>
      <w:r w:rsidR="00C633DD" w:rsidRPr="009851E0">
        <w:rPr>
          <w:lang w:val="ru-RU"/>
        </w:rPr>
        <w:t xml:space="preserve"> г</w:t>
      </w:r>
      <w:r w:rsidR="009D1918" w:rsidRPr="009851E0">
        <w:rPr>
          <w:lang w:val="ru-RU"/>
        </w:rPr>
        <w:t>.</w:t>
      </w:r>
      <w:r w:rsidR="00B21657" w:rsidRPr="009851E0">
        <w:rPr>
          <w:lang w:val="ru-RU"/>
        </w:rPr>
        <w:t xml:space="preserve">). </w:t>
      </w:r>
      <w:r w:rsidR="00CD123D" w:rsidRPr="009851E0">
        <w:rPr>
          <w:lang w:val="ru-RU"/>
        </w:rPr>
        <w:t>В настоящее время уровень резервных фондов фактически вырос на</w:t>
      </w:r>
      <w:r w:rsidR="00B21657" w:rsidRPr="009851E0">
        <w:rPr>
          <w:lang w:val="ru-RU"/>
        </w:rPr>
        <w:t xml:space="preserve"> </w:t>
      </w:r>
      <w:r w:rsidR="00E860D4" w:rsidRPr="009851E0">
        <w:rPr>
          <w:lang w:val="ru-RU"/>
        </w:rPr>
        <w:t>546</w:t>
      </w:r>
      <w:r w:rsidR="00CD123D" w:rsidRPr="009851E0">
        <w:rPr>
          <w:lang w:val="ru-RU"/>
        </w:rPr>
        <w:t xml:space="preserve"> тыс. швейцарских франков</w:t>
      </w:r>
      <w:r w:rsidR="000323F4" w:rsidRPr="009851E0">
        <w:rPr>
          <w:lang w:val="ru-RU"/>
        </w:rPr>
        <w:t>,</w:t>
      </w:r>
      <w:r w:rsidR="00B21657" w:rsidRPr="009851E0">
        <w:rPr>
          <w:lang w:val="ru-RU"/>
        </w:rPr>
        <w:t xml:space="preserve"> </w:t>
      </w:r>
      <w:r w:rsidR="00430A73" w:rsidRPr="009851E0">
        <w:rPr>
          <w:lang w:val="ru-RU"/>
        </w:rPr>
        <w:t>и</w:t>
      </w:r>
      <w:r w:rsidR="00CD123D" w:rsidRPr="009851E0">
        <w:rPr>
          <w:lang w:val="ru-RU"/>
        </w:rPr>
        <w:t xml:space="preserve"> было использовано</w:t>
      </w:r>
      <w:r w:rsidR="00B21657" w:rsidRPr="009851E0">
        <w:rPr>
          <w:lang w:val="ru-RU"/>
        </w:rPr>
        <w:t xml:space="preserve"> </w:t>
      </w:r>
      <w:r w:rsidR="00E860D4" w:rsidRPr="009851E0">
        <w:rPr>
          <w:lang w:val="ru-RU"/>
        </w:rPr>
        <w:t>226</w:t>
      </w:r>
      <w:r w:rsidR="00B21657" w:rsidRPr="009851E0">
        <w:rPr>
          <w:lang w:val="ru-RU"/>
        </w:rPr>
        <w:t xml:space="preserve"> </w:t>
      </w:r>
      <w:r w:rsidR="00CD123D" w:rsidRPr="009851E0">
        <w:rPr>
          <w:lang w:val="ru-RU"/>
        </w:rPr>
        <w:t>тыс. швейцарских франков</w:t>
      </w:r>
      <w:r w:rsidR="00B21657" w:rsidRPr="009851E0">
        <w:rPr>
          <w:lang w:val="ru-RU"/>
        </w:rPr>
        <w:t>.</w:t>
      </w:r>
    </w:p>
    <w:p w:rsidR="00EB539F" w:rsidRPr="009851E0" w:rsidRDefault="00EB539F" w:rsidP="00170A17">
      <w:pPr>
        <w:pStyle w:val="Heading1"/>
        <w:rPr>
          <w:lang w:val="ru-RU"/>
        </w:rPr>
      </w:pPr>
      <w:bookmarkStart w:id="186" w:name="_Toc358192843"/>
      <w:bookmarkStart w:id="187" w:name="_Toc398125325"/>
      <w:bookmarkStart w:id="188" w:name="_Toc398125804"/>
      <w:bookmarkStart w:id="189" w:name="_Toc398127097"/>
      <w:bookmarkStart w:id="190" w:name="_Toc452157317"/>
      <w:bookmarkStart w:id="191" w:name="_Toc482995184"/>
      <w:bookmarkStart w:id="192" w:name="_Toc522633574"/>
      <w:r w:rsidRPr="009851E0">
        <w:rPr>
          <w:lang w:val="ru-RU"/>
        </w:rPr>
        <w:t>Займы и финансовая задолженность</w:t>
      </w:r>
      <w:bookmarkEnd w:id="186"/>
      <w:bookmarkEnd w:id="187"/>
      <w:bookmarkEnd w:id="188"/>
      <w:bookmarkEnd w:id="189"/>
      <w:bookmarkEnd w:id="190"/>
      <w:bookmarkEnd w:id="191"/>
      <w:bookmarkEnd w:id="192"/>
    </w:p>
    <w:p w:rsidR="00EB539F" w:rsidRPr="009851E0" w:rsidRDefault="00CB35BB" w:rsidP="00CB35BB">
      <w:pPr>
        <w:rPr>
          <w:lang w:val="ru-RU"/>
        </w:rPr>
      </w:pPr>
      <w:r w:rsidRPr="009851E0">
        <w:rPr>
          <w:lang w:val="ru-RU"/>
        </w:rPr>
        <w:t>38</w:t>
      </w:r>
      <w:r w:rsidR="00EB539F" w:rsidRPr="009851E0">
        <w:rPr>
          <w:lang w:val="ru-RU"/>
        </w:rPr>
        <w:tab/>
        <w:t>Сумма, относящаяся к полученному МСЭ займу в ФИПОИ на строительство и капитальный ремонт некоторых его зданий, была учтена как краткосрочные выплаты (1,5 млн. швейцарских франков или 1,0% от общей суммы текущих пассивов), что соответствует очередному платежу, подлежащему выплате МСЭ в ФИПОИ в 201</w:t>
      </w:r>
      <w:r w:rsidRPr="009851E0">
        <w:rPr>
          <w:lang w:val="ru-RU"/>
        </w:rPr>
        <w:t>7</w:t>
      </w:r>
      <w:r w:rsidR="00EB539F" w:rsidRPr="009851E0">
        <w:rPr>
          <w:lang w:val="ru-RU"/>
        </w:rPr>
        <w:t> году</w:t>
      </w:r>
      <w:r w:rsidR="00C63F84" w:rsidRPr="009851E0">
        <w:rPr>
          <w:lang w:val="ru-RU"/>
        </w:rPr>
        <w:t>, и как долгосрочные выплаты (4</w:t>
      </w:r>
      <w:r w:rsidRPr="009851E0">
        <w:rPr>
          <w:lang w:val="ru-RU"/>
        </w:rPr>
        <w:t>1</w:t>
      </w:r>
      <w:r w:rsidR="00EB539F" w:rsidRPr="009851E0">
        <w:rPr>
          <w:lang w:val="ru-RU"/>
        </w:rPr>
        <w:t>,</w:t>
      </w:r>
      <w:r w:rsidRPr="009851E0">
        <w:rPr>
          <w:lang w:val="ru-RU"/>
        </w:rPr>
        <w:t>5</w:t>
      </w:r>
      <w:r w:rsidR="00EB539F" w:rsidRPr="009851E0">
        <w:rPr>
          <w:lang w:val="ru-RU"/>
        </w:rPr>
        <w:t xml:space="preserve"> млн. швейцарских франков или </w:t>
      </w:r>
      <w:r w:rsidRPr="009851E0">
        <w:rPr>
          <w:lang w:val="ru-RU"/>
        </w:rPr>
        <w:t>5</w:t>
      </w:r>
      <w:r w:rsidR="00EB539F" w:rsidRPr="009851E0">
        <w:rPr>
          <w:lang w:val="ru-RU"/>
        </w:rPr>
        <w:t>,</w:t>
      </w:r>
      <w:r w:rsidRPr="009851E0">
        <w:rPr>
          <w:lang w:val="ru-RU"/>
        </w:rPr>
        <w:t>9</w:t>
      </w:r>
      <w:r w:rsidR="00EB539F" w:rsidRPr="009851E0">
        <w:rPr>
          <w:lang w:val="ru-RU"/>
        </w:rPr>
        <w:t>% от общей суммы нетекущих пассивов). Суммы, по которым представлена подробная информация в Примечании 1</w:t>
      </w:r>
      <w:r w:rsidRPr="009851E0">
        <w:rPr>
          <w:lang w:val="ru-RU"/>
        </w:rPr>
        <w:t>6</w:t>
      </w:r>
      <w:r w:rsidR="00EB539F" w:rsidRPr="009851E0">
        <w:rPr>
          <w:lang w:val="ru-RU"/>
        </w:rPr>
        <w:t xml:space="preserve"> к Отчету о финансовой деятельности, также подтверждаются предоставленной ФИПОИ выпиской от </w:t>
      </w:r>
      <w:r w:rsidRPr="009851E0">
        <w:rPr>
          <w:lang w:val="ru-RU"/>
        </w:rPr>
        <w:t>12 января</w:t>
      </w:r>
      <w:r w:rsidR="00EB539F" w:rsidRPr="009851E0">
        <w:rPr>
          <w:lang w:val="ru-RU"/>
        </w:rPr>
        <w:t xml:space="preserve"> 201</w:t>
      </w:r>
      <w:r w:rsidRPr="009851E0">
        <w:rPr>
          <w:lang w:val="ru-RU"/>
        </w:rPr>
        <w:t>8</w:t>
      </w:r>
      <w:r w:rsidR="00EB539F" w:rsidRPr="009851E0">
        <w:rPr>
          <w:lang w:val="ru-RU"/>
        </w:rPr>
        <w:t> года.</w:t>
      </w:r>
    </w:p>
    <w:p w:rsidR="00EB539F" w:rsidRPr="009851E0" w:rsidRDefault="00EB539F" w:rsidP="00170A17">
      <w:pPr>
        <w:pStyle w:val="Heading1"/>
        <w:rPr>
          <w:lang w:val="ru-RU"/>
        </w:rPr>
      </w:pPr>
      <w:bookmarkStart w:id="193" w:name="_Toc398125326"/>
      <w:bookmarkStart w:id="194" w:name="_Toc398125805"/>
      <w:bookmarkStart w:id="195" w:name="_Toc398127098"/>
      <w:bookmarkStart w:id="196" w:name="_Toc452157318"/>
      <w:bookmarkStart w:id="197" w:name="_Toc482995185"/>
      <w:bookmarkStart w:id="198" w:name="_Toc522633575"/>
      <w:r w:rsidRPr="009851E0">
        <w:rPr>
          <w:lang w:val="ru-RU"/>
        </w:rPr>
        <w:t>Прочие текущие пассивы</w:t>
      </w:r>
      <w:bookmarkEnd w:id="193"/>
      <w:bookmarkEnd w:id="194"/>
      <w:bookmarkEnd w:id="195"/>
      <w:bookmarkEnd w:id="196"/>
      <w:bookmarkEnd w:id="197"/>
      <w:bookmarkEnd w:id="198"/>
    </w:p>
    <w:p w:rsidR="00EB539F" w:rsidRPr="009851E0" w:rsidRDefault="00CB35BB" w:rsidP="00CB35BB">
      <w:pPr>
        <w:rPr>
          <w:lang w:val="ru-RU"/>
        </w:rPr>
      </w:pPr>
      <w:r w:rsidRPr="009851E0">
        <w:rPr>
          <w:lang w:val="ru-RU"/>
        </w:rPr>
        <w:t>39</w:t>
      </w:r>
      <w:r w:rsidR="00EB539F" w:rsidRPr="009851E0">
        <w:rPr>
          <w:lang w:val="ru-RU"/>
        </w:rPr>
        <w:tab/>
        <w:t>В 201</w:t>
      </w:r>
      <w:r w:rsidRPr="009851E0">
        <w:rPr>
          <w:lang w:val="ru-RU"/>
        </w:rPr>
        <w:t>7</w:t>
      </w:r>
      <w:r w:rsidR="00EB539F" w:rsidRPr="009851E0">
        <w:rPr>
          <w:lang w:val="ru-RU"/>
        </w:rPr>
        <w:t xml:space="preserve"> году подразделы "Вознаграждение сотрудников" и "Прочая задолженнос</w:t>
      </w:r>
      <w:r w:rsidR="006E138A" w:rsidRPr="009851E0">
        <w:rPr>
          <w:lang w:val="ru-RU"/>
        </w:rPr>
        <w:t xml:space="preserve">ть" составили, соответственно, </w:t>
      </w:r>
      <w:r w:rsidRPr="009851E0">
        <w:rPr>
          <w:lang w:val="ru-RU"/>
        </w:rPr>
        <w:t>0</w:t>
      </w:r>
      <w:r w:rsidR="00EB539F" w:rsidRPr="009851E0">
        <w:rPr>
          <w:lang w:val="ru-RU"/>
        </w:rPr>
        <w:t>,</w:t>
      </w:r>
      <w:r w:rsidRPr="009851E0">
        <w:rPr>
          <w:lang w:val="ru-RU"/>
        </w:rPr>
        <w:t>2</w:t>
      </w:r>
      <w:r w:rsidR="00EB539F" w:rsidRPr="009851E0">
        <w:rPr>
          <w:lang w:val="ru-RU"/>
        </w:rPr>
        <w:t> млн. швейцарских франков (201</w:t>
      </w:r>
      <w:r w:rsidRPr="009851E0">
        <w:rPr>
          <w:lang w:val="ru-RU"/>
        </w:rPr>
        <w:t>6</w:t>
      </w:r>
      <w:r w:rsidR="00EB539F" w:rsidRPr="009851E0">
        <w:rPr>
          <w:lang w:val="ru-RU"/>
        </w:rPr>
        <w:t xml:space="preserve"> г. – </w:t>
      </w:r>
      <w:r w:rsidRPr="009851E0">
        <w:rPr>
          <w:lang w:val="ru-RU"/>
        </w:rPr>
        <w:t>1</w:t>
      </w:r>
      <w:r w:rsidR="006E138A" w:rsidRPr="009851E0">
        <w:rPr>
          <w:lang w:val="ru-RU"/>
        </w:rPr>
        <w:t>,</w:t>
      </w:r>
      <w:r w:rsidRPr="009851E0">
        <w:rPr>
          <w:lang w:val="ru-RU"/>
        </w:rPr>
        <w:t>1</w:t>
      </w:r>
      <w:r w:rsidR="006E138A" w:rsidRPr="009851E0">
        <w:rPr>
          <w:lang w:val="ru-RU"/>
        </w:rPr>
        <w:t xml:space="preserve"> млн. швейцарских франков</w:t>
      </w:r>
      <w:r w:rsidR="00EB539F" w:rsidRPr="009851E0">
        <w:rPr>
          <w:lang w:val="ru-RU"/>
        </w:rPr>
        <w:t xml:space="preserve">) и </w:t>
      </w:r>
      <w:r w:rsidRPr="009851E0">
        <w:rPr>
          <w:lang w:val="ru-RU"/>
        </w:rPr>
        <w:t>1</w:t>
      </w:r>
      <w:r w:rsidR="00EB539F" w:rsidRPr="009851E0">
        <w:rPr>
          <w:lang w:val="ru-RU"/>
        </w:rPr>
        <w:t>,</w:t>
      </w:r>
      <w:r w:rsidRPr="009851E0">
        <w:rPr>
          <w:lang w:val="ru-RU"/>
        </w:rPr>
        <w:t>8</w:t>
      </w:r>
      <w:r w:rsidR="00EB539F" w:rsidRPr="009851E0">
        <w:rPr>
          <w:lang w:val="ru-RU"/>
        </w:rPr>
        <w:t> </w:t>
      </w:r>
      <w:r w:rsidR="00826221" w:rsidRPr="009851E0">
        <w:rPr>
          <w:lang w:val="ru-RU"/>
        </w:rPr>
        <w:t>млн. </w:t>
      </w:r>
      <w:r w:rsidR="00EB539F" w:rsidRPr="009851E0">
        <w:rPr>
          <w:lang w:val="ru-RU"/>
        </w:rPr>
        <w:t>швейцарских франков (в 201</w:t>
      </w:r>
      <w:r w:rsidRPr="009851E0">
        <w:rPr>
          <w:lang w:val="ru-RU"/>
        </w:rPr>
        <w:t>6</w:t>
      </w:r>
      <w:r w:rsidR="00EB539F" w:rsidRPr="009851E0">
        <w:rPr>
          <w:lang w:val="ru-RU"/>
        </w:rPr>
        <w:t xml:space="preserve"> г. − </w:t>
      </w:r>
      <w:r w:rsidR="0079305F" w:rsidRPr="009851E0">
        <w:rPr>
          <w:lang w:val="ru-RU"/>
        </w:rPr>
        <w:t>5</w:t>
      </w:r>
      <w:r w:rsidR="00EB539F" w:rsidRPr="009851E0">
        <w:rPr>
          <w:lang w:val="ru-RU"/>
        </w:rPr>
        <w:t>,</w:t>
      </w:r>
      <w:r w:rsidRPr="009851E0">
        <w:rPr>
          <w:lang w:val="ru-RU"/>
        </w:rPr>
        <w:t>1</w:t>
      </w:r>
      <w:r w:rsidR="00EB539F" w:rsidRPr="009851E0">
        <w:rPr>
          <w:lang w:val="ru-RU"/>
        </w:rPr>
        <w:t> млн. швейцарских франков). Подробное описание и разбивка приводятся, соответственно, в Примечаниях 1</w:t>
      </w:r>
      <w:r w:rsidRPr="009851E0">
        <w:rPr>
          <w:lang w:val="ru-RU"/>
        </w:rPr>
        <w:t>7</w:t>
      </w:r>
      <w:r w:rsidR="00EB539F" w:rsidRPr="009851E0">
        <w:rPr>
          <w:lang w:val="ru-RU"/>
        </w:rPr>
        <w:t>.1 и 19 к Отчету о финансовой деятельности.</w:t>
      </w:r>
    </w:p>
    <w:p w:rsidR="00EB539F" w:rsidRPr="009851E0" w:rsidRDefault="002A378E" w:rsidP="00E15880">
      <w:pPr>
        <w:rPr>
          <w:lang w:val="ru-RU"/>
        </w:rPr>
      </w:pPr>
      <w:r w:rsidRPr="009851E0">
        <w:rPr>
          <w:lang w:val="ru-RU"/>
        </w:rPr>
        <w:t>40</w:t>
      </w:r>
      <w:r w:rsidR="00EB539F" w:rsidRPr="009851E0">
        <w:rPr>
          <w:lang w:val="ru-RU"/>
        </w:rPr>
        <w:tab/>
        <w:t xml:space="preserve">В частности, вознаграждение сотрудников, работающих на основе краткосрочных контрактов, учтенное в "Текущих пассивах", относится к резервному фонду </w:t>
      </w:r>
      <w:r w:rsidRPr="009851E0">
        <w:rPr>
          <w:lang w:val="ru-RU"/>
        </w:rPr>
        <w:t>для оплаты сверхурочных часов (51 тыс</w:t>
      </w:r>
      <w:r w:rsidR="00EB539F" w:rsidRPr="009851E0">
        <w:rPr>
          <w:lang w:val="ru-RU"/>
        </w:rPr>
        <w:t>. швейцарских франков; в 201</w:t>
      </w:r>
      <w:r w:rsidRPr="009851E0">
        <w:rPr>
          <w:lang w:val="ru-RU"/>
        </w:rPr>
        <w:t>6</w:t>
      </w:r>
      <w:r w:rsidR="00EB539F" w:rsidRPr="009851E0">
        <w:rPr>
          <w:lang w:val="ru-RU"/>
        </w:rPr>
        <w:t xml:space="preserve"> г. − </w:t>
      </w:r>
      <w:r w:rsidRPr="009851E0">
        <w:rPr>
          <w:lang w:val="ru-RU"/>
        </w:rPr>
        <w:t>60</w:t>
      </w:r>
      <w:r w:rsidR="00EB539F" w:rsidRPr="009851E0">
        <w:rPr>
          <w:lang w:val="ru-RU"/>
        </w:rPr>
        <w:t> </w:t>
      </w:r>
      <w:r w:rsidRPr="009851E0">
        <w:rPr>
          <w:lang w:val="ru-RU"/>
        </w:rPr>
        <w:t>тыс</w:t>
      </w:r>
      <w:r w:rsidR="00EB539F" w:rsidRPr="009851E0">
        <w:rPr>
          <w:lang w:val="ru-RU"/>
        </w:rPr>
        <w:t>. швейцарских франков) и к резервному фонду для оплаты накопленных дней отпуска (</w:t>
      </w:r>
      <w:r w:rsidR="00E15880" w:rsidRPr="009851E0">
        <w:rPr>
          <w:lang w:val="ru-RU"/>
        </w:rPr>
        <w:t>175 тыс</w:t>
      </w:r>
      <w:r w:rsidR="00EB539F" w:rsidRPr="009851E0">
        <w:rPr>
          <w:lang w:val="ru-RU"/>
        </w:rPr>
        <w:t>. швейцарских франков; в 201</w:t>
      </w:r>
      <w:r w:rsidR="00E15880" w:rsidRPr="009851E0">
        <w:rPr>
          <w:lang w:val="ru-RU"/>
        </w:rPr>
        <w:t>6</w:t>
      </w:r>
      <w:r w:rsidR="00EB539F" w:rsidRPr="009851E0">
        <w:rPr>
          <w:lang w:val="ru-RU"/>
        </w:rPr>
        <w:t xml:space="preserve"> г. – </w:t>
      </w:r>
      <w:r w:rsidR="00E15880" w:rsidRPr="009851E0">
        <w:rPr>
          <w:lang w:val="ru-RU"/>
        </w:rPr>
        <w:t>1</w:t>
      </w:r>
      <w:r w:rsidR="00780526" w:rsidRPr="009851E0">
        <w:rPr>
          <w:lang w:val="ru-RU"/>
        </w:rPr>
        <w:t>0</w:t>
      </w:r>
      <w:r w:rsidR="001365DF" w:rsidRPr="009851E0">
        <w:rPr>
          <w:lang w:val="ru-RU"/>
        </w:rPr>
        <w:t>34 </w:t>
      </w:r>
      <w:r w:rsidR="00E15880" w:rsidRPr="009851E0">
        <w:rPr>
          <w:lang w:val="ru-RU"/>
        </w:rPr>
        <w:t>тыс</w:t>
      </w:r>
      <w:r w:rsidR="00EC3FCE" w:rsidRPr="009851E0">
        <w:rPr>
          <w:lang w:val="ru-RU"/>
        </w:rPr>
        <w:t>. швейцарских франков</w:t>
      </w:r>
      <w:r w:rsidR="00EB539F" w:rsidRPr="009851E0">
        <w:rPr>
          <w:lang w:val="ru-RU"/>
        </w:rPr>
        <w:t xml:space="preserve">). Проведенные нами проверки не выявили каких-либо существенных проблем, и данные по резервным фондам являются по существу точными. </w:t>
      </w:r>
    </w:p>
    <w:p w:rsidR="00E15880" w:rsidRPr="009851E0" w:rsidRDefault="00E15880" w:rsidP="006510CB">
      <w:pPr>
        <w:rPr>
          <w:lang w:val="ru-RU"/>
        </w:rPr>
      </w:pPr>
      <w:r w:rsidRPr="009851E0">
        <w:rPr>
          <w:lang w:val="ru-RU"/>
        </w:rPr>
        <w:t>41</w:t>
      </w:r>
      <w:r w:rsidRPr="009851E0">
        <w:rPr>
          <w:lang w:val="ru-RU"/>
        </w:rPr>
        <w:tab/>
      </w:r>
      <w:r w:rsidR="00C84AF8" w:rsidRPr="009851E0">
        <w:rPr>
          <w:lang w:val="ru-RU"/>
        </w:rPr>
        <w:t>"</w:t>
      </w:r>
      <w:r w:rsidR="006A6F49" w:rsidRPr="009851E0">
        <w:rPr>
          <w:lang w:val="ru-RU"/>
        </w:rPr>
        <w:t>Прочая задолженность</w:t>
      </w:r>
      <w:r w:rsidR="00C84AF8" w:rsidRPr="009851E0">
        <w:rPr>
          <w:lang w:val="ru-RU"/>
        </w:rPr>
        <w:t>"</w:t>
      </w:r>
      <w:r w:rsidR="006A6F49" w:rsidRPr="009851E0">
        <w:rPr>
          <w:lang w:val="ru-RU"/>
        </w:rPr>
        <w:t>, учтенная в разделе "Текущие пассивы", включает следующие подразделы</w:t>
      </w:r>
      <w:r w:rsidR="00C84AF8" w:rsidRPr="009851E0">
        <w:rPr>
          <w:lang w:val="ru-RU"/>
        </w:rPr>
        <w:t>: "</w:t>
      </w:r>
      <w:r w:rsidR="006A6F49" w:rsidRPr="009851E0">
        <w:rPr>
          <w:lang w:val="ru-RU"/>
        </w:rPr>
        <w:t>Кредиторская задолженность</w:t>
      </w:r>
      <w:r w:rsidR="00C84AF8" w:rsidRPr="009851E0">
        <w:rPr>
          <w:lang w:val="ru-RU"/>
        </w:rPr>
        <w:t>", "</w:t>
      </w:r>
      <w:r w:rsidR="006A6F49" w:rsidRPr="009851E0">
        <w:rPr>
          <w:color w:val="000000"/>
          <w:lang w:val="ru-RU"/>
        </w:rPr>
        <w:t>Различная задолженность по персоналу</w:t>
      </w:r>
      <w:r w:rsidR="00C84AF8" w:rsidRPr="009851E0">
        <w:rPr>
          <w:lang w:val="ru-RU"/>
        </w:rPr>
        <w:t>" (</w:t>
      </w:r>
      <w:r w:rsidR="006A6F49" w:rsidRPr="009851E0">
        <w:rPr>
          <w:lang w:val="ru-RU"/>
        </w:rPr>
        <w:t>единственный возросший подраздел</w:t>
      </w:r>
      <w:r w:rsidR="00C84AF8" w:rsidRPr="009851E0">
        <w:rPr>
          <w:lang w:val="ru-RU"/>
        </w:rPr>
        <w:t xml:space="preserve">, </w:t>
      </w:r>
      <w:r w:rsidR="006A6F49" w:rsidRPr="009851E0">
        <w:rPr>
          <w:lang w:val="ru-RU"/>
        </w:rPr>
        <w:t>с</w:t>
      </w:r>
      <w:r w:rsidR="00C84AF8" w:rsidRPr="009851E0">
        <w:rPr>
          <w:lang w:val="ru-RU"/>
        </w:rPr>
        <w:t xml:space="preserve"> 651 тыс. швейцарских франков в 2016 г. </w:t>
      </w:r>
      <w:r w:rsidR="006510CB" w:rsidRPr="009851E0">
        <w:rPr>
          <w:lang w:val="ru-RU"/>
        </w:rPr>
        <w:t>до</w:t>
      </w:r>
      <w:r w:rsidR="00C84AF8" w:rsidRPr="009851E0">
        <w:rPr>
          <w:lang w:val="ru-RU"/>
        </w:rPr>
        <w:t xml:space="preserve"> 823 тыс. швейцарских франков в 2017 г.), "</w:t>
      </w:r>
      <w:r w:rsidR="006A6F49" w:rsidRPr="009851E0">
        <w:rPr>
          <w:color w:val="000000"/>
          <w:lang w:val="ru-RU"/>
        </w:rPr>
        <w:t>Полученные товары/полученные счета-фактуры</w:t>
      </w:r>
      <w:r w:rsidR="00C84AF8" w:rsidRPr="009851E0">
        <w:rPr>
          <w:lang w:val="ru-RU"/>
        </w:rPr>
        <w:t>", "</w:t>
      </w:r>
      <w:r w:rsidR="006A6F49" w:rsidRPr="009851E0">
        <w:rPr>
          <w:lang w:val="ru-RU"/>
        </w:rPr>
        <w:t>ПРООН</w:t>
      </w:r>
      <w:r w:rsidR="00C84AF8" w:rsidRPr="009851E0">
        <w:rPr>
          <w:lang w:val="ru-RU"/>
        </w:rPr>
        <w:t>".</w:t>
      </w:r>
    </w:p>
    <w:p w:rsidR="00EB539F" w:rsidRPr="009851E0" w:rsidRDefault="00EB539F" w:rsidP="00170A17">
      <w:pPr>
        <w:pStyle w:val="Heading1"/>
        <w:rPr>
          <w:u w:val="single"/>
          <w:lang w:val="ru-RU"/>
        </w:rPr>
      </w:pPr>
      <w:bookmarkStart w:id="199" w:name="_Toc358192844"/>
      <w:bookmarkStart w:id="200" w:name="_Toc398125327"/>
      <w:bookmarkStart w:id="201" w:name="_Toc398125806"/>
      <w:bookmarkStart w:id="202" w:name="_Toc398127099"/>
      <w:bookmarkStart w:id="203" w:name="_Toc452157319"/>
      <w:bookmarkStart w:id="204" w:name="_Toc482995186"/>
      <w:bookmarkStart w:id="205" w:name="_Toc522633576"/>
      <w:r w:rsidRPr="009851E0">
        <w:rPr>
          <w:lang w:val="ru-RU"/>
        </w:rPr>
        <w:t>Нетекущие пассивы</w:t>
      </w:r>
      <w:bookmarkEnd w:id="199"/>
      <w:bookmarkEnd w:id="200"/>
      <w:bookmarkEnd w:id="201"/>
      <w:bookmarkEnd w:id="202"/>
      <w:bookmarkEnd w:id="203"/>
      <w:bookmarkEnd w:id="204"/>
      <w:bookmarkEnd w:id="205"/>
    </w:p>
    <w:p w:rsidR="00EB539F" w:rsidRPr="009851E0" w:rsidRDefault="00A97556" w:rsidP="00A97556">
      <w:pPr>
        <w:rPr>
          <w:lang w:val="ru-RU"/>
        </w:rPr>
      </w:pPr>
      <w:r w:rsidRPr="009851E0">
        <w:rPr>
          <w:lang w:val="ru-RU"/>
        </w:rPr>
        <w:t>42</w:t>
      </w:r>
      <w:r w:rsidR="00EB539F" w:rsidRPr="009851E0">
        <w:rPr>
          <w:lang w:val="ru-RU"/>
        </w:rPr>
        <w:tab/>
        <w:t>Общая сумма нетекущих пассивов в 201</w:t>
      </w:r>
      <w:r w:rsidRPr="009851E0">
        <w:rPr>
          <w:lang w:val="ru-RU"/>
        </w:rPr>
        <w:t>7</w:t>
      </w:r>
      <w:r w:rsidR="00EB539F" w:rsidRPr="009851E0">
        <w:rPr>
          <w:lang w:val="ru-RU"/>
        </w:rPr>
        <w:t xml:space="preserve"> году составила </w:t>
      </w:r>
      <w:r w:rsidRPr="009851E0">
        <w:rPr>
          <w:lang w:val="ru-RU"/>
        </w:rPr>
        <w:t>706</w:t>
      </w:r>
      <w:r w:rsidR="00EB539F" w:rsidRPr="009851E0">
        <w:rPr>
          <w:lang w:val="ru-RU"/>
        </w:rPr>
        <w:t>,</w:t>
      </w:r>
      <w:r w:rsidRPr="009851E0">
        <w:rPr>
          <w:lang w:val="ru-RU"/>
        </w:rPr>
        <w:t>18</w:t>
      </w:r>
      <w:r w:rsidR="00EB539F" w:rsidRPr="009851E0">
        <w:rPr>
          <w:lang w:val="ru-RU"/>
        </w:rPr>
        <w:t xml:space="preserve"> млн. швейцарских франков, что на </w:t>
      </w:r>
      <w:r w:rsidRPr="009851E0">
        <w:rPr>
          <w:lang w:val="ru-RU"/>
        </w:rPr>
        <w:t>61</w:t>
      </w:r>
      <w:r w:rsidR="00EB539F" w:rsidRPr="009851E0">
        <w:rPr>
          <w:lang w:val="ru-RU"/>
        </w:rPr>
        <w:t>,</w:t>
      </w:r>
      <w:r w:rsidRPr="009851E0">
        <w:rPr>
          <w:lang w:val="ru-RU"/>
        </w:rPr>
        <w:t>33</w:t>
      </w:r>
      <w:r w:rsidR="00EB539F" w:rsidRPr="009851E0">
        <w:rPr>
          <w:lang w:val="ru-RU"/>
        </w:rPr>
        <w:t> млн. швейцарских франков (</w:t>
      </w:r>
      <w:r w:rsidR="00EC3FCE" w:rsidRPr="009851E0">
        <w:rPr>
          <w:lang w:val="ru-RU"/>
        </w:rPr>
        <w:t>+</w:t>
      </w:r>
      <w:r w:rsidRPr="009851E0">
        <w:rPr>
          <w:lang w:val="ru-RU"/>
        </w:rPr>
        <w:t>9</w:t>
      </w:r>
      <w:r w:rsidR="00EB539F" w:rsidRPr="009851E0">
        <w:rPr>
          <w:lang w:val="ru-RU"/>
        </w:rPr>
        <w:t>,</w:t>
      </w:r>
      <w:r w:rsidRPr="009851E0">
        <w:rPr>
          <w:lang w:val="ru-RU"/>
        </w:rPr>
        <w:t>5</w:t>
      </w:r>
      <w:r w:rsidR="00EB539F" w:rsidRPr="009851E0">
        <w:rPr>
          <w:lang w:val="ru-RU"/>
        </w:rPr>
        <w:t xml:space="preserve">%) </w:t>
      </w:r>
      <w:r w:rsidR="00EC3FCE" w:rsidRPr="009851E0">
        <w:rPr>
          <w:lang w:val="ru-RU"/>
        </w:rPr>
        <w:t>больше</w:t>
      </w:r>
      <w:r w:rsidR="00EB539F" w:rsidRPr="009851E0">
        <w:rPr>
          <w:lang w:val="ru-RU"/>
        </w:rPr>
        <w:t xml:space="preserve"> по сравнению с 201</w:t>
      </w:r>
      <w:r w:rsidRPr="009851E0">
        <w:rPr>
          <w:lang w:val="ru-RU"/>
        </w:rPr>
        <w:t>6</w:t>
      </w:r>
      <w:r w:rsidR="00EB539F" w:rsidRPr="009851E0">
        <w:rPr>
          <w:lang w:val="ru-RU"/>
        </w:rPr>
        <w:t> годом (</w:t>
      </w:r>
      <w:r w:rsidRPr="009851E0">
        <w:rPr>
          <w:lang w:val="ru-RU"/>
        </w:rPr>
        <w:t>644</w:t>
      </w:r>
      <w:r w:rsidR="00EB539F" w:rsidRPr="009851E0">
        <w:rPr>
          <w:lang w:val="ru-RU"/>
        </w:rPr>
        <w:t>,</w:t>
      </w:r>
      <w:r w:rsidRPr="009851E0">
        <w:rPr>
          <w:lang w:val="ru-RU"/>
        </w:rPr>
        <w:t>85</w:t>
      </w:r>
      <w:r w:rsidR="00EB539F" w:rsidRPr="009851E0">
        <w:rPr>
          <w:lang w:val="ru-RU"/>
        </w:rPr>
        <w:t xml:space="preserve"> млн. швейцарских франков). Это </w:t>
      </w:r>
      <w:r w:rsidR="00EC3FCE" w:rsidRPr="009851E0">
        <w:rPr>
          <w:lang w:val="ru-RU"/>
        </w:rPr>
        <w:t xml:space="preserve">увеличение </w:t>
      </w:r>
      <w:r w:rsidR="00EB539F" w:rsidRPr="009851E0">
        <w:rPr>
          <w:lang w:val="ru-RU"/>
        </w:rPr>
        <w:t xml:space="preserve">в целом объясняется </w:t>
      </w:r>
      <w:r w:rsidR="00EC3FCE" w:rsidRPr="009851E0">
        <w:rPr>
          <w:lang w:val="ru-RU"/>
        </w:rPr>
        <w:t>увеличением</w:t>
      </w:r>
      <w:r w:rsidR="00EB539F" w:rsidRPr="009851E0">
        <w:rPr>
          <w:lang w:val="ru-RU"/>
        </w:rPr>
        <w:t xml:space="preserve"> суммы вознаграждения сотрудников (</w:t>
      </w:r>
      <w:r w:rsidR="00EC3FCE" w:rsidRPr="009851E0">
        <w:rPr>
          <w:lang w:val="ru-RU"/>
        </w:rPr>
        <w:t>+</w:t>
      </w:r>
      <w:r w:rsidRPr="009851E0">
        <w:rPr>
          <w:lang w:val="ru-RU"/>
        </w:rPr>
        <w:t>63</w:t>
      </w:r>
      <w:r w:rsidR="00EB539F" w:rsidRPr="009851E0">
        <w:rPr>
          <w:lang w:val="ru-RU"/>
        </w:rPr>
        <w:t>,</w:t>
      </w:r>
      <w:r w:rsidRPr="009851E0">
        <w:rPr>
          <w:lang w:val="ru-RU"/>
        </w:rPr>
        <w:t>2</w:t>
      </w:r>
      <w:r w:rsidR="00EB539F" w:rsidRPr="009851E0">
        <w:rPr>
          <w:lang w:val="ru-RU"/>
        </w:rPr>
        <w:t xml:space="preserve"> млн. швейцарских франков или </w:t>
      </w:r>
      <w:r w:rsidR="00EC3FCE" w:rsidRPr="009851E0">
        <w:rPr>
          <w:lang w:val="ru-RU"/>
        </w:rPr>
        <w:t>+1</w:t>
      </w:r>
      <w:r w:rsidRPr="009851E0">
        <w:rPr>
          <w:lang w:val="ru-RU"/>
        </w:rPr>
        <w:t>1</w:t>
      </w:r>
      <w:r w:rsidR="00EB539F" w:rsidRPr="009851E0">
        <w:rPr>
          <w:lang w:val="ru-RU"/>
        </w:rPr>
        <w:t>,</w:t>
      </w:r>
      <w:r w:rsidRPr="009851E0">
        <w:rPr>
          <w:lang w:val="ru-RU"/>
        </w:rPr>
        <w:t>0</w:t>
      </w:r>
      <w:r w:rsidR="00EB539F" w:rsidRPr="009851E0">
        <w:rPr>
          <w:lang w:val="ru-RU"/>
        </w:rPr>
        <w:t>% по сравнению с 201</w:t>
      </w:r>
      <w:r w:rsidRPr="009851E0">
        <w:rPr>
          <w:lang w:val="ru-RU"/>
        </w:rPr>
        <w:t>6</w:t>
      </w:r>
      <w:r w:rsidR="00EB539F" w:rsidRPr="009851E0">
        <w:rPr>
          <w:lang w:val="ru-RU"/>
        </w:rPr>
        <w:t> г</w:t>
      </w:r>
      <w:r w:rsidR="00826221" w:rsidRPr="009851E0">
        <w:rPr>
          <w:lang w:val="ru-RU"/>
        </w:rPr>
        <w:t>.</w:t>
      </w:r>
      <w:r w:rsidR="00EB539F" w:rsidRPr="009851E0">
        <w:rPr>
          <w:lang w:val="ru-RU"/>
        </w:rPr>
        <w:t>). Основа для оценки нетекущих пассивов изложена в Принципах бухгалтерского учета (Примечание </w:t>
      </w:r>
      <w:r w:rsidR="00EC3FCE" w:rsidRPr="009851E0">
        <w:rPr>
          <w:lang w:val="ru-RU"/>
        </w:rPr>
        <w:t>2</w:t>
      </w:r>
      <w:r w:rsidR="00EB539F" w:rsidRPr="009851E0">
        <w:rPr>
          <w:lang w:val="ru-RU"/>
        </w:rPr>
        <w:t>).</w:t>
      </w:r>
    </w:p>
    <w:p w:rsidR="00EB539F" w:rsidRPr="009851E0" w:rsidRDefault="00A97556" w:rsidP="001336EA">
      <w:pPr>
        <w:rPr>
          <w:lang w:val="ru-RU"/>
        </w:rPr>
      </w:pPr>
      <w:r w:rsidRPr="009851E0">
        <w:rPr>
          <w:lang w:val="ru-RU"/>
        </w:rPr>
        <w:t>43</w:t>
      </w:r>
      <w:r w:rsidR="00EB539F" w:rsidRPr="009851E0">
        <w:rPr>
          <w:lang w:val="ru-RU"/>
        </w:rPr>
        <w:tab/>
        <w:t>Этот раздел состоит из долгосрочных задолженностей (см. </w:t>
      </w:r>
      <w:r w:rsidR="001336EA" w:rsidRPr="009851E0">
        <w:rPr>
          <w:lang w:val="ru-RU"/>
        </w:rPr>
        <w:t>пункт по</w:t>
      </w:r>
      <w:r w:rsidR="00EB539F" w:rsidRPr="009851E0">
        <w:rPr>
          <w:lang w:val="ru-RU"/>
        </w:rPr>
        <w:t xml:space="preserve"> "Займ</w:t>
      </w:r>
      <w:r w:rsidR="001336EA" w:rsidRPr="009851E0">
        <w:rPr>
          <w:lang w:val="ru-RU"/>
        </w:rPr>
        <w:t>ам</w:t>
      </w:r>
      <w:r w:rsidR="00EB539F" w:rsidRPr="009851E0">
        <w:rPr>
          <w:lang w:val="ru-RU"/>
        </w:rPr>
        <w:t xml:space="preserve">"), средств третьих сторон, распределенных или </w:t>
      </w:r>
      <w:r w:rsidR="006C76F9" w:rsidRPr="009851E0">
        <w:rPr>
          <w:lang w:val="ru-RU"/>
        </w:rPr>
        <w:t xml:space="preserve">находящихся </w:t>
      </w:r>
      <w:r w:rsidR="00EB539F" w:rsidRPr="009851E0">
        <w:rPr>
          <w:lang w:val="ru-RU"/>
        </w:rPr>
        <w:t>в процессе распределения, обязательств по линии системы медицинского страхования МСЭ и резервных фондов, покрывающих обязательства с неопределенными суммами и сроками, в основном относящиеся к пособиям, причитающимся сотрудникам после прекращения службы.</w:t>
      </w:r>
    </w:p>
    <w:p w:rsidR="00EB539F" w:rsidRPr="009851E0" w:rsidRDefault="00EB539F" w:rsidP="00170A17">
      <w:pPr>
        <w:pStyle w:val="Heading1"/>
        <w:rPr>
          <w:lang w:val="ru-RU"/>
        </w:rPr>
      </w:pPr>
      <w:bookmarkStart w:id="206" w:name="_Toc452157320"/>
      <w:bookmarkStart w:id="207" w:name="_Toc482995187"/>
      <w:bookmarkStart w:id="208" w:name="_Toc522633577"/>
      <w:r w:rsidRPr="009851E0">
        <w:rPr>
          <w:lang w:val="ru-RU"/>
        </w:rPr>
        <w:t>Обобщенные сведения о вознаграждении сотрудников</w:t>
      </w:r>
      <w:bookmarkEnd w:id="206"/>
      <w:bookmarkEnd w:id="207"/>
      <w:bookmarkEnd w:id="208"/>
      <w:r w:rsidRPr="009851E0">
        <w:rPr>
          <w:lang w:val="ru-RU"/>
        </w:rPr>
        <w:t xml:space="preserve"> </w:t>
      </w:r>
    </w:p>
    <w:p w:rsidR="00826221" w:rsidRPr="009851E0" w:rsidRDefault="00AB0B47" w:rsidP="00E65E97">
      <w:pPr>
        <w:spacing w:after="120"/>
        <w:rPr>
          <w:lang w:val="ru-RU"/>
        </w:rPr>
      </w:pPr>
      <w:r w:rsidRPr="009851E0">
        <w:rPr>
          <w:lang w:val="ru-RU"/>
        </w:rPr>
        <w:t>44</w:t>
      </w:r>
      <w:r w:rsidR="00EB539F" w:rsidRPr="009851E0">
        <w:rPr>
          <w:lang w:val="ru-RU"/>
        </w:rPr>
        <w:tab/>
        <w:t>Информация о вознаграждении сотрудников приводится в финансовой отчетности в разделах "Текущие пассивы" и "Нетекущие пассивы". В 201</w:t>
      </w:r>
      <w:r w:rsidRPr="009851E0">
        <w:rPr>
          <w:lang w:val="ru-RU"/>
        </w:rPr>
        <w:t>7</w:t>
      </w:r>
      <w:r w:rsidR="00EB539F" w:rsidRPr="009851E0">
        <w:rPr>
          <w:lang w:val="ru-RU"/>
        </w:rPr>
        <w:t xml:space="preserve"> году общий размер вознаграждения сотрудников составил </w:t>
      </w:r>
      <w:r w:rsidR="00E65E97" w:rsidRPr="00E65E97">
        <w:rPr>
          <w:lang w:val="ru-RU"/>
        </w:rPr>
        <w:t>638</w:t>
      </w:r>
      <w:r w:rsidR="00EB539F" w:rsidRPr="009851E0">
        <w:rPr>
          <w:lang w:val="ru-RU"/>
        </w:rPr>
        <w:t>,</w:t>
      </w:r>
      <w:r w:rsidR="00E65E97" w:rsidRPr="00E65E97">
        <w:rPr>
          <w:lang w:val="ru-RU"/>
        </w:rPr>
        <w:t>6</w:t>
      </w:r>
      <w:r w:rsidR="00EB539F" w:rsidRPr="009851E0">
        <w:rPr>
          <w:lang w:val="ru-RU"/>
        </w:rPr>
        <w:t xml:space="preserve"> млн. швейцарских франков. В обобщенном виде эта информация представлена в приведенной ниже таблице. </w:t>
      </w:r>
    </w:p>
    <w:tbl>
      <w:tblPr>
        <w:tblW w:w="9626" w:type="dxa"/>
        <w:tblLayout w:type="fixed"/>
        <w:tblLook w:val="04A0" w:firstRow="1" w:lastRow="0" w:firstColumn="1" w:lastColumn="0" w:noHBand="0" w:noVBand="1"/>
      </w:tblPr>
      <w:tblGrid>
        <w:gridCol w:w="4248"/>
        <w:gridCol w:w="1417"/>
        <w:gridCol w:w="1418"/>
        <w:gridCol w:w="1271"/>
        <w:gridCol w:w="1272"/>
      </w:tblGrid>
      <w:tr w:rsidR="00EB539F" w:rsidRPr="009851E0" w:rsidTr="009C03CB">
        <w:tc>
          <w:tcPr>
            <w:tcW w:w="424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B539F" w:rsidRPr="009851E0" w:rsidRDefault="00EB539F" w:rsidP="00826221">
            <w:pPr>
              <w:pStyle w:val="Tablehead"/>
              <w:rPr>
                <w:rFonts w:eastAsia="SimSun"/>
                <w:i/>
                <w:iCs/>
                <w:sz w:val="18"/>
                <w:szCs w:val="18"/>
                <w:lang w:val="ru-RU" w:eastAsia="zh-CN"/>
              </w:rPr>
            </w:pPr>
            <w:r w:rsidRPr="009851E0">
              <w:rPr>
                <w:rFonts w:eastAsia="SimSun"/>
                <w:i/>
                <w:iCs/>
                <w:sz w:val="18"/>
                <w:szCs w:val="18"/>
                <w:lang w:val="ru-RU" w:eastAsia="zh-CN"/>
              </w:rPr>
              <w:t>Пассивы</w:t>
            </w:r>
          </w:p>
        </w:tc>
        <w:tc>
          <w:tcPr>
            <w:tcW w:w="283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EB539F" w:rsidRPr="009851E0" w:rsidRDefault="00EB539F" w:rsidP="00826221">
            <w:pPr>
              <w:pStyle w:val="Tablehead"/>
              <w:rPr>
                <w:rFonts w:eastAsia="SimSun"/>
                <w:sz w:val="18"/>
                <w:szCs w:val="18"/>
                <w:lang w:val="ru-RU" w:eastAsia="zh-CN"/>
              </w:rPr>
            </w:pPr>
            <w:r w:rsidRPr="009851E0">
              <w:rPr>
                <w:rFonts w:eastAsia="SimSun"/>
                <w:sz w:val="18"/>
                <w:szCs w:val="18"/>
                <w:lang w:val="ru-RU" w:eastAsia="zh-CN"/>
              </w:rPr>
              <w:t>(в тыс. швейцарских франков)</w:t>
            </w:r>
          </w:p>
        </w:tc>
        <w:tc>
          <w:tcPr>
            <w:tcW w:w="2543"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B539F" w:rsidRPr="009851E0" w:rsidRDefault="00EB539F" w:rsidP="00AB0B47">
            <w:pPr>
              <w:pStyle w:val="Tablehead"/>
              <w:rPr>
                <w:rFonts w:eastAsia="SimSun"/>
                <w:sz w:val="18"/>
                <w:szCs w:val="18"/>
                <w:lang w:val="ru-RU" w:eastAsia="zh-CN"/>
              </w:rPr>
            </w:pPr>
            <w:r w:rsidRPr="009851E0">
              <w:rPr>
                <w:rFonts w:eastAsia="SimSun"/>
                <w:sz w:val="18"/>
                <w:szCs w:val="18"/>
                <w:lang w:val="ru-RU" w:eastAsia="zh-CN"/>
              </w:rPr>
              <w:t>Расхождение 201</w:t>
            </w:r>
            <w:r w:rsidR="00AB0B47" w:rsidRPr="009851E0">
              <w:rPr>
                <w:rFonts w:eastAsia="SimSun"/>
                <w:sz w:val="18"/>
                <w:szCs w:val="18"/>
                <w:lang w:val="ru-RU" w:eastAsia="zh-CN"/>
              </w:rPr>
              <w:t>7</w:t>
            </w:r>
            <w:r w:rsidRPr="009851E0">
              <w:rPr>
                <w:rFonts w:eastAsia="SimSun"/>
                <w:sz w:val="18"/>
                <w:szCs w:val="18"/>
                <w:lang w:val="ru-RU" w:eastAsia="zh-CN"/>
              </w:rPr>
              <w:t>−201</w:t>
            </w:r>
            <w:r w:rsidR="00AB0B47" w:rsidRPr="009851E0">
              <w:rPr>
                <w:rFonts w:eastAsia="SimSun"/>
                <w:sz w:val="18"/>
                <w:szCs w:val="18"/>
                <w:lang w:val="ru-RU" w:eastAsia="zh-CN"/>
              </w:rPr>
              <w:t>6</w:t>
            </w:r>
            <w:r w:rsidRPr="009851E0">
              <w:rPr>
                <w:rFonts w:eastAsia="SimSun"/>
                <w:sz w:val="18"/>
                <w:szCs w:val="18"/>
                <w:lang w:val="ru-RU" w:eastAsia="zh-CN"/>
              </w:rPr>
              <w:t xml:space="preserve"> гг.</w:t>
            </w:r>
          </w:p>
        </w:tc>
      </w:tr>
      <w:tr w:rsidR="00EB539F" w:rsidRPr="009851E0" w:rsidTr="009C03CB">
        <w:tc>
          <w:tcPr>
            <w:tcW w:w="4248" w:type="dxa"/>
            <w:vMerge/>
            <w:tcBorders>
              <w:top w:val="single" w:sz="4" w:space="0" w:color="auto"/>
              <w:left w:val="single" w:sz="4" w:space="0" w:color="auto"/>
              <w:bottom w:val="single" w:sz="4" w:space="0" w:color="auto"/>
              <w:right w:val="single" w:sz="4" w:space="0" w:color="auto"/>
            </w:tcBorders>
            <w:vAlign w:val="center"/>
            <w:hideMark/>
          </w:tcPr>
          <w:p w:rsidR="00EB539F" w:rsidRPr="009851E0" w:rsidRDefault="00EB539F" w:rsidP="00826221">
            <w:pPr>
              <w:pStyle w:val="Tablehead"/>
              <w:rPr>
                <w:rFonts w:eastAsia="SimSun"/>
                <w:sz w:val="18"/>
                <w:szCs w:val="18"/>
                <w:lang w:val="ru-RU" w:eastAsia="zh-CN"/>
              </w:rPr>
            </w:pPr>
          </w:p>
        </w:tc>
        <w:tc>
          <w:tcPr>
            <w:tcW w:w="1417" w:type="dxa"/>
            <w:tcBorders>
              <w:top w:val="nil"/>
              <w:left w:val="nil"/>
              <w:bottom w:val="single" w:sz="4" w:space="0" w:color="auto"/>
              <w:right w:val="single" w:sz="4" w:space="0" w:color="auto"/>
            </w:tcBorders>
            <w:shd w:val="clear" w:color="000000" w:fill="D9D9D9"/>
            <w:noWrap/>
            <w:vAlign w:val="center"/>
            <w:hideMark/>
          </w:tcPr>
          <w:p w:rsidR="00EB539F" w:rsidRPr="009851E0" w:rsidRDefault="00EB539F" w:rsidP="00AB0B47">
            <w:pPr>
              <w:pStyle w:val="Tablehead"/>
              <w:rPr>
                <w:rFonts w:eastAsia="SimSun"/>
                <w:i/>
                <w:iCs/>
                <w:sz w:val="18"/>
                <w:szCs w:val="18"/>
                <w:lang w:val="ru-RU" w:eastAsia="zh-CN"/>
              </w:rPr>
            </w:pPr>
            <w:r w:rsidRPr="009851E0">
              <w:rPr>
                <w:rFonts w:eastAsia="SimSun"/>
                <w:i/>
                <w:iCs/>
                <w:sz w:val="18"/>
                <w:szCs w:val="18"/>
                <w:lang w:val="ru-RU" w:eastAsia="zh-CN"/>
              </w:rPr>
              <w:t>201</w:t>
            </w:r>
            <w:r w:rsidR="00AB0B47" w:rsidRPr="009851E0">
              <w:rPr>
                <w:rFonts w:eastAsia="SimSun"/>
                <w:i/>
                <w:iCs/>
                <w:sz w:val="18"/>
                <w:szCs w:val="18"/>
                <w:lang w:val="ru-RU" w:eastAsia="zh-CN"/>
              </w:rPr>
              <w:t>7</w:t>
            </w:r>
            <w:r w:rsidRPr="009851E0">
              <w:rPr>
                <w:rFonts w:eastAsia="SimSun"/>
                <w:i/>
                <w:iCs/>
                <w:sz w:val="18"/>
                <w:szCs w:val="18"/>
                <w:lang w:val="ru-RU" w:eastAsia="zh-CN"/>
              </w:rPr>
              <w:t xml:space="preserve"> г.</w:t>
            </w:r>
          </w:p>
        </w:tc>
        <w:tc>
          <w:tcPr>
            <w:tcW w:w="1418" w:type="dxa"/>
            <w:tcBorders>
              <w:top w:val="nil"/>
              <w:left w:val="nil"/>
              <w:bottom w:val="single" w:sz="4" w:space="0" w:color="auto"/>
              <w:right w:val="single" w:sz="4" w:space="0" w:color="auto"/>
            </w:tcBorders>
            <w:shd w:val="clear" w:color="000000" w:fill="D9D9D9"/>
            <w:noWrap/>
            <w:vAlign w:val="center"/>
            <w:hideMark/>
          </w:tcPr>
          <w:p w:rsidR="00EB539F" w:rsidRPr="009851E0" w:rsidRDefault="00EB539F" w:rsidP="00AB0B47">
            <w:pPr>
              <w:pStyle w:val="Tablehead"/>
              <w:rPr>
                <w:rFonts w:eastAsia="SimSun"/>
                <w:i/>
                <w:iCs/>
                <w:sz w:val="18"/>
                <w:szCs w:val="18"/>
                <w:lang w:val="ru-RU" w:eastAsia="zh-CN"/>
              </w:rPr>
            </w:pPr>
            <w:r w:rsidRPr="009851E0">
              <w:rPr>
                <w:rFonts w:eastAsia="SimSun"/>
                <w:i/>
                <w:iCs/>
                <w:sz w:val="18"/>
                <w:szCs w:val="18"/>
                <w:lang w:val="ru-RU" w:eastAsia="zh-CN"/>
              </w:rPr>
              <w:t>201</w:t>
            </w:r>
            <w:r w:rsidR="00AB0B47" w:rsidRPr="009851E0">
              <w:rPr>
                <w:rFonts w:eastAsia="SimSun"/>
                <w:i/>
                <w:iCs/>
                <w:sz w:val="18"/>
                <w:szCs w:val="18"/>
                <w:lang w:val="ru-RU" w:eastAsia="zh-CN"/>
              </w:rPr>
              <w:t>6</w:t>
            </w:r>
            <w:r w:rsidRPr="009851E0">
              <w:rPr>
                <w:rFonts w:eastAsia="SimSun"/>
                <w:i/>
                <w:iCs/>
                <w:sz w:val="18"/>
                <w:szCs w:val="18"/>
                <w:lang w:val="ru-RU" w:eastAsia="zh-CN"/>
              </w:rPr>
              <w:t xml:space="preserve"> г.</w:t>
            </w:r>
          </w:p>
        </w:tc>
        <w:tc>
          <w:tcPr>
            <w:tcW w:w="1271" w:type="dxa"/>
            <w:tcBorders>
              <w:top w:val="nil"/>
              <w:left w:val="nil"/>
              <w:bottom w:val="single" w:sz="4" w:space="0" w:color="auto"/>
              <w:right w:val="single" w:sz="4" w:space="0" w:color="auto"/>
            </w:tcBorders>
            <w:shd w:val="clear" w:color="000000" w:fill="D9D9D9"/>
            <w:noWrap/>
            <w:vAlign w:val="center"/>
            <w:hideMark/>
          </w:tcPr>
          <w:p w:rsidR="00EB539F" w:rsidRPr="009851E0" w:rsidRDefault="00EB539F" w:rsidP="00826221">
            <w:pPr>
              <w:pStyle w:val="Tablehead"/>
              <w:rPr>
                <w:rFonts w:eastAsia="SimSun"/>
                <w:sz w:val="18"/>
                <w:szCs w:val="18"/>
                <w:lang w:val="ru-RU" w:eastAsia="zh-CN"/>
              </w:rPr>
            </w:pPr>
            <w:r w:rsidRPr="009851E0">
              <w:rPr>
                <w:rFonts w:eastAsia="SimSun"/>
                <w:sz w:val="18"/>
                <w:szCs w:val="18"/>
                <w:lang w:val="ru-RU" w:eastAsia="zh-CN"/>
              </w:rPr>
              <w:t>тыс. шв. фр.</w:t>
            </w:r>
          </w:p>
        </w:tc>
        <w:tc>
          <w:tcPr>
            <w:tcW w:w="1272" w:type="dxa"/>
            <w:tcBorders>
              <w:top w:val="nil"/>
              <w:left w:val="nil"/>
              <w:bottom w:val="single" w:sz="4" w:space="0" w:color="auto"/>
              <w:right w:val="single" w:sz="4" w:space="0" w:color="auto"/>
            </w:tcBorders>
            <w:shd w:val="clear" w:color="000000" w:fill="D9D9D9"/>
            <w:noWrap/>
            <w:vAlign w:val="center"/>
            <w:hideMark/>
          </w:tcPr>
          <w:p w:rsidR="00EB539F" w:rsidRPr="009851E0" w:rsidRDefault="00EB539F" w:rsidP="00826221">
            <w:pPr>
              <w:pStyle w:val="Tablehead"/>
              <w:rPr>
                <w:rFonts w:eastAsia="SimSun"/>
                <w:sz w:val="18"/>
                <w:szCs w:val="18"/>
                <w:lang w:val="ru-RU" w:eastAsia="zh-CN"/>
              </w:rPr>
            </w:pPr>
            <w:r w:rsidRPr="009851E0">
              <w:rPr>
                <w:rFonts w:eastAsia="SimSun"/>
                <w:sz w:val="18"/>
                <w:szCs w:val="18"/>
                <w:lang w:val="ru-RU" w:eastAsia="zh-CN"/>
              </w:rPr>
              <w:t>%</w:t>
            </w:r>
          </w:p>
        </w:tc>
      </w:tr>
      <w:tr w:rsidR="00AB0B47" w:rsidRPr="009851E0" w:rsidTr="00AB0B47">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B0B47" w:rsidRPr="009851E0" w:rsidRDefault="00AB0B47" w:rsidP="00AB0B47">
            <w:pPr>
              <w:pStyle w:val="Tabletext"/>
              <w:rPr>
                <w:rFonts w:eastAsia="SimSun"/>
                <w:sz w:val="18"/>
                <w:szCs w:val="18"/>
                <w:u w:val="single"/>
                <w:lang w:val="ru-RU" w:eastAsia="zh-CN"/>
              </w:rPr>
            </w:pPr>
            <w:r w:rsidRPr="009851E0">
              <w:rPr>
                <w:rFonts w:eastAsia="SimSun"/>
                <w:sz w:val="18"/>
                <w:szCs w:val="18"/>
                <w:u w:val="single"/>
                <w:lang w:val="ru-RU" w:eastAsia="zh-CN"/>
              </w:rPr>
              <w:t>Текущие</w:t>
            </w:r>
          </w:p>
        </w:tc>
        <w:tc>
          <w:tcPr>
            <w:tcW w:w="1417"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226</w:t>
            </w:r>
          </w:p>
        </w:tc>
        <w:tc>
          <w:tcPr>
            <w:tcW w:w="1418"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1 094</w:t>
            </w:r>
          </w:p>
        </w:tc>
        <w:tc>
          <w:tcPr>
            <w:tcW w:w="1271"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−868</w:t>
            </w:r>
          </w:p>
        </w:tc>
        <w:tc>
          <w:tcPr>
            <w:tcW w:w="1272"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−79,3%</w:t>
            </w:r>
          </w:p>
        </w:tc>
      </w:tr>
      <w:tr w:rsidR="00AB0B47" w:rsidRPr="009851E0" w:rsidTr="00AB0B47">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B0B47" w:rsidRPr="009851E0" w:rsidRDefault="00AB0B47" w:rsidP="00AB0B47">
            <w:pPr>
              <w:pStyle w:val="Tabletext"/>
              <w:rPr>
                <w:rFonts w:eastAsia="SimSun"/>
                <w:sz w:val="18"/>
                <w:szCs w:val="18"/>
                <w:u w:val="single"/>
                <w:lang w:val="ru-RU" w:eastAsia="zh-CN"/>
              </w:rPr>
            </w:pPr>
            <w:r w:rsidRPr="009851E0">
              <w:rPr>
                <w:rFonts w:eastAsia="SimSun"/>
                <w:sz w:val="18"/>
                <w:szCs w:val="18"/>
                <w:u w:val="single"/>
                <w:lang w:val="ru-RU" w:eastAsia="zh-CN"/>
              </w:rPr>
              <w:t>Нетекущие</w:t>
            </w:r>
          </w:p>
        </w:tc>
        <w:tc>
          <w:tcPr>
            <w:tcW w:w="1417"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638 365</w:t>
            </w:r>
          </w:p>
        </w:tc>
        <w:tc>
          <w:tcPr>
            <w:tcW w:w="1418"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575 123</w:t>
            </w:r>
          </w:p>
        </w:tc>
        <w:tc>
          <w:tcPr>
            <w:tcW w:w="1271"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63 242</w:t>
            </w:r>
          </w:p>
        </w:tc>
        <w:tc>
          <w:tcPr>
            <w:tcW w:w="1272"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11,0%</w:t>
            </w:r>
          </w:p>
        </w:tc>
      </w:tr>
      <w:tr w:rsidR="00AB0B47" w:rsidRPr="009851E0" w:rsidTr="00AB0B47">
        <w:tc>
          <w:tcPr>
            <w:tcW w:w="4248" w:type="dxa"/>
            <w:tcBorders>
              <w:top w:val="nil"/>
              <w:left w:val="single" w:sz="4" w:space="0" w:color="auto"/>
              <w:bottom w:val="single" w:sz="4" w:space="0" w:color="auto"/>
              <w:right w:val="single" w:sz="4" w:space="0" w:color="auto"/>
            </w:tcBorders>
            <w:shd w:val="clear" w:color="000000" w:fill="DCE6F1"/>
            <w:noWrap/>
            <w:vAlign w:val="center"/>
            <w:hideMark/>
          </w:tcPr>
          <w:p w:rsidR="00AB0B47" w:rsidRPr="009851E0" w:rsidRDefault="00AB0B47" w:rsidP="00AB0B47">
            <w:pPr>
              <w:pStyle w:val="Tabletext"/>
              <w:rPr>
                <w:rFonts w:eastAsia="SimSun"/>
                <w:b/>
                <w:bCs/>
                <w:sz w:val="18"/>
                <w:szCs w:val="18"/>
                <w:u w:val="single"/>
                <w:lang w:val="ru-RU" w:eastAsia="zh-CN"/>
              </w:rPr>
            </w:pPr>
            <w:r w:rsidRPr="009851E0">
              <w:rPr>
                <w:rFonts w:eastAsia="SimSun"/>
                <w:b/>
                <w:bCs/>
                <w:sz w:val="18"/>
                <w:szCs w:val="18"/>
                <w:u w:val="single"/>
                <w:lang w:val="ru-RU" w:eastAsia="zh-CN"/>
              </w:rPr>
              <w:t>Всего</w:t>
            </w:r>
          </w:p>
        </w:tc>
        <w:tc>
          <w:tcPr>
            <w:tcW w:w="1417" w:type="dxa"/>
            <w:tcBorders>
              <w:top w:val="nil"/>
              <w:left w:val="nil"/>
              <w:bottom w:val="single" w:sz="4" w:space="0" w:color="auto"/>
              <w:right w:val="single" w:sz="4" w:space="0" w:color="auto"/>
            </w:tcBorders>
            <w:shd w:val="clear" w:color="000000" w:fill="DCE6F1"/>
            <w:noWrap/>
            <w:vAlign w:val="bottom"/>
          </w:tcPr>
          <w:p w:rsidR="00AB0B47" w:rsidRPr="009851E0" w:rsidRDefault="00AB0B47" w:rsidP="00427327">
            <w:pPr>
              <w:pStyle w:val="Tabletext"/>
              <w:ind w:right="284"/>
              <w:jc w:val="right"/>
              <w:rPr>
                <w:rFonts w:eastAsia="SimSun"/>
                <w:b/>
                <w:bCs/>
                <w:sz w:val="18"/>
                <w:szCs w:val="18"/>
                <w:lang w:val="ru-RU" w:eastAsia="zh-CN"/>
              </w:rPr>
            </w:pPr>
            <w:r w:rsidRPr="009851E0">
              <w:rPr>
                <w:rFonts w:eastAsia="SimSun"/>
                <w:b/>
                <w:bCs/>
                <w:sz w:val="18"/>
                <w:szCs w:val="18"/>
                <w:lang w:val="ru-RU" w:eastAsia="zh-CN"/>
              </w:rPr>
              <w:t xml:space="preserve">638 </w:t>
            </w:r>
            <w:r w:rsidR="00427327" w:rsidRPr="009851E0">
              <w:rPr>
                <w:rFonts w:eastAsia="SimSun"/>
                <w:b/>
                <w:bCs/>
                <w:sz w:val="18"/>
                <w:szCs w:val="18"/>
                <w:lang w:val="ru-RU" w:eastAsia="zh-CN"/>
              </w:rPr>
              <w:t>591</w:t>
            </w:r>
          </w:p>
        </w:tc>
        <w:tc>
          <w:tcPr>
            <w:tcW w:w="1418" w:type="dxa"/>
            <w:tcBorders>
              <w:top w:val="nil"/>
              <w:left w:val="nil"/>
              <w:bottom w:val="single" w:sz="4" w:space="0" w:color="auto"/>
              <w:right w:val="single" w:sz="4" w:space="0" w:color="auto"/>
            </w:tcBorders>
            <w:shd w:val="clear" w:color="000000" w:fill="DCE6F1"/>
            <w:noWrap/>
            <w:vAlign w:val="bottom"/>
          </w:tcPr>
          <w:p w:rsidR="00AB0B47" w:rsidRPr="009851E0" w:rsidRDefault="00AB0B47" w:rsidP="00AB0B47">
            <w:pPr>
              <w:pStyle w:val="Tabletext"/>
              <w:ind w:right="284"/>
              <w:jc w:val="right"/>
              <w:rPr>
                <w:rFonts w:eastAsia="SimSun"/>
                <w:b/>
                <w:bCs/>
                <w:sz w:val="18"/>
                <w:szCs w:val="18"/>
                <w:lang w:val="ru-RU" w:eastAsia="zh-CN"/>
              </w:rPr>
            </w:pPr>
            <w:r w:rsidRPr="009851E0">
              <w:rPr>
                <w:rFonts w:eastAsia="SimSun"/>
                <w:b/>
                <w:bCs/>
                <w:sz w:val="18"/>
                <w:szCs w:val="18"/>
                <w:lang w:val="ru-RU" w:eastAsia="zh-CN"/>
              </w:rPr>
              <w:t>576 217</w:t>
            </w:r>
          </w:p>
        </w:tc>
        <w:tc>
          <w:tcPr>
            <w:tcW w:w="1271" w:type="dxa"/>
            <w:tcBorders>
              <w:top w:val="nil"/>
              <w:left w:val="nil"/>
              <w:bottom w:val="single" w:sz="4" w:space="0" w:color="auto"/>
              <w:right w:val="single" w:sz="4" w:space="0" w:color="auto"/>
            </w:tcBorders>
            <w:shd w:val="clear" w:color="000000" w:fill="DCE6F1"/>
            <w:noWrap/>
            <w:vAlign w:val="bottom"/>
          </w:tcPr>
          <w:p w:rsidR="00AB0B47" w:rsidRPr="009851E0" w:rsidRDefault="00AB0B47" w:rsidP="00AB0B47">
            <w:pPr>
              <w:pStyle w:val="Tabletext"/>
              <w:ind w:right="284"/>
              <w:jc w:val="right"/>
              <w:rPr>
                <w:rFonts w:eastAsia="SimSun"/>
                <w:b/>
                <w:bCs/>
                <w:sz w:val="18"/>
                <w:szCs w:val="18"/>
                <w:lang w:val="ru-RU" w:eastAsia="zh-CN"/>
              </w:rPr>
            </w:pPr>
            <w:r w:rsidRPr="009851E0">
              <w:rPr>
                <w:rFonts w:eastAsia="SimSun"/>
                <w:b/>
                <w:bCs/>
                <w:sz w:val="18"/>
                <w:szCs w:val="18"/>
                <w:lang w:val="ru-RU" w:eastAsia="zh-CN"/>
              </w:rPr>
              <w:t>62 374</w:t>
            </w:r>
          </w:p>
        </w:tc>
        <w:tc>
          <w:tcPr>
            <w:tcW w:w="1272" w:type="dxa"/>
            <w:tcBorders>
              <w:top w:val="nil"/>
              <w:left w:val="nil"/>
              <w:bottom w:val="single" w:sz="4" w:space="0" w:color="auto"/>
              <w:right w:val="single" w:sz="4" w:space="0" w:color="auto"/>
            </w:tcBorders>
            <w:shd w:val="clear" w:color="000000" w:fill="DCE6F1"/>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10,8%</w:t>
            </w:r>
          </w:p>
        </w:tc>
      </w:tr>
      <w:tr w:rsidR="00AB0B47" w:rsidRPr="009851E0" w:rsidTr="00AB0B47">
        <w:tc>
          <w:tcPr>
            <w:tcW w:w="4248" w:type="dxa"/>
            <w:tcBorders>
              <w:top w:val="nil"/>
              <w:left w:val="single" w:sz="4" w:space="0" w:color="auto"/>
              <w:bottom w:val="single" w:sz="4" w:space="0" w:color="auto"/>
              <w:right w:val="single" w:sz="4" w:space="0" w:color="auto"/>
            </w:tcBorders>
            <w:shd w:val="clear" w:color="000000" w:fill="D9D9D9"/>
            <w:noWrap/>
            <w:vAlign w:val="center"/>
            <w:hideMark/>
          </w:tcPr>
          <w:p w:rsidR="00AB0B47" w:rsidRPr="009851E0" w:rsidRDefault="00AB0B47" w:rsidP="00AB0B47">
            <w:pPr>
              <w:pStyle w:val="Tabletext"/>
              <w:rPr>
                <w:rFonts w:eastAsia="SimSun"/>
                <w:b/>
                <w:bCs/>
                <w:i/>
                <w:iCs/>
                <w:sz w:val="18"/>
                <w:szCs w:val="18"/>
                <w:lang w:val="ru-RU" w:eastAsia="zh-CN"/>
              </w:rPr>
            </w:pPr>
            <w:r w:rsidRPr="009851E0">
              <w:rPr>
                <w:rFonts w:eastAsia="SimSun"/>
                <w:b/>
                <w:bCs/>
                <w:i/>
                <w:iCs/>
                <w:sz w:val="18"/>
                <w:szCs w:val="18"/>
                <w:lang w:val="ru-RU" w:eastAsia="zh-CN"/>
              </w:rPr>
              <w:t>Состав нетекущих пассивов</w:t>
            </w:r>
          </w:p>
        </w:tc>
        <w:tc>
          <w:tcPr>
            <w:tcW w:w="1417" w:type="dxa"/>
            <w:tcBorders>
              <w:top w:val="nil"/>
              <w:left w:val="nil"/>
              <w:bottom w:val="single" w:sz="4" w:space="0" w:color="auto"/>
              <w:right w:val="single" w:sz="4" w:space="0" w:color="auto"/>
            </w:tcBorders>
            <w:shd w:val="clear" w:color="000000" w:fill="D9D9D9"/>
            <w:noWrap/>
            <w:vAlign w:val="bottom"/>
          </w:tcPr>
          <w:p w:rsidR="00AB0B47" w:rsidRPr="009851E0" w:rsidRDefault="00AB0B47" w:rsidP="00AB0B47">
            <w:pPr>
              <w:pStyle w:val="Tabletext"/>
              <w:ind w:right="284"/>
              <w:jc w:val="right"/>
              <w:rPr>
                <w:rFonts w:eastAsia="SimSun"/>
                <w:b/>
                <w:bCs/>
                <w:i/>
                <w:iCs/>
                <w:sz w:val="18"/>
                <w:szCs w:val="18"/>
                <w:lang w:val="ru-RU" w:eastAsia="zh-CN"/>
              </w:rPr>
            </w:pPr>
          </w:p>
        </w:tc>
        <w:tc>
          <w:tcPr>
            <w:tcW w:w="1418" w:type="dxa"/>
            <w:tcBorders>
              <w:top w:val="nil"/>
              <w:left w:val="nil"/>
              <w:bottom w:val="single" w:sz="4" w:space="0" w:color="auto"/>
              <w:right w:val="single" w:sz="4" w:space="0" w:color="auto"/>
            </w:tcBorders>
            <w:shd w:val="clear" w:color="000000" w:fill="D9D9D9"/>
            <w:noWrap/>
            <w:vAlign w:val="bottom"/>
          </w:tcPr>
          <w:p w:rsidR="00AB0B47" w:rsidRPr="009851E0" w:rsidRDefault="00AB0B47" w:rsidP="00AB0B47">
            <w:pPr>
              <w:pStyle w:val="Tabletext"/>
              <w:ind w:right="284"/>
              <w:jc w:val="right"/>
              <w:rPr>
                <w:rFonts w:eastAsia="SimSun"/>
                <w:b/>
                <w:bCs/>
                <w:i/>
                <w:iCs/>
                <w:sz w:val="18"/>
                <w:szCs w:val="18"/>
                <w:lang w:val="ru-RU" w:eastAsia="zh-CN"/>
              </w:rPr>
            </w:pPr>
          </w:p>
        </w:tc>
        <w:tc>
          <w:tcPr>
            <w:tcW w:w="1271" w:type="dxa"/>
            <w:tcBorders>
              <w:top w:val="nil"/>
              <w:left w:val="nil"/>
              <w:bottom w:val="single" w:sz="4" w:space="0" w:color="auto"/>
              <w:right w:val="single" w:sz="4" w:space="0" w:color="auto"/>
            </w:tcBorders>
            <w:shd w:val="clear" w:color="000000" w:fill="D9D9D9"/>
            <w:noWrap/>
            <w:vAlign w:val="bottom"/>
          </w:tcPr>
          <w:p w:rsidR="00AB0B47" w:rsidRPr="009851E0" w:rsidRDefault="00AB0B47" w:rsidP="00AB0B47">
            <w:pPr>
              <w:pStyle w:val="Tabletext"/>
              <w:ind w:right="284"/>
              <w:jc w:val="right"/>
              <w:rPr>
                <w:rFonts w:eastAsia="SimSun"/>
                <w:b/>
                <w:bCs/>
                <w:i/>
                <w:iCs/>
                <w:sz w:val="18"/>
                <w:szCs w:val="18"/>
                <w:lang w:val="ru-RU" w:eastAsia="zh-CN"/>
              </w:rPr>
            </w:pPr>
          </w:p>
        </w:tc>
        <w:tc>
          <w:tcPr>
            <w:tcW w:w="1272" w:type="dxa"/>
            <w:tcBorders>
              <w:top w:val="nil"/>
              <w:left w:val="nil"/>
              <w:bottom w:val="single" w:sz="4" w:space="0" w:color="auto"/>
              <w:right w:val="single" w:sz="4" w:space="0" w:color="auto"/>
            </w:tcBorders>
            <w:shd w:val="clear" w:color="000000" w:fill="D9D9D9"/>
            <w:noWrap/>
            <w:vAlign w:val="bottom"/>
            <w:hideMark/>
          </w:tcPr>
          <w:p w:rsidR="00AB0B47" w:rsidRPr="009851E0" w:rsidRDefault="00AB0B47" w:rsidP="00AB0B47">
            <w:pPr>
              <w:pStyle w:val="Tabletext"/>
              <w:ind w:right="284"/>
              <w:jc w:val="right"/>
              <w:rPr>
                <w:rFonts w:eastAsia="SimSun"/>
                <w:b/>
                <w:bCs/>
                <w:i/>
                <w:iCs/>
                <w:sz w:val="18"/>
                <w:szCs w:val="18"/>
                <w:lang w:val="ru-RU" w:eastAsia="zh-CN"/>
              </w:rPr>
            </w:pPr>
          </w:p>
        </w:tc>
      </w:tr>
      <w:tr w:rsidR="00AB0B47" w:rsidRPr="009851E0" w:rsidTr="00AB0B47">
        <w:tc>
          <w:tcPr>
            <w:tcW w:w="4248" w:type="dxa"/>
            <w:tcBorders>
              <w:top w:val="nil"/>
              <w:left w:val="single" w:sz="4" w:space="0" w:color="auto"/>
              <w:bottom w:val="single" w:sz="4" w:space="0" w:color="auto"/>
              <w:right w:val="single" w:sz="4" w:space="0" w:color="auto"/>
            </w:tcBorders>
            <w:shd w:val="clear" w:color="auto" w:fill="auto"/>
            <w:vAlign w:val="center"/>
            <w:hideMark/>
          </w:tcPr>
          <w:p w:rsidR="00AB0B47" w:rsidRPr="009851E0" w:rsidRDefault="00AB0B47" w:rsidP="00AB0B47">
            <w:pPr>
              <w:pStyle w:val="Tabletext"/>
              <w:rPr>
                <w:rFonts w:eastAsia="SimSun"/>
                <w:sz w:val="18"/>
                <w:szCs w:val="18"/>
                <w:lang w:val="ru-RU" w:eastAsia="zh-CN"/>
              </w:rPr>
            </w:pPr>
            <w:r w:rsidRPr="009851E0">
              <w:rPr>
                <w:rFonts w:eastAsia="SimSun"/>
                <w:sz w:val="18"/>
                <w:szCs w:val="18"/>
                <w:lang w:val="ru-RU" w:eastAsia="zh-CN"/>
              </w:rPr>
              <w:t>План пособий после выхода на пенсию (АСХИ)</w:t>
            </w:r>
          </w:p>
        </w:tc>
        <w:tc>
          <w:tcPr>
            <w:tcW w:w="1417"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617 250</w:t>
            </w:r>
          </w:p>
        </w:tc>
        <w:tc>
          <w:tcPr>
            <w:tcW w:w="1418"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551 911</w:t>
            </w:r>
          </w:p>
        </w:tc>
        <w:tc>
          <w:tcPr>
            <w:tcW w:w="1271"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65 339</w:t>
            </w:r>
          </w:p>
        </w:tc>
        <w:tc>
          <w:tcPr>
            <w:tcW w:w="1272"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11,8%</w:t>
            </w:r>
          </w:p>
        </w:tc>
      </w:tr>
      <w:tr w:rsidR="00AB0B47" w:rsidRPr="009851E0" w:rsidTr="00AB0B47">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B0B47" w:rsidRPr="009851E0" w:rsidRDefault="00AB0B47" w:rsidP="00AB0B47">
            <w:pPr>
              <w:pStyle w:val="Tabletext"/>
              <w:rPr>
                <w:rFonts w:eastAsia="SimSun"/>
                <w:sz w:val="18"/>
                <w:szCs w:val="18"/>
                <w:lang w:val="ru-RU" w:eastAsia="zh-CN"/>
              </w:rPr>
            </w:pPr>
            <w:r w:rsidRPr="009851E0">
              <w:rPr>
                <w:rFonts w:eastAsia="SimSun"/>
                <w:sz w:val="18"/>
                <w:szCs w:val="18"/>
                <w:lang w:val="ru-RU" w:eastAsia="zh-CN"/>
              </w:rPr>
              <w:t>Пенсии</w:t>
            </w:r>
          </w:p>
        </w:tc>
        <w:tc>
          <w:tcPr>
            <w:tcW w:w="1417"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54</w:t>
            </w:r>
          </w:p>
        </w:tc>
        <w:tc>
          <w:tcPr>
            <w:tcW w:w="1418"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54</w:t>
            </w:r>
          </w:p>
        </w:tc>
        <w:tc>
          <w:tcPr>
            <w:tcW w:w="1271"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0</w:t>
            </w:r>
          </w:p>
        </w:tc>
        <w:tc>
          <w:tcPr>
            <w:tcW w:w="1272"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0,0%</w:t>
            </w:r>
          </w:p>
        </w:tc>
      </w:tr>
      <w:tr w:rsidR="00AB0B47" w:rsidRPr="009851E0" w:rsidTr="00AB0B47">
        <w:tc>
          <w:tcPr>
            <w:tcW w:w="4248" w:type="dxa"/>
            <w:tcBorders>
              <w:top w:val="nil"/>
              <w:left w:val="single" w:sz="4" w:space="0" w:color="auto"/>
              <w:bottom w:val="single" w:sz="4" w:space="0" w:color="auto"/>
              <w:right w:val="single" w:sz="4" w:space="0" w:color="auto"/>
            </w:tcBorders>
            <w:shd w:val="clear" w:color="auto" w:fill="auto"/>
            <w:vAlign w:val="center"/>
            <w:hideMark/>
          </w:tcPr>
          <w:p w:rsidR="00AB0B47" w:rsidRPr="009851E0" w:rsidRDefault="00AB0B47" w:rsidP="00AB0B47">
            <w:pPr>
              <w:pStyle w:val="Tabletext"/>
              <w:rPr>
                <w:rFonts w:eastAsia="SimSun"/>
                <w:sz w:val="18"/>
                <w:szCs w:val="18"/>
                <w:lang w:val="ru-RU" w:eastAsia="zh-CN"/>
              </w:rPr>
            </w:pPr>
            <w:r w:rsidRPr="009851E0">
              <w:rPr>
                <w:rFonts w:eastAsia="SimSun"/>
                <w:sz w:val="18"/>
                <w:szCs w:val="18"/>
                <w:lang w:val="ru-RU" w:eastAsia="zh-CN"/>
              </w:rPr>
              <w:t>Подъемные пособия и субсидии на репатриацию</w:t>
            </w:r>
          </w:p>
        </w:tc>
        <w:tc>
          <w:tcPr>
            <w:tcW w:w="1417"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12 485</w:t>
            </w:r>
          </w:p>
        </w:tc>
        <w:tc>
          <w:tcPr>
            <w:tcW w:w="1418"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14 667</w:t>
            </w:r>
          </w:p>
        </w:tc>
        <w:tc>
          <w:tcPr>
            <w:tcW w:w="1271"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−2 182</w:t>
            </w:r>
          </w:p>
        </w:tc>
        <w:tc>
          <w:tcPr>
            <w:tcW w:w="1272"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−14,9%</w:t>
            </w:r>
          </w:p>
        </w:tc>
      </w:tr>
      <w:tr w:rsidR="00AB0B47" w:rsidRPr="009851E0" w:rsidTr="00AB0B47">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AB0B47" w:rsidRPr="009851E0" w:rsidRDefault="00AB0B47" w:rsidP="00AB0B47">
            <w:pPr>
              <w:pStyle w:val="Tabletext"/>
              <w:rPr>
                <w:rFonts w:eastAsia="SimSun"/>
                <w:sz w:val="18"/>
                <w:szCs w:val="18"/>
                <w:lang w:val="ru-RU" w:eastAsia="zh-CN"/>
              </w:rPr>
            </w:pPr>
            <w:r w:rsidRPr="009851E0">
              <w:rPr>
                <w:rFonts w:eastAsia="SimSun"/>
                <w:sz w:val="18"/>
                <w:szCs w:val="18"/>
                <w:lang w:val="ru-RU" w:eastAsia="zh-CN"/>
              </w:rPr>
              <w:t>Накопленные дни отпуска</w:t>
            </w:r>
          </w:p>
        </w:tc>
        <w:tc>
          <w:tcPr>
            <w:tcW w:w="1417"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8 576</w:t>
            </w:r>
          </w:p>
        </w:tc>
        <w:tc>
          <w:tcPr>
            <w:tcW w:w="1418"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8 491</w:t>
            </w:r>
          </w:p>
        </w:tc>
        <w:tc>
          <w:tcPr>
            <w:tcW w:w="1271"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85</w:t>
            </w:r>
          </w:p>
        </w:tc>
        <w:tc>
          <w:tcPr>
            <w:tcW w:w="1272" w:type="dxa"/>
            <w:tcBorders>
              <w:top w:val="nil"/>
              <w:left w:val="nil"/>
              <w:bottom w:val="single" w:sz="4" w:space="0" w:color="auto"/>
              <w:right w:val="single" w:sz="4" w:space="0" w:color="auto"/>
            </w:tcBorders>
            <w:shd w:val="clear" w:color="auto" w:fill="auto"/>
            <w:noWrap/>
            <w:vAlign w:val="bottom"/>
          </w:tcPr>
          <w:p w:rsidR="00AB0B47" w:rsidRPr="009851E0" w:rsidRDefault="00AB0B47" w:rsidP="00AB0B47">
            <w:pPr>
              <w:pStyle w:val="Tabletext"/>
              <w:ind w:right="284"/>
              <w:jc w:val="right"/>
              <w:rPr>
                <w:rFonts w:eastAsia="SimSun"/>
                <w:sz w:val="18"/>
                <w:szCs w:val="18"/>
                <w:lang w:val="ru-RU" w:eastAsia="zh-CN"/>
              </w:rPr>
            </w:pPr>
            <w:r w:rsidRPr="009851E0">
              <w:rPr>
                <w:rFonts w:eastAsia="SimSun"/>
                <w:sz w:val="18"/>
                <w:szCs w:val="18"/>
                <w:lang w:val="ru-RU" w:eastAsia="zh-CN"/>
              </w:rPr>
              <w:t>1,0%</w:t>
            </w:r>
          </w:p>
        </w:tc>
      </w:tr>
      <w:tr w:rsidR="00AB0B47" w:rsidRPr="009851E0" w:rsidTr="00AB0B47">
        <w:tc>
          <w:tcPr>
            <w:tcW w:w="4248" w:type="dxa"/>
            <w:tcBorders>
              <w:top w:val="nil"/>
              <w:left w:val="single" w:sz="4" w:space="0" w:color="auto"/>
              <w:bottom w:val="single" w:sz="4" w:space="0" w:color="auto"/>
              <w:right w:val="single" w:sz="4" w:space="0" w:color="auto"/>
            </w:tcBorders>
            <w:shd w:val="clear" w:color="000000" w:fill="DCE6F1"/>
            <w:noWrap/>
            <w:vAlign w:val="center"/>
            <w:hideMark/>
          </w:tcPr>
          <w:p w:rsidR="00AB0B47" w:rsidRPr="009851E0" w:rsidRDefault="00AB0B47" w:rsidP="00AB0B47">
            <w:pPr>
              <w:pStyle w:val="Tabletext"/>
              <w:rPr>
                <w:rFonts w:eastAsia="SimSun"/>
                <w:b/>
                <w:bCs/>
                <w:sz w:val="18"/>
                <w:szCs w:val="18"/>
                <w:lang w:val="ru-RU" w:eastAsia="zh-CN"/>
              </w:rPr>
            </w:pPr>
            <w:r w:rsidRPr="009851E0">
              <w:rPr>
                <w:rFonts w:eastAsia="SimSun"/>
                <w:b/>
                <w:bCs/>
                <w:sz w:val="18"/>
                <w:szCs w:val="18"/>
                <w:lang w:val="ru-RU" w:eastAsia="zh-CN"/>
              </w:rPr>
              <w:t>Всего</w:t>
            </w:r>
          </w:p>
        </w:tc>
        <w:tc>
          <w:tcPr>
            <w:tcW w:w="1417" w:type="dxa"/>
            <w:tcBorders>
              <w:top w:val="nil"/>
              <w:left w:val="nil"/>
              <w:bottom w:val="single" w:sz="4" w:space="0" w:color="auto"/>
              <w:right w:val="single" w:sz="4" w:space="0" w:color="auto"/>
            </w:tcBorders>
            <w:shd w:val="clear" w:color="000000" w:fill="DCE6F1"/>
            <w:noWrap/>
            <w:vAlign w:val="bottom"/>
          </w:tcPr>
          <w:p w:rsidR="00AB0B47" w:rsidRPr="009851E0" w:rsidRDefault="00AB0B47" w:rsidP="00AB0B47">
            <w:pPr>
              <w:pStyle w:val="Tabletext"/>
              <w:ind w:right="284"/>
              <w:jc w:val="right"/>
              <w:rPr>
                <w:rFonts w:eastAsia="SimSun"/>
                <w:b/>
                <w:bCs/>
                <w:sz w:val="18"/>
                <w:szCs w:val="18"/>
                <w:lang w:val="ru-RU" w:eastAsia="zh-CN"/>
              </w:rPr>
            </w:pPr>
            <w:r w:rsidRPr="009851E0">
              <w:rPr>
                <w:rFonts w:eastAsia="SimSun"/>
                <w:b/>
                <w:bCs/>
                <w:sz w:val="18"/>
                <w:szCs w:val="18"/>
                <w:lang w:val="ru-RU" w:eastAsia="zh-CN"/>
              </w:rPr>
              <w:t>638 365</w:t>
            </w:r>
          </w:p>
        </w:tc>
        <w:tc>
          <w:tcPr>
            <w:tcW w:w="1418" w:type="dxa"/>
            <w:tcBorders>
              <w:top w:val="nil"/>
              <w:left w:val="nil"/>
              <w:bottom w:val="single" w:sz="4" w:space="0" w:color="auto"/>
              <w:right w:val="single" w:sz="4" w:space="0" w:color="auto"/>
            </w:tcBorders>
            <w:shd w:val="clear" w:color="000000" w:fill="DCE6F1"/>
            <w:noWrap/>
            <w:vAlign w:val="bottom"/>
          </w:tcPr>
          <w:p w:rsidR="00AB0B47" w:rsidRPr="009851E0" w:rsidRDefault="00AB0B47" w:rsidP="00AB0B47">
            <w:pPr>
              <w:pStyle w:val="Tabletext"/>
              <w:ind w:right="284"/>
              <w:jc w:val="right"/>
              <w:rPr>
                <w:rFonts w:eastAsia="SimSun"/>
                <w:b/>
                <w:bCs/>
                <w:sz w:val="18"/>
                <w:szCs w:val="18"/>
                <w:lang w:val="ru-RU" w:eastAsia="zh-CN"/>
              </w:rPr>
            </w:pPr>
            <w:r w:rsidRPr="009851E0">
              <w:rPr>
                <w:rFonts w:eastAsia="SimSun"/>
                <w:b/>
                <w:bCs/>
                <w:sz w:val="18"/>
                <w:szCs w:val="18"/>
                <w:lang w:val="ru-RU" w:eastAsia="zh-CN"/>
              </w:rPr>
              <w:t>575 123</w:t>
            </w:r>
          </w:p>
        </w:tc>
        <w:tc>
          <w:tcPr>
            <w:tcW w:w="1271" w:type="dxa"/>
            <w:tcBorders>
              <w:top w:val="nil"/>
              <w:left w:val="nil"/>
              <w:bottom w:val="single" w:sz="4" w:space="0" w:color="auto"/>
              <w:right w:val="single" w:sz="4" w:space="0" w:color="auto"/>
            </w:tcBorders>
            <w:shd w:val="clear" w:color="000000" w:fill="DCE6F1"/>
            <w:noWrap/>
            <w:vAlign w:val="bottom"/>
            <w:hideMark/>
          </w:tcPr>
          <w:p w:rsidR="00AB0B47" w:rsidRPr="009851E0" w:rsidRDefault="00AB0B47" w:rsidP="00AB0B47">
            <w:pPr>
              <w:pStyle w:val="Tabletext"/>
              <w:ind w:right="284"/>
              <w:jc w:val="right"/>
              <w:rPr>
                <w:rFonts w:eastAsia="SimSun"/>
                <w:b/>
                <w:bCs/>
                <w:sz w:val="18"/>
                <w:szCs w:val="18"/>
                <w:lang w:val="ru-RU" w:eastAsia="zh-CN"/>
              </w:rPr>
            </w:pPr>
          </w:p>
        </w:tc>
        <w:tc>
          <w:tcPr>
            <w:tcW w:w="1272" w:type="dxa"/>
            <w:tcBorders>
              <w:top w:val="nil"/>
              <w:left w:val="nil"/>
              <w:bottom w:val="single" w:sz="4" w:space="0" w:color="auto"/>
              <w:right w:val="single" w:sz="4" w:space="0" w:color="auto"/>
            </w:tcBorders>
            <w:shd w:val="clear" w:color="000000" w:fill="DCE6F1"/>
            <w:noWrap/>
            <w:vAlign w:val="bottom"/>
            <w:hideMark/>
          </w:tcPr>
          <w:p w:rsidR="00AB0B47" w:rsidRPr="009851E0" w:rsidRDefault="00AB0B47" w:rsidP="00AB0B47">
            <w:pPr>
              <w:pStyle w:val="Tabletext"/>
              <w:ind w:right="284"/>
              <w:jc w:val="right"/>
              <w:rPr>
                <w:rFonts w:eastAsia="SimSun"/>
                <w:b/>
                <w:bCs/>
                <w:sz w:val="18"/>
                <w:szCs w:val="18"/>
                <w:lang w:val="ru-RU" w:eastAsia="zh-CN"/>
              </w:rPr>
            </w:pPr>
          </w:p>
        </w:tc>
      </w:tr>
    </w:tbl>
    <w:p w:rsidR="00EB539F" w:rsidRPr="009851E0" w:rsidRDefault="00EB539F" w:rsidP="00170A17">
      <w:pPr>
        <w:pStyle w:val="Heading1"/>
        <w:rPr>
          <w:lang w:val="ru-RU"/>
        </w:rPr>
      </w:pPr>
      <w:bookmarkStart w:id="209" w:name="_Toc356330896"/>
      <w:bookmarkStart w:id="210" w:name="_Toc358192845"/>
      <w:bookmarkStart w:id="211" w:name="_Toc398125328"/>
      <w:bookmarkStart w:id="212" w:name="_Toc398125807"/>
      <w:bookmarkStart w:id="213" w:name="_Toc398127100"/>
      <w:bookmarkStart w:id="214" w:name="_Toc452157321"/>
      <w:bookmarkStart w:id="215" w:name="_Toc482995188"/>
      <w:bookmarkStart w:id="216" w:name="_Toc522633578"/>
      <w:r w:rsidRPr="009851E0">
        <w:rPr>
          <w:lang w:val="ru-RU"/>
        </w:rPr>
        <w:t xml:space="preserve">Вознаграждение сотрудников, </w:t>
      </w:r>
      <w:bookmarkEnd w:id="209"/>
      <w:bookmarkEnd w:id="210"/>
      <w:bookmarkEnd w:id="211"/>
      <w:bookmarkEnd w:id="212"/>
      <w:bookmarkEnd w:id="213"/>
      <w:r w:rsidRPr="009851E0">
        <w:rPr>
          <w:lang w:val="ru-RU"/>
        </w:rPr>
        <w:t>работающих на основе долгосрочных контрактов</w:t>
      </w:r>
      <w:bookmarkEnd w:id="214"/>
      <w:bookmarkEnd w:id="215"/>
      <w:bookmarkEnd w:id="216"/>
    </w:p>
    <w:p w:rsidR="00EB539F" w:rsidRPr="009851E0" w:rsidRDefault="000227CB" w:rsidP="0088588B">
      <w:pPr>
        <w:rPr>
          <w:lang w:val="ru-RU"/>
        </w:rPr>
      </w:pPr>
      <w:r w:rsidRPr="009851E0">
        <w:rPr>
          <w:lang w:val="ru-RU"/>
        </w:rPr>
        <w:t>45</w:t>
      </w:r>
      <w:r w:rsidR="00EB539F" w:rsidRPr="009851E0">
        <w:rPr>
          <w:lang w:val="ru-RU"/>
        </w:rPr>
        <w:tab/>
        <w:t>Как показано в приведенной выше таблице, в 201</w:t>
      </w:r>
      <w:r w:rsidRPr="009851E0">
        <w:rPr>
          <w:lang w:val="ru-RU"/>
        </w:rPr>
        <w:t>7</w:t>
      </w:r>
      <w:r w:rsidR="00EB539F" w:rsidRPr="009851E0">
        <w:rPr>
          <w:lang w:val="ru-RU"/>
        </w:rPr>
        <w:t xml:space="preserve"> году сумма по подразделу "Нетекущие пассивы" (относящаяся к вознаграждению сотрудников, работающих на основе долгосрочных контрактов) составила </w:t>
      </w:r>
      <w:r w:rsidRPr="009851E0">
        <w:rPr>
          <w:lang w:val="ru-RU"/>
        </w:rPr>
        <w:t>638</w:t>
      </w:r>
      <w:r w:rsidR="00EB539F" w:rsidRPr="009851E0">
        <w:rPr>
          <w:lang w:val="ru-RU"/>
        </w:rPr>
        <w:t>,</w:t>
      </w:r>
      <w:r w:rsidRPr="009851E0">
        <w:rPr>
          <w:lang w:val="ru-RU"/>
        </w:rPr>
        <w:t>3</w:t>
      </w:r>
      <w:r w:rsidR="00EB539F" w:rsidRPr="009851E0">
        <w:rPr>
          <w:lang w:val="ru-RU"/>
        </w:rPr>
        <w:t xml:space="preserve"> млн. швейцарских франков, </w:t>
      </w:r>
      <w:r w:rsidR="005F4864" w:rsidRPr="009851E0">
        <w:rPr>
          <w:lang w:val="ru-RU"/>
        </w:rPr>
        <w:t xml:space="preserve">увеличившись </w:t>
      </w:r>
      <w:r w:rsidR="00EB539F" w:rsidRPr="009851E0">
        <w:rPr>
          <w:lang w:val="ru-RU"/>
        </w:rPr>
        <w:t xml:space="preserve">на </w:t>
      </w:r>
      <w:r w:rsidRPr="009851E0">
        <w:rPr>
          <w:lang w:val="ru-RU"/>
        </w:rPr>
        <w:t>63</w:t>
      </w:r>
      <w:r w:rsidR="00EB539F" w:rsidRPr="009851E0">
        <w:rPr>
          <w:lang w:val="ru-RU"/>
        </w:rPr>
        <w:t>,</w:t>
      </w:r>
      <w:r w:rsidRPr="009851E0">
        <w:rPr>
          <w:lang w:val="ru-RU"/>
        </w:rPr>
        <w:t>2</w:t>
      </w:r>
      <w:r w:rsidR="00EB539F" w:rsidRPr="009851E0">
        <w:rPr>
          <w:lang w:val="ru-RU"/>
        </w:rPr>
        <w:t> млн. швейцарских франков (</w:t>
      </w:r>
      <w:r w:rsidR="0088588B" w:rsidRPr="009851E0">
        <w:rPr>
          <w:lang w:val="ru-RU"/>
        </w:rPr>
        <w:t>+11</w:t>
      </w:r>
      <w:r w:rsidR="00EB539F" w:rsidRPr="009851E0">
        <w:rPr>
          <w:lang w:val="ru-RU"/>
        </w:rPr>
        <w:t xml:space="preserve">%) по сравнению с </w:t>
      </w:r>
      <w:r w:rsidRPr="009851E0">
        <w:rPr>
          <w:lang w:val="ru-RU"/>
        </w:rPr>
        <w:t>575</w:t>
      </w:r>
      <w:r w:rsidR="00EB539F" w:rsidRPr="009851E0">
        <w:rPr>
          <w:lang w:val="ru-RU"/>
        </w:rPr>
        <w:t>,</w:t>
      </w:r>
      <w:r w:rsidRPr="009851E0">
        <w:rPr>
          <w:lang w:val="ru-RU"/>
        </w:rPr>
        <w:t>1</w:t>
      </w:r>
      <w:r w:rsidR="00EB539F" w:rsidRPr="009851E0">
        <w:rPr>
          <w:lang w:val="ru-RU"/>
        </w:rPr>
        <w:t> млн. швейцарских франков в 201</w:t>
      </w:r>
      <w:r w:rsidRPr="009851E0">
        <w:rPr>
          <w:lang w:val="ru-RU"/>
        </w:rPr>
        <w:t>6</w:t>
      </w:r>
      <w:r w:rsidR="00EB539F" w:rsidRPr="009851E0">
        <w:rPr>
          <w:lang w:val="ru-RU"/>
        </w:rPr>
        <w:t xml:space="preserve"> году. Это составило </w:t>
      </w:r>
      <w:r w:rsidRPr="009851E0">
        <w:rPr>
          <w:lang w:val="ru-RU"/>
        </w:rPr>
        <w:t>90</w:t>
      </w:r>
      <w:r w:rsidR="00EB539F" w:rsidRPr="009851E0">
        <w:rPr>
          <w:lang w:val="ru-RU"/>
        </w:rPr>
        <w:t>,</w:t>
      </w:r>
      <w:r w:rsidRPr="009851E0">
        <w:rPr>
          <w:lang w:val="ru-RU"/>
        </w:rPr>
        <w:t>4</w:t>
      </w:r>
      <w:r w:rsidR="00EB539F" w:rsidRPr="009851E0">
        <w:rPr>
          <w:lang w:val="ru-RU"/>
        </w:rPr>
        <w:t xml:space="preserve">% </w:t>
      </w:r>
      <w:r w:rsidRPr="009851E0">
        <w:rPr>
          <w:lang w:val="ru-RU"/>
        </w:rPr>
        <w:t>от общих нетекущих пассивов и 74</w:t>
      </w:r>
      <w:r w:rsidR="00EB539F" w:rsidRPr="009851E0">
        <w:rPr>
          <w:lang w:val="ru-RU"/>
        </w:rPr>
        <w:t>,</w:t>
      </w:r>
      <w:r w:rsidR="00B335C9" w:rsidRPr="009851E0">
        <w:rPr>
          <w:lang w:val="ru-RU"/>
        </w:rPr>
        <w:t>6</w:t>
      </w:r>
      <w:r w:rsidR="00EB539F" w:rsidRPr="009851E0">
        <w:rPr>
          <w:lang w:val="ru-RU"/>
        </w:rPr>
        <w:t>% от общих пассивов. Данный раздел включает актуарные обязательства по пособиям, причитающимся после прекращения службы, которые связаны с планом медицинского страхования после прекращения службы (АСХИ) (</w:t>
      </w:r>
      <w:r w:rsidRPr="009851E0">
        <w:rPr>
          <w:lang w:val="ru-RU"/>
        </w:rPr>
        <w:t>617</w:t>
      </w:r>
      <w:r w:rsidR="00B335C9" w:rsidRPr="009851E0">
        <w:rPr>
          <w:lang w:val="ru-RU"/>
        </w:rPr>
        <w:t>,</w:t>
      </w:r>
      <w:r w:rsidRPr="009851E0">
        <w:rPr>
          <w:lang w:val="ru-RU"/>
        </w:rPr>
        <w:t>2</w:t>
      </w:r>
      <w:r w:rsidR="00EB539F" w:rsidRPr="009851E0">
        <w:rPr>
          <w:lang w:val="ru-RU"/>
        </w:rPr>
        <w:t xml:space="preserve"> млн. швейцарских франков; в 201</w:t>
      </w:r>
      <w:r w:rsidRPr="009851E0">
        <w:rPr>
          <w:lang w:val="ru-RU"/>
        </w:rPr>
        <w:t>6</w:t>
      </w:r>
      <w:r w:rsidR="00B335C9" w:rsidRPr="009851E0">
        <w:rPr>
          <w:lang w:val="ru-RU"/>
        </w:rPr>
        <w:t> г</w:t>
      </w:r>
      <w:r w:rsidRPr="009851E0">
        <w:rPr>
          <w:lang w:val="ru-RU"/>
        </w:rPr>
        <w:t>.</w:t>
      </w:r>
      <w:r w:rsidR="00B335C9" w:rsidRPr="009851E0">
        <w:rPr>
          <w:lang w:val="ru-RU"/>
        </w:rPr>
        <w:t xml:space="preserve"> − </w:t>
      </w:r>
      <w:r w:rsidRPr="009851E0">
        <w:rPr>
          <w:lang w:val="ru-RU"/>
        </w:rPr>
        <w:t>551,9</w:t>
      </w:r>
      <w:r w:rsidR="00EB539F" w:rsidRPr="009851E0">
        <w:rPr>
          <w:lang w:val="ru-RU"/>
        </w:rPr>
        <w:t> млн. швейцарских франков), резервный фонд для оценочных обязательств по субсидиям на репатриацию (</w:t>
      </w:r>
      <w:r w:rsidRPr="009851E0">
        <w:rPr>
          <w:lang w:val="ru-RU"/>
        </w:rPr>
        <w:t>12</w:t>
      </w:r>
      <w:r w:rsidR="00EB539F" w:rsidRPr="009851E0">
        <w:rPr>
          <w:lang w:val="ru-RU"/>
        </w:rPr>
        <w:t>,</w:t>
      </w:r>
      <w:r w:rsidRPr="009851E0">
        <w:rPr>
          <w:lang w:val="ru-RU"/>
        </w:rPr>
        <w:t>5</w:t>
      </w:r>
      <w:r w:rsidR="00EB539F" w:rsidRPr="009851E0">
        <w:rPr>
          <w:lang w:val="ru-RU"/>
        </w:rPr>
        <w:t> млн. швейцарских франков; в 201</w:t>
      </w:r>
      <w:r w:rsidRPr="009851E0">
        <w:rPr>
          <w:lang w:val="ru-RU"/>
        </w:rPr>
        <w:t>6</w:t>
      </w:r>
      <w:r w:rsidR="00EB539F" w:rsidRPr="009851E0">
        <w:rPr>
          <w:lang w:val="ru-RU"/>
        </w:rPr>
        <w:t> г</w:t>
      </w:r>
      <w:r w:rsidRPr="009851E0">
        <w:rPr>
          <w:lang w:val="ru-RU"/>
        </w:rPr>
        <w:t>.</w:t>
      </w:r>
      <w:r w:rsidR="00EB539F" w:rsidRPr="009851E0">
        <w:rPr>
          <w:lang w:val="ru-RU"/>
        </w:rPr>
        <w:t xml:space="preserve"> − </w:t>
      </w:r>
      <w:r w:rsidRPr="009851E0">
        <w:rPr>
          <w:lang w:val="ru-RU"/>
        </w:rPr>
        <w:t>14</w:t>
      </w:r>
      <w:r w:rsidR="00EB539F" w:rsidRPr="009851E0">
        <w:rPr>
          <w:lang w:val="ru-RU"/>
        </w:rPr>
        <w:t>,</w:t>
      </w:r>
      <w:r w:rsidRPr="009851E0">
        <w:rPr>
          <w:lang w:val="ru-RU"/>
        </w:rPr>
        <w:t>7</w:t>
      </w:r>
      <w:r w:rsidR="00EB539F" w:rsidRPr="009851E0">
        <w:rPr>
          <w:lang w:val="ru-RU"/>
        </w:rPr>
        <w:t> млн. швейцарских франков) и резервный фонд для опла</w:t>
      </w:r>
      <w:r w:rsidR="00C374B5" w:rsidRPr="009851E0">
        <w:rPr>
          <w:lang w:val="ru-RU"/>
        </w:rPr>
        <w:t>ты накопленных дней отпуска (8,</w:t>
      </w:r>
      <w:r w:rsidRPr="009851E0">
        <w:rPr>
          <w:lang w:val="ru-RU"/>
        </w:rPr>
        <w:t>6</w:t>
      </w:r>
      <w:r w:rsidR="00EB539F" w:rsidRPr="009851E0">
        <w:rPr>
          <w:lang w:val="ru-RU"/>
        </w:rPr>
        <w:t> млн. швейцарских франков; в 201</w:t>
      </w:r>
      <w:r w:rsidRPr="009851E0">
        <w:rPr>
          <w:lang w:val="ru-RU"/>
        </w:rPr>
        <w:t>6</w:t>
      </w:r>
      <w:r w:rsidR="00EB539F" w:rsidRPr="009851E0">
        <w:rPr>
          <w:lang w:val="ru-RU"/>
        </w:rPr>
        <w:t> г</w:t>
      </w:r>
      <w:r w:rsidRPr="009851E0">
        <w:rPr>
          <w:lang w:val="ru-RU"/>
        </w:rPr>
        <w:t>. − 8</w:t>
      </w:r>
      <w:r w:rsidR="00EB539F" w:rsidRPr="009851E0">
        <w:rPr>
          <w:lang w:val="ru-RU"/>
        </w:rPr>
        <w:t>,</w:t>
      </w:r>
      <w:r w:rsidRPr="009851E0">
        <w:rPr>
          <w:lang w:val="ru-RU"/>
        </w:rPr>
        <w:t>5</w:t>
      </w:r>
      <w:r w:rsidR="00EB539F" w:rsidRPr="009851E0">
        <w:rPr>
          <w:lang w:val="ru-RU"/>
        </w:rPr>
        <w:t> млн. швейцарских франков). Подробное описание и разбивка вознаграждения сотрудников</w:t>
      </w:r>
      <w:r w:rsidR="0063684F" w:rsidRPr="009851E0">
        <w:rPr>
          <w:lang w:val="ru-RU"/>
        </w:rPr>
        <w:t>, работающих на основе долгосрочных контрактов,</w:t>
      </w:r>
      <w:r w:rsidR="00EB539F" w:rsidRPr="009851E0">
        <w:rPr>
          <w:lang w:val="ru-RU"/>
        </w:rPr>
        <w:t xml:space="preserve"> </w:t>
      </w:r>
      <w:r w:rsidR="00955627" w:rsidRPr="009851E0">
        <w:rPr>
          <w:lang w:val="ru-RU"/>
        </w:rPr>
        <w:t>показаны в Примечании 1</w:t>
      </w:r>
      <w:r w:rsidRPr="009851E0">
        <w:rPr>
          <w:lang w:val="ru-RU"/>
        </w:rPr>
        <w:t>7</w:t>
      </w:r>
      <w:r w:rsidR="00EB539F" w:rsidRPr="009851E0">
        <w:rPr>
          <w:lang w:val="ru-RU"/>
        </w:rPr>
        <w:t xml:space="preserve">.2 к Отчету о финансовой деятельности. </w:t>
      </w:r>
    </w:p>
    <w:p w:rsidR="00EB539F" w:rsidRPr="009851E0" w:rsidRDefault="00EB539F" w:rsidP="00170A17">
      <w:pPr>
        <w:pStyle w:val="Heading1"/>
        <w:rPr>
          <w:lang w:val="ru-RU"/>
        </w:rPr>
      </w:pPr>
      <w:bookmarkStart w:id="217" w:name="_Toc356330897"/>
      <w:bookmarkStart w:id="218" w:name="_Toc358192846"/>
      <w:bookmarkStart w:id="219" w:name="_Toc398125329"/>
      <w:bookmarkStart w:id="220" w:name="_Toc398125808"/>
      <w:bookmarkStart w:id="221" w:name="_Toc398127101"/>
      <w:bookmarkStart w:id="222" w:name="_Toc452157322"/>
      <w:bookmarkStart w:id="223" w:name="_Toc482995189"/>
      <w:bookmarkStart w:id="224" w:name="_Toc522633579"/>
      <w:r w:rsidRPr="009851E0">
        <w:rPr>
          <w:lang w:val="ru-RU"/>
        </w:rPr>
        <w:t>Вознаграждение сотрудников: подъемные пособия и субсидии на репатриацию</w:t>
      </w:r>
      <w:bookmarkEnd w:id="217"/>
      <w:bookmarkEnd w:id="218"/>
      <w:bookmarkEnd w:id="219"/>
      <w:bookmarkEnd w:id="220"/>
      <w:bookmarkEnd w:id="221"/>
      <w:bookmarkEnd w:id="222"/>
      <w:bookmarkEnd w:id="223"/>
      <w:bookmarkEnd w:id="224"/>
    </w:p>
    <w:p w:rsidR="00EB539F" w:rsidRPr="009851E0" w:rsidRDefault="002F5709" w:rsidP="00A851D6">
      <w:pPr>
        <w:rPr>
          <w:lang w:val="ru-RU"/>
        </w:rPr>
      </w:pPr>
      <w:r w:rsidRPr="009851E0">
        <w:rPr>
          <w:lang w:val="ru-RU"/>
        </w:rPr>
        <w:t>4</w:t>
      </w:r>
      <w:r w:rsidR="00A851D6" w:rsidRPr="009851E0">
        <w:rPr>
          <w:lang w:val="ru-RU"/>
        </w:rPr>
        <w:t>6</w:t>
      </w:r>
      <w:r w:rsidR="00EB539F" w:rsidRPr="009851E0">
        <w:rPr>
          <w:lang w:val="ru-RU"/>
        </w:rPr>
        <w:tab/>
        <w:t>Как показано в предыдущем пункте, резервные фонды, учтенные по состоянию на 31 декабря 201</w:t>
      </w:r>
      <w:r w:rsidR="00A851D6" w:rsidRPr="009851E0">
        <w:rPr>
          <w:lang w:val="ru-RU"/>
        </w:rPr>
        <w:t>7</w:t>
      </w:r>
      <w:r w:rsidR="00EB539F" w:rsidRPr="009851E0">
        <w:rPr>
          <w:lang w:val="ru-RU"/>
        </w:rPr>
        <w:t> года, для введения в должность и возвращения на родину сотрудников составили 1</w:t>
      </w:r>
      <w:r w:rsidR="00A851D6" w:rsidRPr="009851E0">
        <w:rPr>
          <w:lang w:val="ru-RU"/>
        </w:rPr>
        <w:t>2</w:t>
      </w:r>
      <w:r w:rsidR="00EB539F" w:rsidRPr="009851E0">
        <w:rPr>
          <w:lang w:val="ru-RU"/>
        </w:rPr>
        <w:t>,</w:t>
      </w:r>
      <w:r w:rsidR="00A851D6" w:rsidRPr="009851E0">
        <w:rPr>
          <w:lang w:val="ru-RU"/>
        </w:rPr>
        <w:t>5</w:t>
      </w:r>
      <w:r w:rsidR="00EB539F" w:rsidRPr="009851E0">
        <w:rPr>
          <w:lang w:val="ru-RU"/>
        </w:rPr>
        <w:t> млн. швейцарских франков (в 201</w:t>
      </w:r>
      <w:r w:rsidR="00A851D6" w:rsidRPr="009851E0">
        <w:rPr>
          <w:lang w:val="ru-RU"/>
        </w:rPr>
        <w:t>6</w:t>
      </w:r>
      <w:r w:rsidR="00EB539F" w:rsidRPr="009851E0">
        <w:rPr>
          <w:lang w:val="ru-RU"/>
        </w:rPr>
        <w:t> г. − 1</w:t>
      </w:r>
      <w:r w:rsidR="00A851D6" w:rsidRPr="009851E0">
        <w:rPr>
          <w:lang w:val="ru-RU"/>
        </w:rPr>
        <w:t>4</w:t>
      </w:r>
      <w:r w:rsidR="00EB539F" w:rsidRPr="009851E0">
        <w:rPr>
          <w:lang w:val="ru-RU"/>
        </w:rPr>
        <w:t>,</w:t>
      </w:r>
      <w:r w:rsidR="00A851D6" w:rsidRPr="009851E0">
        <w:rPr>
          <w:lang w:val="ru-RU"/>
        </w:rPr>
        <w:t>7</w:t>
      </w:r>
      <w:r w:rsidR="00EB539F" w:rsidRPr="009851E0">
        <w:rPr>
          <w:lang w:val="ru-RU"/>
        </w:rPr>
        <w:t> млн. швейцарских франков) и рассчитывались в соответствии с актуарным исследованием, для проведения которого руководство привлекло актуария. Результаты исследования пре</w:t>
      </w:r>
      <w:r w:rsidRPr="009851E0">
        <w:rPr>
          <w:lang w:val="ru-RU"/>
        </w:rPr>
        <w:t xml:space="preserve">дставлены в отчете </w:t>
      </w:r>
      <w:r w:rsidR="004B705F" w:rsidRPr="009851E0">
        <w:rPr>
          <w:lang w:val="ru-RU"/>
        </w:rPr>
        <w:t>актуария за</w:t>
      </w:r>
      <w:r w:rsidRPr="009851E0">
        <w:rPr>
          <w:lang w:val="ru-RU"/>
        </w:rPr>
        <w:t xml:space="preserve"> март</w:t>
      </w:r>
      <w:r w:rsidR="00EB539F" w:rsidRPr="009851E0">
        <w:rPr>
          <w:lang w:val="ru-RU"/>
        </w:rPr>
        <w:t xml:space="preserve"> 201</w:t>
      </w:r>
      <w:r w:rsidRPr="009851E0">
        <w:rPr>
          <w:lang w:val="ru-RU"/>
        </w:rPr>
        <w:t>7</w:t>
      </w:r>
      <w:r w:rsidR="00EB539F" w:rsidRPr="009851E0">
        <w:rPr>
          <w:lang w:val="ru-RU"/>
        </w:rPr>
        <w:t xml:space="preserve"> года. </w:t>
      </w:r>
    </w:p>
    <w:p w:rsidR="00EB539F" w:rsidRPr="009851E0" w:rsidRDefault="00EB539F" w:rsidP="00170A17">
      <w:pPr>
        <w:pStyle w:val="Heading1"/>
        <w:rPr>
          <w:lang w:val="ru-RU"/>
        </w:rPr>
      </w:pPr>
      <w:bookmarkStart w:id="225" w:name="_Toc356330899"/>
      <w:bookmarkStart w:id="226" w:name="_Toc358192848"/>
      <w:bookmarkStart w:id="227" w:name="_Toc398125331"/>
      <w:bookmarkStart w:id="228" w:name="_Toc398125810"/>
      <w:bookmarkStart w:id="229" w:name="_Toc398127102"/>
      <w:bookmarkStart w:id="230" w:name="_Toc452157323"/>
      <w:bookmarkStart w:id="231" w:name="_Toc482995190"/>
      <w:bookmarkStart w:id="232" w:name="_Toc522633580"/>
      <w:r w:rsidRPr="009851E0">
        <w:rPr>
          <w:lang w:val="ru-RU"/>
        </w:rPr>
        <w:t>Вознаграждение сотрудников: АСХИ</w:t>
      </w:r>
      <w:bookmarkEnd w:id="225"/>
      <w:bookmarkEnd w:id="226"/>
      <w:bookmarkEnd w:id="227"/>
      <w:bookmarkEnd w:id="228"/>
      <w:bookmarkEnd w:id="229"/>
      <w:bookmarkEnd w:id="230"/>
      <w:bookmarkEnd w:id="231"/>
      <w:bookmarkEnd w:id="232"/>
    </w:p>
    <w:p w:rsidR="00EB539F" w:rsidRPr="009851E0" w:rsidRDefault="008F6432" w:rsidP="0063684F">
      <w:pPr>
        <w:rPr>
          <w:lang w:val="ru-RU"/>
        </w:rPr>
      </w:pPr>
      <w:r w:rsidRPr="009851E0">
        <w:rPr>
          <w:lang w:val="ru-RU"/>
        </w:rPr>
        <w:t>4</w:t>
      </w:r>
      <w:r w:rsidR="00A851D6" w:rsidRPr="009851E0">
        <w:rPr>
          <w:lang w:val="ru-RU"/>
        </w:rPr>
        <w:t>7</w:t>
      </w:r>
      <w:r w:rsidR="00EB539F" w:rsidRPr="009851E0">
        <w:rPr>
          <w:lang w:val="ru-RU"/>
        </w:rPr>
        <w:tab/>
        <w:t>В 201</w:t>
      </w:r>
      <w:r w:rsidR="00A851D6" w:rsidRPr="009851E0">
        <w:rPr>
          <w:lang w:val="ru-RU"/>
        </w:rPr>
        <w:t>7</w:t>
      </w:r>
      <w:r w:rsidR="00EB539F" w:rsidRPr="009851E0">
        <w:rPr>
          <w:lang w:val="ru-RU"/>
        </w:rPr>
        <w:t xml:space="preserve"> году резервный фонд для актуарных обязательств в отношении плана АСХИ составил </w:t>
      </w:r>
      <w:r w:rsidR="00A851D6" w:rsidRPr="009851E0">
        <w:rPr>
          <w:lang w:val="ru-RU"/>
        </w:rPr>
        <w:t>617</w:t>
      </w:r>
      <w:r w:rsidR="00EB539F" w:rsidRPr="009851E0">
        <w:rPr>
          <w:lang w:val="ru-RU"/>
        </w:rPr>
        <w:t>,</w:t>
      </w:r>
      <w:r w:rsidR="00A851D6" w:rsidRPr="009851E0">
        <w:rPr>
          <w:lang w:val="ru-RU"/>
        </w:rPr>
        <w:t>2</w:t>
      </w:r>
      <w:r w:rsidR="00EB539F" w:rsidRPr="009851E0">
        <w:rPr>
          <w:lang w:val="ru-RU"/>
        </w:rPr>
        <w:t> млн. швейцарских франков, у</w:t>
      </w:r>
      <w:r w:rsidR="00507FB3" w:rsidRPr="009851E0">
        <w:rPr>
          <w:lang w:val="ru-RU"/>
        </w:rPr>
        <w:t>величив</w:t>
      </w:r>
      <w:r w:rsidR="00EB539F" w:rsidRPr="009851E0">
        <w:rPr>
          <w:lang w:val="ru-RU"/>
        </w:rPr>
        <w:t xml:space="preserve">шись на </w:t>
      </w:r>
      <w:r w:rsidR="00F30947" w:rsidRPr="009851E0">
        <w:rPr>
          <w:lang w:val="ru-RU"/>
        </w:rPr>
        <w:t>65</w:t>
      </w:r>
      <w:r w:rsidR="00EB539F" w:rsidRPr="009851E0">
        <w:rPr>
          <w:lang w:val="ru-RU"/>
        </w:rPr>
        <w:t>,</w:t>
      </w:r>
      <w:r w:rsidR="00F30947" w:rsidRPr="009851E0">
        <w:rPr>
          <w:lang w:val="ru-RU"/>
        </w:rPr>
        <w:t>3</w:t>
      </w:r>
      <w:r w:rsidR="00EB539F" w:rsidRPr="009851E0">
        <w:rPr>
          <w:lang w:val="ru-RU"/>
        </w:rPr>
        <w:t> млн. швейцарских франков (</w:t>
      </w:r>
      <w:r w:rsidR="00F30947" w:rsidRPr="009851E0">
        <w:rPr>
          <w:lang w:val="ru-RU"/>
        </w:rPr>
        <w:t>+11</w:t>
      </w:r>
      <w:r w:rsidR="004074BA" w:rsidRPr="009851E0">
        <w:rPr>
          <w:lang w:val="ru-RU"/>
        </w:rPr>
        <w:t>,</w:t>
      </w:r>
      <w:r w:rsidR="00F30947" w:rsidRPr="009851E0">
        <w:rPr>
          <w:lang w:val="ru-RU"/>
        </w:rPr>
        <w:t>8</w:t>
      </w:r>
      <w:r w:rsidR="00EB539F" w:rsidRPr="009851E0">
        <w:rPr>
          <w:lang w:val="ru-RU"/>
        </w:rPr>
        <w:t xml:space="preserve">%) по сравнению с </w:t>
      </w:r>
      <w:r w:rsidR="00F30947" w:rsidRPr="009851E0">
        <w:rPr>
          <w:lang w:val="ru-RU"/>
        </w:rPr>
        <w:t>551</w:t>
      </w:r>
      <w:r w:rsidR="00EB539F" w:rsidRPr="009851E0">
        <w:rPr>
          <w:lang w:val="ru-RU"/>
        </w:rPr>
        <w:t>,</w:t>
      </w:r>
      <w:r w:rsidR="00F30947" w:rsidRPr="009851E0">
        <w:rPr>
          <w:lang w:val="ru-RU"/>
        </w:rPr>
        <w:t>9</w:t>
      </w:r>
      <w:r w:rsidR="00EB539F" w:rsidRPr="009851E0">
        <w:rPr>
          <w:lang w:val="ru-RU"/>
        </w:rPr>
        <w:t> млн. швейцарских франков в 201</w:t>
      </w:r>
      <w:r w:rsidR="00F30947" w:rsidRPr="009851E0">
        <w:rPr>
          <w:lang w:val="ru-RU"/>
        </w:rPr>
        <w:t>6</w:t>
      </w:r>
      <w:r w:rsidR="00EB539F" w:rsidRPr="009851E0">
        <w:rPr>
          <w:lang w:val="ru-RU"/>
        </w:rPr>
        <w:t> году. Это у</w:t>
      </w:r>
      <w:r w:rsidR="00507FB3" w:rsidRPr="009851E0">
        <w:rPr>
          <w:lang w:val="ru-RU"/>
        </w:rPr>
        <w:t>велич</w:t>
      </w:r>
      <w:r w:rsidR="00691D8E" w:rsidRPr="009851E0">
        <w:rPr>
          <w:lang w:val="ru-RU"/>
        </w:rPr>
        <w:t xml:space="preserve">ение в основном обусловлено </w:t>
      </w:r>
      <w:r w:rsidR="0063684F" w:rsidRPr="009851E0">
        <w:rPr>
          <w:lang w:val="ru-RU"/>
        </w:rPr>
        <w:t>обновлением демографических допущений на основании таблицы, предоставленной Организацией Объединенных Наций, а также небольшим</w:t>
      </w:r>
      <w:r w:rsidR="00F30947" w:rsidRPr="009851E0">
        <w:rPr>
          <w:lang w:val="ru-RU"/>
        </w:rPr>
        <w:t xml:space="preserve"> </w:t>
      </w:r>
      <w:r w:rsidR="00691D8E" w:rsidRPr="009851E0">
        <w:rPr>
          <w:lang w:val="ru-RU"/>
        </w:rPr>
        <w:t>сниж</w:t>
      </w:r>
      <w:r w:rsidR="00EB539F" w:rsidRPr="009851E0">
        <w:rPr>
          <w:lang w:val="ru-RU"/>
        </w:rPr>
        <w:t>ение</w:t>
      </w:r>
      <w:r w:rsidR="00507FB3" w:rsidRPr="009851E0">
        <w:rPr>
          <w:lang w:val="ru-RU"/>
        </w:rPr>
        <w:t>м</w:t>
      </w:r>
      <w:r w:rsidR="00EB539F" w:rsidRPr="009851E0">
        <w:rPr>
          <w:lang w:val="ru-RU"/>
        </w:rPr>
        <w:t xml:space="preserve"> ставки дисконтирования. Данный расчет на основе актуарных допущений был выполнен актуарием.</w:t>
      </w:r>
    </w:p>
    <w:p w:rsidR="00EB539F" w:rsidRPr="009851E0" w:rsidRDefault="00EB539F" w:rsidP="00170A17">
      <w:pPr>
        <w:pStyle w:val="Heading1"/>
        <w:rPr>
          <w:lang w:val="ru-RU"/>
        </w:rPr>
      </w:pPr>
      <w:bookmarkStart w:id="233" w:name="_Toc452157324"/>
      <w:bookmarkStart w:id="234" w:name="_Toc482995191"/>
      <w:bookmarkStart w:id="235" w:name="_Toc522633581"/>
      <w:r w:rsidRPr="009851E0">
        <w:rPr>
          <w:lang w:val="ru-RU"/>
        </w:rPr>
        <w:t>На отрицательное значение чистых активов влияют актуарные обязательства</w:t>
      </w:r>
      <w:bookmarkEnd w:id="233"/>
      <w:bookmarkEnd w:id="234"/>
      <w:bookmarkEnd w:id="235"/>
    </w:p>
    <w:p w:rsidR="00EB539F" w:rsidRPr="009851E0" w:rsidRDefault="00F555F2" w:rsidP="00046530">
      <w:pPr>
        <w:rPr>
          <w:lang w:val="ru-RU"/>
        </w:rPr>
      </w:pPr>
      <w:r w:rsidRPr="009851E0">
        <w:rPr>
          <w:lang w:val="ru-RU"/>
        </w:rPr>
        <w:t>4</w:t>
      </w:r>
      <w:r w:rsidR="00046530" w:rsidRPr="009851E0">
        <w:rPr>
          <w:lang w:val="ru-RU"/>
        </w:rPr>
        <w:t>8</w:t>
      </w:r>
      <w:r w:rsidR="00EB539F" w:rsidRPr="009851E0">
        <w:rPr>
          <w:lang w:val="ru-RU"/>
        </w:rPr>
        <w:tab/>
        <w:t>Значительная величина актуарных потерь АСХИ (</w:t>
      </w:r>
      <w:r w:rsidR="00046530" w:rsidRPr="009851E0">
        <w:rPr>
          <w:lang w:val="ru-RU"/>
        </w:rPr>
        <w:t>369</w:t>
      </w:r>
      <w:r w:rsidR="00EB539F" w:rsidRPr="009851E0">
        <w:rPr>
          <w:lang w:val="ru-RU"/>
        </w:rPr>
        <w:t>,</w:t>
      </w:r>
      <w:r w:rsidR="00046530" w:rsidRPr="009851E0">
        <w:rPr>
          <w:lang w:val="ru-RU"/>
        </w:rPr>
        <w:t>7</w:t>
      </w:r>
      <w:r w:rsidR="00EB539F" w:rsidRPr="009851E0">
        <w:rPr>
          <w:lang w:val="ru-RU"/>
        </w:rPr>
        <w:t> млн. швейцарских франков) оказывает существенное воздействие на чистые активы МСЭ, и по этой причине, как и в прошлые годы, часть нашей аудиторской проверки мы посвятили вопросам правильности и надежности сумм раздела "Вознаграждение сотрудников".</w:t>
      </w:r>
    </w:p>
    <w:p w:rsidR="00EB539F" w:rsidRPr="009851E0" w:rsidRDefault="00E2649F" w:rsidP="00046530">
      <w:pPr>
        <w:rPr>
          <w:lang w:val="ru-RU"/>
        </w:rPr>
      </w:pPr>
      <w:r w:rsidRPr="009851E0">
        <w:rPr>
          <w:lang w:val="ru-RU"/>
        </w:rPr>
        <w:t>4</w:t>
      </w:r>
      <w:r w:rsidR="00046530" w:rsidRPr="009851E0">
        <w:rPr>
          <w:lang w:val="ru-RU"/>
        </w:rPr>
        <w:t>9</w:t>
      </w:r>
      <w:r w:rsidR="00EB539F" w:rsidRPr="009851E0">
        <w:rPr>
          <w:lang w:val="ru-RU"/>
        </w:rPr>
        <w:tab/>
        <w:t xml:space="preserve">Выбор актуарных допущений является исключительной ответственностью руководства. Внешний аудитор проверяет их правдоподобие и </w:t>
      </w:r>
      <w:r w:rsidR="00046530" w:rsidRPr="009851E0">
        <w:rPr>
          <w:lang w:val="ru-RU"/>
        </w:rPr>
        <w:t xml:space="preserve">их соответствие стандарту IPSAS </w:t>
      </w:r>
      <w:r w:rsidR="00EB539F" w:rsidRPr="009851E0">
        <w:rPr>
          <w:lang w:val="ru-RU"/>
        </w:rPr>
        <w:t xml:space="preserve">и допущениям, использовавшимся в предыдущем году, а также подтверждает их правильность. </w:t>
      </w:r>
    </w:p>
    <w:p w:rsidR="00046530" w:rsidRPr="009851E0" w:rsidRDefault="00046530" w:rsidP="00784B43">
      <w:pPr>
        <w:rPr>
          <w:lang w:val="ru-RU"/>
        </w:rPr>
      </w:pPr>
      <w:r w:rsidRPr="009851E0">
        <w:rPr>
          <w:lang w:val="ru-RU"/>
        </w:rPr>
        <w:t>50</w:t>
      </w:r>
      <w:r w:rsidRPr="009851E0">
        <w:rPr>
          <w:lang w:val="ru-RU"/>
        </w:rPr>
        <w:tab/>
      </w:r>
      <w:r w:rsidR="0063684F" w:rsidRPr="009851E0">
        <w:rPr>
          <w:lang w:val="ru-RU"/>
        </w:rPr>
        <w:t>На</w:t>
      </w:r>
      <w:r w:rsidRPr="009851E0">
        <w:rPr>
          <w:lang w:val="ru-RU"/>
        </w:rPr>
        <w:t xml:space="preserve"> 2017</w:t>
      </w:r>
      <w:r w:rsidR="0063684F" w:rsidRPr="009851E0">
        <w:rPr>
          <w:lang w:val="ru-RU"/>
        </w:rPr>
        <w:t> год Союз решил принять новый стандарт</w:t>
      </w:r>
      <w:r w:rsidRPr="009851E0">
        <w:rPr>
          <w:lang w:val="ru-RU"/>
        </w:rPr>
        <w:t xml:space="preserve"> IPSAS 39 </w:t>
      </w:r>
      <w:r w:rsidR="0063684F" w:rsidRPr="009851E0">
        <w:rPr>
          <w:lang w:val="ru-RU"/>
        </w:rPr>
        <w:t>вместо стандарта</w:t>
      </w:r>
      <w:r w:rsidRPr="009851E0">
        <w:rPr>
          <w:lang w:val="ru-RU"/>
        </w:rPr>
        <w:t xml:space="preserve"> IPSAS 25. </w:t>
      </w:r>
      <w:r w:rsidR="0063684F" w:rsidRPr="009851E0">
        <w:rPr>
          <w:lang w:val="ru-RU"/>
        </w:rPr>
        <w:t>Новый стандарт является обязательным начиная с 2018 финансового года</w:t>
      </w:r>
      <w:r w:rsidR="00784B43" w:rsidRPr="009851E0">
        <w:rPr>
          <w:lang w:val="ru-RU"/>
        </w:rPr>
        <w:t>, но организации имели возможность ранее начать применять этот стандарт</w:t>
      </w:r>
      <w:r w:rsidRPr="009851E0">
        <w:rPr>
          <w:lang w:val="ru-RU"/>
        </w:rPr>
        <w:t>.</w:t>
      </w:r>
    </w:p>
    <w:p w:rsidR="00046530" w:rsidRPr="009851E0" w:rsidRDefault="00046530" w:rsidP="00784B43">
      <w:pPr>
        <w:rPr>
          <w:lang w:val="ru-RU"/>
        </w:rPr>
      </w:pPr>
      <w:r w:rsidRPr="009851E0">
        <w:rPr>
          <w:lang w:val="ru-RU"/>
        </w:rPr>
        <w:t>51</w:t>
      </w:r>
      <w:r w:rsidRPr="009851E0">
        <w:rPr>
          <w:lang w:val="ru-RU"/>
        </w:rPr>
        <w:tab/>
      </w:r>
      <w:r w:rsidR="00784B43" w:rsidRPr="009851E0">
        <w:rPr>
          <w:lang w:val="ru-RU"/>
        </w:rPr>
        <w:t>Между двумя стандартами существуют следующие основные различия</w:t>
      </w:r>
      <w:r w:rsidRPr="009851E0">
        <w:rPr>
          <w:lang w:val="ru-RU"/>
        </w:rPr>
        <w:t>:</w:t>
      </w:r>
    </w:p>
    <w:p w:rsidR="00046530" w:rsidRPr="009851E0" w:rsidRDefault="00046530" w:rsidP="00312093">
      <w:pPr>
        <w:pStyle w:val="enumlev1"/>
        <w:rPr>
          <w:lang w:val="ru-RU"/>
        </w:rPr>
      </w:pPr>
      <w:r w:rsidRPr="009851E0">
        <w:rPr>
          <w:lang w:val="ru-RU"/>
        </w:rPr>
        <w:t>a)</w:t>
      </w:r>
      <w:r w:rsidRPr="009851E0">
        <w:rPr>
          <w:lang w:val="ru-RU"/>
        </w:rPr>
        <w:tab/>
      </w:r>
      <w:r w:rsidR="007B237A" w:rsidRPr="009851E0">
        <w:rPr>
          <w:lang w:val="ru-RU"/>
        </w:rPr>
        <w:t>и</w:t>
      </w:r>
      <w:r w:rsidR="0050370F" w:rsidRPr="009851E0">
        <w:rPr>
          <w:lang w:val="ru-RU"/>
        </w:rPr>
        <w:t xml:space="preserve">сключение варианта, который давал организации возможность </w:t>
      </w:r>
      <w:r w:rsidR="007B237A" w:rsidRPr="009851E0">
        <w:rPr>
          <w:lang w:val="ru-RU"/>
        </w:rPr>
        <w:t xml:space="preserve">отсрочить признание изменений чистого обязательства </w:t>
      </w:r>
      <w:r w:rsidR="00312093" w:rsidRPr="009851E0">
        <w:rPr>
          <w:lang w:val="ru-RU"/>
        </w:rPr>
        <w:t>с установленными выплатами</w:t>
      </w:r>
      <w:r w:rsidR="007B237A" w:rsidRPr="009851E0">
        <w:rPr>
          <w:lang w:val="ru-RU"/>
        </w:rPr>
        <w:t xml:space="preserve"> ("коридорный подход")</w:t>
      </w:r>
      <w:r w:rsidRPr="009851E0">
        <w:rPr>
          <w:lang w:val="ru-RU"/>
        </w:rPr>
        <w:t>;</w:t>
      </w:r>
    </w:p>
    <w:p w:rsidR="00046530" w:rsidRPr="009851E0" w:rsidRDefault="00046530" w:rsidP="00312093">
      <w:pPr>
        <w:pStyle w:val="enumlev1"/>
        <w:rPr>
          <w:lang w:val="ru-RU"/>
        </w:rPr>
      </w:pPr>
      <w:r w:rsidRPr="009851E0">
        <w:rPr>
          <w:lang w:val="ru-RU"/>
        </w:rPr>
        <w:t>b)</w:t>
      </w:r>
      <w:r w:rsidRPr="009851E0">
        <w:rPr>
          <w:lang w:val="ru-RU"/>
        </w:rPr>
        <w:tab/>
      </w:r>
      <w:r w:rsidR="007B237A" w:rsidRPr="009851E0">
        <w:rPr>
          <w:lang w:val="ru-RU"/>
        </w:rPr>
        <w:t>введение подхода, предусматривающего чистые проценты по п</w:t>
      </w:r>
      <w:r w:rsidR="00516FB7" w:rsidRPr="009851E0">
        <w:rPr>
          <w:lang w:val="ru-RU"/>
        </w:rPr>
        <w:t>рограммам</w:t>
      </w:r>
      <w:r w:rsidR="007B237A" w:rsidRPr="009851E0">
        <w:rPr>
          <w:lang w:val="ru-RU"/>
        </w:rPr>
        <w:t xml:space="preserve"> </w:t>
      </w:r>
      <w:r w:rsidR="00312093" w:rsidRPr="009851E0">
        <w:rPr>
          <w:lang w:val="ru-RU"/>
        </w:rPr>
        <w:t>с установленными выплатами</w:t>
      </w:r>
      <w:r w:rsidRPr="009851E0">
        <w:rPr>
          <w:lang w:val="ru-RU"/>
        </w:rPr>
        <w:t>;</w:t>
      </w:r>
    </w:p>
    <w:p w:rsidR="00046530" w:rsidRPr="009851E0" w:rsidRDefault="00046530" w:rsidP="00312093">
      <w:pPr>
        <w:pStyle w:val="enumlev1"/>
        <w:rPr>
          <w:lang w:val="ru-RU"/>
        </w:rPr>
      </w:pPr>
      <w:r w:rsidRPr="009851E0">
        <w:rPr>
          <w:lang w:val="ru-RU"/>
        </w:rPr>
        <w:t>c)</w:t>
      </w:r>
      <w:r w:rsidRPr="009851E0">
        <w:rPr>
          <w:lang w:val="ru-RU"/>
        </w:rPr>
        <w:tab/>
      </w:r>
      <w:r w:rsidR="007B237A" w:rsidRPr="009851E0">
        <w:rPr>
          <w:lang w:val="ru-RU"/>
        </w:rPr>
        <w:t>исправление некоторых требований по раскрытию</w:t>
      </w:r>
      <w:r w:rsidR="00A11DFC" w:rsidRPr="009851E0">
        <w:rPr>
          <w:lang w:val="ru-RU"/>
        </w:rPr>
        <w:t xml:space="preserve"> </w:t>
      </w:r>
      <w:r w:rsidR="00312093" w:rsidRPr="009851E0">
        <w:rPr>
          <w:lang w:val="ru-RU"/>
        </w:rPr>
        <w:t>информации для программ с установленными выплатами</w:t>
      </w:r>
      <w:r w:rsidR="00A11DFC" w:rsidRPr="009851E0">
        <w:rPr>
          <w:lang w:val="ru-RU"/>
        </w:rPr>
        <w:t xml:space="preserve"> и программ </w:t>
      </w:r>
      <w:r w:rsidR="00312093" w:rsidRPr="009851E0">
        <w:rPr>
          <w:lang w:val="ru-RU"/>
        </w:rPr>
        <w:t xml:space="preserve">с </w:t>
      </w:r>
      <w:r w:rsidR="00A11DFC" w:rsidRPr="009851E0">
        <w:rPr>
          <w:lang w:val="ru-RU"/>
        </w:rPr>
        <w:t>нескольки</w:t>
      </w:r>
      <w:r w:rsidR="00312093" w:rsidRPr="009851E0">
        <w:rPr>
          <w:lang w:val="ru-RU"/>
        </w:rPr>
        <w:t>ми</w:t>
      </w:r>
      <w:r w:rsidR="00A11DFC" w:rsidRPr="009851E0">
        <w:rPr>
          <w:lang w:val="ru-RU"/>
        </w:rPr>
        <w:t xml:space="preserve"> работодател</w:t>
      </w:r>
      <w:r w:rsidR="00312093" w:rsidRPr="009851E0">
        <w:rPr>
          <w:lang w:val="ru-RU"/>
        </w:rPr>
        <w:t>ями</w:t>
      </w:r>
      <w:r w:rsidRPr="009851E0">
        <w:rPr>
          <w:lang w:val="ru-RU"/>
        </w:rPr>
        <w:t>;</w:t>
      </w:r>
    </w:p>
    <w:p w:rsidR="00046530" w:rsidRPr="009851E0" w:rsidRDefault="00046530" w:rsidP="00312093">
      <w:pPr>
        <w:pStyle w:val="enumlev1"/>
        <w:rPr>
          <w:lang w:val="ru-RU"/>
        </w:rPr>
      </w:pPr>
      <w:r w:rsidRPr="009851E0">
        <w:rPr>
          <w:lang w:val="ru-RU"/>
        </w:rPr>
        <w:t>d)</w:t>
      </w:r>
      <w:r w:rsidRPr="009851E0">
        <w:rPr>
          <w:lang w:val="ru-RU"/>
        </w:rPr>
        <w:tab/>
      </w:r>
      <w:r w:rsidR="00312093" w:rsidRPr="009851E0">
        <w:rPr>
          <w:rFonts w:asciiTheme="minorHAnsi" w:hAnsiTheme="minorHAnsi" w:cs="Arial"/>
          <w:color w:val="000000"/>
          <w:lang w:val="ru-RU"/>
        </w:rPr>
        <w:t>упрощение требований в отношении взносов р</w:t>
      </w:r>
      <w:r w:rsidR="006C76F9" w:rsidRPr="009851E0">
        <w:rPr>
          <w:rFonts w:asciiTheme="minorHAnsi" w:hAnsiTheme="minorHAnsi" w:cs="Arial"/>
          <w:color w:val="000000"/>
          <w:lang w:val="ru-RU"/>
        </w:rPr>
        <w:t xml:space="preserve">аботников или третьих сторон в </w:t>
      </w:r>
      <w:r w:rsidR="00312093" w:rsidRPr="009851E0">
        <w:rPr>
          <w:rFonts w:asciiTheme="minorHAnsi" w:hAnsiTheme="minorHAnsi" w:cs="Arial"/>
          <w:color w:val="000000"/>
          <w:lang w:val="ru-RU"/>
        </w:rPr>
        <w:t>программе с установленными выплатами, когда эти взносы применяются к простой программе взносов</w:t>
      </w:r>
      <w:r w:rsidR="00516FB7" w:rsidRPr="009851E0">
        <w:rPr>
          <w:lang w:val="ru-RU"/>
        </w:rPr>
        <w:t>, увязанной со службой</w:t>
      </w:r>
      <w:r w:rsidRPr="009851E0">
        <w:rPr>
          <w:lang w:val="ru-RU"/>
        </w:rPr>
        <w:t xml:space="preserve">; </w:t>
      </w:r>
    </w:p>
    <w:p w:rsidR="00046530" w:rsidRPr="009851E0" w:rsidRDefault="00046530" w:rsidP="00312093">
      <w:pPr>
        <w:pStyle w:val="enumlev1"/>
        <w:rPr>
          <w:lang w:val="ru-RU"/>
        </w:rPr>
      </w:pPr>
      <w:r w:rsidRPr="009851E0">
        <w:rPr>
          <w:lang w:val="ru-RU"/>
        </w:rPr>
        <w:t>e)</w:t>
      </w:r>
      <w:r w:rsidRPr="009851E0">
        <w:rPr>
          <w:lang w:val="ru-RU"/>
        </w:rPr>
        <w:tab/>
      </w:r>
      <w:r w:rsidR="00312093" w:rsidRPr="009851E0">
        <w:rPr>
          <w:lang w:val="ru-RU"/>
        </w:rPr>
        <w:t xml:space="preserve">исключение </w:t>
      </w:r>
      <w:r w:rsidR="00312093" w:rsidRPr="009851E0">
        <w:rPr>
          <w:rFonts w:asciiTheme="minorHAnsi" w:hAnsiTheme="minorHAnsi" w:cs="Arial"/>
          <w:color w:val="000000"/>
          <w:lang w:val="ru-RU"/>
        </w:rPr>
        <w:t>требования к составным программам социального обеспечения</w:t>
      </w:r>
      <w:r w:rsidRPr="009851E0">
        <w:rPr>
          <w:lang w:val="ru-RU"/>
        </w:rPr>
        <w:t>.</w:t>
      </w:r>
    </w:p>
    <w:p w:rsidR="00046530" w:rsidRPr="009851E0" w:rsidRDefault="00046530" w:rsidP="0090290E">
      <w:pPr>
        <w:rPr>
          <w:lang w:val="ru-RU"/>
        </w:rPr>
      </w:pPr>
      <w:r w:rsidRPr="009851E0">
        <w:rPr>
          <w:lang w:val="ru-RU"/>
        </w:rPr>
        <w:t>52</w:t>
      </w:r>
      <w:r w:rsidRPr="009851E0">
        <w:rPr>
          <w:lang w:val="ru-RU"/>
        </w:rPr>
        <w:tab/>
      </w:r>
      <w:r w:rsidR="00312093" w:rsidRPr="009851E0">
        <w:rPr>
          <w:lang w:val="ru-RU"/>
        </w:rPr>
        <w:t>Эти различия были учтены руководством МСЭ</w:t>
      </w:r>
      <w:r w:rsidR="0090290E" w:rsidRPr="009851E0">
        <w:rPr>
          <w:lang w:val="ru-RU"/>
        </w:rPr>
        <w:t xml:space="preserve"> и его актуарием, и они не повлияли на расчет актуарных обязательств</w:t>
      </w:r>
      <w:r w:rsidRPr="009851E0">
        <w:rPr>
          <w:lang w:val="ru-RU"/>
        </w:rPr>
        <w:t>.</w:t>
      </w:r>
    </w:p>
    <w:p w:rsidR="005C3CEB" w:rsidRPr="009851E0" w:rsidRDefault="00046530" w:rsidP="0090290E">
      <w:pPr>
        <w:rPr>
          <w:lang w:val="ru-RU"/>
        </w:rPr>
      </w:pPr>
      <w:r w:rsidRPr="009851E0">
        <w:rPr>
          <w:lang w:val="ru-RU"/>
        </w:rPr>
        <w:t>53</w:t>
      </w:r>
      <w:r w:rsidR="00EB539F" w:rsidRPr="009851E0">
        <w:rPr>
          <w:lang w:val="ru-RU"/>
        </w:rPr>
        <w:tab/>
        <w:t xml:space="preserve">Как и в </w:t>
      </w:r>
      <w:r w:rsidR="0022204D" w:rsidRPr="009851E0">
        <w:rPr>
          <w:lang w:val="ru-RU"/>
        </w:rPr>
        <w:t>предыдущие</w:t>
      </w:r>
      <w:r w:rsidR="00EB539F" w:rsidRPr="009851E0">
        <w:rPr>
          <w:lang w:val="ru-RU"/>
        </w:rPr>
        <w:t xml:space="preserve"> год</w:t>
      </w:r>
      <w:r w:rsidR="0022204D" w:rsidRPr="009851E0">
        <w:rPr>
          <w:lang w:val="ru-RU"/>
        </w:rPr>
        <w:t>ы</w:t>
      </w:r>
      <w:r w:rsidR="00EB539F" w:rsidRPr="009851E0">
        <w:rPr>
          <w:lang w:val="ru-RU"/>
        </w:rPr>
        <w:t xml:space="preserve">, </w:t>
      </w:r>
      <w:r w:rsidR="0090290E" w:rsidRPr="009851E0">
        <w:rPr>
          <w:lang w:val="ru-RU"/>
        </w:rPr>
        <w:t xml:space="preserve">наша команда </w:t>
      </w:r>
      <w:r w:rsidR="00EB539F" w:rsidRPr="009851E0">
        <w:rPr>
          <w:lang w:val="ru-RU"/>
        </w:rPr>
        <w:t>подключил</w:t>
      </w:r>
      <w:r w:rsidR="0090290E" w:rsidRPr="009851E0">
        <w:rPr>
          <w:lang w:val="ru-RU"/>
        </w:rPr>
        <w:t>а</w:t>
      </w:r>
      <w:r w:rsidR="00EB539F" w:rsidRPr="009851E0">
        <w:rPr>
          <w:lang w:val="ru-RU"/>
        </w:rPr>
        <w:t xml:space="preserve"> группу актуариев, занимающихся общественным сектором, которые являются экспертами по социальным выплатам. Они выполнили анализ ключевых допущений, относящихся к 201</w:t>
      </w:r>
      <w:r w:rsidRPr="009851E0">
        <w:rPr>
          <w:lang w:val="ru-RU"/>
        </w:rPr>
        <w:t>7</w:t>
      </w:r>
      <w:r w:rsidR="00EB539F" w:rsidRPr="009851E0">
        <w:rPr>
          <w:lang w:val="ru-RU"/>
        </w:rPr>
        <w:t xml:space="preserve"> году, которые были должным образом обсуждены с руководством. Мы установили, что эти допущения соответствуют экономическим тенденциям и ставкам, а также согласуются с данными, имевшимися в МСЭ на момент проведения нами аудита, и мы подтвердили их правильность.</w:t>
      </w:r>
      <w:r w:rsidR="005C3CEB" w:rsidRPr="009851E0">
        <w:rPr>
          <w:lang w:val="ru-RU"/>
        </w:rPr>
        <w:t xml:space="preserve"> </w:t>
      </w:r>
    </w:p>
    <w:p w:rsidR="00EB539F" w:rsidRPr="009851E0" w:rsidRDefault="00046530" w:rsidP="0090290E">
      <w:pPr>
        <w:rPr>
          <w:lang w:val="ru-RU"/>
        </w:rPr>
      </w:pPr>
      <w:r w:rsidRPr="009851E0">
        <w:rPr>
          <w:lang w:val="ru-RU"/>
        </w:rPr>
        <w:t>54</w:t>
      </w:r>
      <w:r w:rsidR="003A2955" w:rsidRPr="009851E0">
        <w:rPr>
          <w:lang w:val="ru-RU"/>
        </w:rPr>
        <w:tab/>
      </w:r>
      <w:r w:rsidR="00EB539F" w:rsidRPr="009851E0">
        <w:rPr>
          <w:lang w:val="ru-RU"/>
        </w:rPr>
        <w:t>Для проведения своего аудита наши актуарии пересчитали оценки, подготовленные актуари</w:t>
      </w:r>
      <w:r w:rsidR="0022204D" w:rsidRPr="009851E0">
        <w:rPr>
          <w:lang w:val="ru-RU"/>
        </w:rPr>
        <w:t>ем</w:t>
      </w:r>
      <w:r w:rsidR="00EB539F" w:rsidRPr="009851E0">
        <w:rPr>
          <w:lang w:val="ru-RU"/>
        </w:rPr>
        <w:t xml:space="preserve"> (AON</w:t>
      </w:r>
      <w:r w:rsidR="000D1F13" w:rsidRPr="009851E0">
        <w:rPr>
          <w:lang w:val="ru-RU"/>
        </w:rPr>
        <w:t xml:space="preserve"> Hewitt Consulting</w:t>
      </w:r>
      <w:r w:rsidR="00EB539F" w:rsidRPr="009851E0">
        <w:rPr>
          <w:lang w:val="ru-RU"/>
        </w:rPr>
        <w:t>), отобранным МСЭ; кроме того, они провели углубленный анализ всех актуарных оценок и допущений, чтобы рассмотреть их правдоподобие и использованные алгоритмы. Руководство и актуари</w:t>
      </w:r>
      <w:r w:rsidR="0022204D" w:rsidRPr="009851E0">
        <w:rPr>
          <w:lang w:val="ru-RU"/>
        </w:rPr>
        <w:t>й</w:t>
      </w:r>
      <w:r w:rsidR="00EB539F" w:rsidRPr="009851E0">
        <w:rPr>
          <w:lang w:val="ru-RU"/>
        </w:rPr>
        <w:t xml:space="preserve"> </w:t>
      </w:r>
      <w:r w:rsidR="0022204D" w:rsidRPr="009851E0">
        <w:rPr>
          <w:lang w:val="ru-RU"/>
        </w:rPr>
        <w:t>в полной мере взаимодействовали при осуществлении этого анализа</w:t>
      </w:r>
      <w:r w:rsidR="00EB539F" w:rsidRPr="009851E0">
        <w:rPr>
          <w:lang w:val="ru-RU"/>
        </w:rPr>
        <w:t>.</w:t>
      </w:r>
      <w:r w:rsidR="0016572B" w:rsidRPr="009851E0">
        <w:rPr>
          <w:lang w:val="ru-RU"/>
        </w:rPr>
        <w:t xml:space="preserve"> </w:t>
      </w:r>
      <w:r w:rsidR="00272A95" w:rsidRPr="009851E0">
        <w:rPr>
          <w:lang w:val="ru-RU"/>
        </w:rPr>
        <w:t>Работа,</w:t>
      </w:r>
      <w:r w:rsidR="0016572B" w:rsidRPr="009851E0">
        <w:rPr>
          <w:lang w:val="ru-RU"/>
        </w:rPr>
        <w:t xml:space="preserve"> проведенная нашими актуариями, подтвердила, что суммы, зафиксированные на счетах, были по существу правильными.</w:t>
      </w:r>
    </w:p>
    <w:p w:rsidR="003A6F14" w:rsidRPr="009851E0" w:rsidRDefault="00046530" w:rsidP="0090290E">
      <w:pPr>
        <w:rPr>
          <w:lang w:val="ru-RU"/>
        </w:rPr>
      </w:pPr>
      <w:r w:rsidRPr="009851E0">
        <w:rPr>
          <w:lang w:val="ru-RU"/>
        </w:rPr>
        <w:t>55</w:t>
      </w:r>
      <w:r w:rsidR="003A2955" w:rsidRPr="009851E0">
        <w:rPr>
          <w:lang w:val="ru-RU"/>
        </w:rPr>
        <w:tab/>
      </w:r>
      <w:r w:rsidR="00EB539F" w:rsidRPr="009851E0">
        <w:rPr>
          <w:lang w:val="ru-RU"/>
        </w:rPr>
        <w:t xml:space="preserve">Мы отмечаем, что в соответствии с </w:t>
      </w:r>
      <w:r w:rsidR="002B61F2" w:rsidRPr="009851E0">
        <w:rPr>
          <w:lang w:val="ru-RU"/>
        </w:rPr>
        <w:t>рекомендацией</w:t>
      </w:r>
      <w:r w:rsidR="00EB539F" w:rsidRPr="009851E0">
        <w:rPr>
          <w:lang w:val="ru-RU"/>
        </w:rPr>
        <w:t xml:space="preserve"> </w:t>
      </w:r>
      <w:r w:rsidR="00031D2D" w:rsidRPr="009851E0">
        <w:rPr>
          <w:lang w:val="ru-RU"/>
        </w:rPr>
        <w:t>3</w:t>
      </w:r>
      <w:r w:rsidR="00EB539F" w:rsidRPr="009851E0">
        <w:rPr>
          <w:lang w:val="ru-RU"/>
        </w:rPr>
        <w:t>, представленн</w:t>
      </w:r>
      <w:r w:rsidR="002B61F2" w:rsidRPr="009851E0">
        <w:rPr>
          <w:lang w:val="ru-RU"/>
        </w:rPr>
        <w:t>ой</w:t>
      </w:r>
      <w:r w:rsidR="00EB539F" w:rsidRPr="009851E0">
        <w:rPr>
          <w:lang w:val="ru-RU"/>
        </w:rPr>
        <w:t xml:space="preserve"> в нашем отчете относительно финансовой отчетности за 2014 год, </w:t>
      </w:r>
      <w:bookmarkStart w:id="236" w:name="_Toc452157326"/>
      <w:r w:rsidR="002B61F2" w:rsidRPr="009851E0">
        <w:rPr>
          <w:lang w:val="ru-RU"/>
        </w:rPr>
        <w:t>руководство в</w:t>
      </w:r>
      <w:r w:rsidR="003A6F14" w:rsidRPr="009851E0">
        <w:rPr>
          <w:lang w:val="ru-RU"/>
        </w:rPr>
        <w:t xml:space="preserve"> 2016</w:t>
      </w:r>
      <w:r w:rsidR="002B61F2" w:rsidRPr="009851E0">
        <w:rPr>
          <w:lang w:val="ru-RU"/>
        </w:rPr>
        <w:t xml:space="preserve"> году объявило конкурс для выбора нового актуария, чтобы провести полное актуарное исследование, а также ежегодную оценку в соответствии со стандартом</w:t>
      </w:r>
      <w:r w:rsidR="003A6F14" w:rsidRPr="009851E0">
        <w:rPr>
          <w:lang w:val="ru-RU"/>
        </w:rPr>
        <w:t xml:space="preserve"> IPSAS 25</w:t>
      </w:r>
      <w:r w:rsidRPr="009851E0">
        <w:rPr>
          <w:lang w:val="ru-RU"/>
        </w:rPr>
        <w:t xml:space="preserve"> (</w:t>
      </w:r>
      <w:r w:rsidR="0090290E" w:rsidRPr="009851E0">
        <w:rPr>
          <w:lang w:val="ru-RU"/>
        </w:rPr>
        <w:t>теперь стандарт</w:t>
      </w:r>
      <w:r w:rsidRPr="009851E0">
        <w:rPr>
          <w:lang w:val="ru-RU"/>
        </w:rPr>
        <w:t xml:space="preserve"> IPSAS 39)</w:t>
      </w:r>
      <w:r w:rsidR="003A6F14" w:rsidRPr="009851E0">
        <w:rPr>
          <w:lang w:val="ru-RU"/>
        </w:rPr>
        <w:t>.</w:t>
      </w:r>
      <w:r w:rsidR="002B61F2" w:rsidRPr="009851E0">
        <w:rPr>
          <w:lang w:val="ru-RU"/>
        </w:rPr>
        <w:t xml:space="preserve"> Избранным актуарием стала компания</w:t>
      </w:r>
      <w:r w:rsidR="003A6F14" w:rsidRPr="009851E0">
        <w:rPr>
          <w:lang w:val="ru-RU"/>
        </w:rPr>
        <w:t xml:space="preserve"> AON Hewitt Consulting.</w:t>
      </w:r>
    </w:p>
    <w:bookmarkEnd w:id="236"/>
    <w:p w:rsidR="00F3336C" w:rsidRPr="009851E0" w:rsidRDefault="00046530" w:rsidP="0090290E">
      <w:pPr>
        <w:rPr>
          <w:lang w:val="ru-RU"/>
        </w:rPr>
      </w:pPr>
      <w:r w:rsidRPr="009851E0">
        <w:rPr>
          <w:lang w:val="ru-RU"/>
        </w:rPr>
        <w:t>56</w:t>
      </w:r>
      <w:r w:rsidR="00F3336C" w:rsidRPr="009851E0">
        <w:rPr>
          <w:lang w:val="ru-RU"/>
        </w:rPr>
        <w:tab/>
        <w:t xml:space="preserve">В </w:t>
      </w:r>
      <w:r w:rsidRPr="009851E0">
        <w:rPr>
          <w:lang w:val="ru-RU"/>
        </w:rPr>
        <w:t>этом</w:t>
      </w:r>
      <w:r w:rsidR="00F3336C" w:rsidRPr="009851E0">
        <w:rPr>
          <w:lang w:val="ru-RU"/>
        </w:rPr>
        <w:t xml:space="preserve"> отчете мы</w:t>
      </w:r>
      <w:r w:rsidR="0090290E" w:rsidRPr="009851E0">
        <w:rPr>
          <w:lang w:val="ru-RU"/>
        </w:rPr>
        <w:t>, в частности,</w:t>
      </w:r>
      <w:r w:rsidR="00F3336C" w:rsidRPr="009851E0">
        <w:rPr>
          <w:lang w:val="ru-RU"/>
        </w:rPr>
        <w:t xml:space="preserve"> рекомендовали руководству в ближайшие годы провести полное актуарное исследование: </w:t>
      </w:r>
      <w:r w:rsidR="00C8442F" w:rsidRPr="009851E0">
        <w:rPr>
          <w:lang w:val="ru-RU"/>
        </w:rPr>
        <w:t xml:space="preserve">это </w:t>
      </w:r>
      <w:r w:rsidR="00F3336C" w:rsidRPr="009851E0">
        <w:rPr>
          <w:lang w:val="ru-RU"/>
        </w:rPr>
        <w:t xml:space="preserve">важно </w:t>
      </w:r>
      <w:r w:rsidR="00C8442F" w:rsidRPr="009851E0">
        <w:rPr>
          <w:lang w:val="ru-RU"/>
        </w:rPr>
        <w:t xml:space="preserve">для того, чтобы </w:t>
      </w:r>
      <w:r w:rsidR="00F3336C" w:rsidRPr="009851E0">
        <w:rPr>
          <w:lang w:val="ru-RU"/>
        </w:rPr>
        <w:t>получить ответы на вопросы</w:t>
      </w:r>
      <w:r w:rsidR="00C8442F" w:rsidRPr="009851E0">
        <w:rPr>
          <w:lang w:val="ru-RU"/>
        </w:rPr>
        <w:t xml:space="preserve">, касающиеся </w:t>
      </w:r>
      <w:r w:rsidR="00F3336C" w:rsidRPr="009851E0">
        <w:rPr>
          <w:lang w:val="ru-RU"/>
        </w:rPr>
        <w:t>достаточного финансирования</w:t>
      </w:r>
      <w:r w:rsidR="00C8442F" w:rsidRPr="009851E0">
        <w:rPr>
          <w:lang w:val="ru-RU"/>
        </w:rPr>
        <w:t>,</w:t>
      </w:r>
      <w:r w:rsidR="00F3336C" w:rsidRPr="009851E0">
        <w:rPr>
          <w:lang w:val="ru-RU"/>
        </w:rPr>
        <w:t xml:space="preserve"> и возможные пути их решения, с тем чтобы не допустить недофинансирования системы медицинского страхования МСЭ на распределительной ос</w:t>
      </w:r>
      <w:r w:rsidR="000C5055" w:rsidRPr="009851E0">
        <w:rPr>
          <w:lang w:val="ru-RU"/>
        </w:rPr>
        <w:t>н</w:t>
      </w:r>
      <w:r w:rsidRPr="009851E0">
        <w:rPr>
          <w:lang w:val="ru-RU"/>
        </w:rPr>
        <w:t>ове в долгосрочной перспективе</w:t>
      </w:r>
      <w:r w:rsidR="000C5055" w:rsidRPr="009851E0">
        <w:rPr>
          <w:lang w:val="ru-RU"/>
        </w:rPr>
        <w:t>.</w:t>
      </w:r>
    </w:p>
    <w:p w:rsidR="00AF65F9" w:rsidRPr="009851E0" w:rsidRDefault="00046530" w:rsidP="0090290E">
      <w:pPr>
        <w:rPr>
          <w:lang w:val="ru-RU"/>
        </w:rPr>
      </w:pPr>
      <w:r w:rsidRPr="009851E0">
        <w:rPr>
          <w:lang w:val="ru-RU"/>
        </w:rPr>
        <w:t>57</w:t>
      </w:r>
      <w:r w:rsidR="00AF65F9" w:rsidRPr="009851E0">
        <w:rPr>
          <w:lang w:val="ru-RU"/>
        </w:rPr>
        <w:tab/>
      </w:r>
      <w:r w:rsidR="0090290E" w:rsidRPr="009851E0">
        <w:rPr>
          <w:lang w:val="ru-RU"/>
        </w:rPr>
        <w:t>Исследование продолжается</w:t>
      </w:r>
      <w:r w:rsidR="00BA088C" w:rsidRPr="009851E0">
        <w:rPr>
          <w:lang w:val="ru-RU"/>
        </w:rPr>
        <w:t>,</w:t>
      </w:r>
      <w:r w:rsidR="0090290E" w:rsidRPr="009851E0">
        <w:rPr>
          <w:lang w:val="ru-RU"/>
        </w:rPr>
        <w:t xml:space="preserve"> и в настоящее время проходит первый его этап</w:t>
      </w:r>
      <w:r w:rsidRPr="009851E0">
        <w:rPr>
          <w:lang w:val="ru-RU"/>
        </w:rPr>
        <w:t xml:space="preserve">. </w:t>
      </w:r>
      <w:r w:rsidR="00D44E89" w:rsidRPr="009851E0">
        <w:rPr>
          <w:lang w:val="ru-RU"/>
        </w:rPr>
        <w:t>Мы подтверждаем, что руководство в по</w:t>
      </w:r>
      <w:r w:rsidR="0090290E" w:rsidRPr="009851E0">
        <w:rPr>
          <w:lang w:val="ru-RU"/>
        </w:rPr>
        <w:t>л</w:t>
      </w:r>
      <w:r w:rsidR="00D44E89" w:rsidRPr="009851E0">
        <w:rPr>
          <w:lang w:val="ru-RU"/>
        </w:rPr>
        <w:t xml:space="preserve">ной мере сотрудничает с </w:t>
      </w:r>
      <w:r w:rsidR="0090290E" w:rsidRPr="009851E0">
        <w:rPr>
          <w:lang w:val="ru-RU"/>
        </w:rPr>
        <w:t>В</w:t>
      </w:r>
      <w:r w:rsidR="00D44E89" w:rsidRPr="009851E0">
        <w:rPr>
          <w:lang w:val="ru-RU"/>
        </w:rPr>
        <w:t>нешним аудитором, предоставляя нам все необходимые документы, касающиеся этого исследования, чтобы позволить нам проверять с помощью наших актуариев анализ ситуации и эффективность предлагаемых решений</w:t>
      </w:r>
      <w:r w:rsidR="000C5055" w:rsidRPr="009851E0">
        <w:rPr>
          <w:lang w:val="ru-RU"/>
        </w:rPr>
        <w:t>.</w:t>
      </w:r>
    </w:p>
    <w:p w:rsidR="00810A7E" w:rsidRPr="009851E0" w:rsidRDefault="00810A7E" w:rsidP="00170A17">
      <w:pPr>
        <w:pStyle w:val="Heading1"/>
        <w:rPr>
          <w:lang w:val="ru-RU"/>
        </w:rPr>
      </w:pPr>
      <w:bookmarkStart w:id="237" w:name="_Toc392187686"/>
      <w:bookmarkStart w:id="238" w:name="_Toc418501329"/>
      <w:bookmarkStart w:id="239" w:name="_Toc418597596"/>
      <w:bookmarkStart w:id="240" w:name="_Toc450158119"/>
      <w:bookmarkStart w:id="241" w:name="_Toc450323549"/>
      <w:bookmarkStart w:id="242" w:name="_Toc450991488"/>
      <w:bookmarkStart w:id="243" w:name="_Toc452157329"/>
      <w:bookmarkStart w:id="244" w:name="_Toc482995192"/>
      <w:bookmarkStart w:id="245" w:name="_Toc522633582"/>
      <w:bookmarkStart w:id="246" w:name="_Toc392672719"/>
      <w:bookmarkStart w:id="247" w:name="_Toc392187689"/>
      <w:bookmarkStart w:id="248" w:name="_Toc418501330"/>
      <w:bookmarkStart w:id="249" w:name="_Toc418597597"/>
      <w:r w:rsidRPr="009851E0">
        <w:rPr>
          <w:lang w:val="ru-RU"/>
        </w:rPr>
        <w:t>Выход из ФМСП:</w:t>
      </w:r>
      <w:bookmarkEnd w:id="237"/>
      <w:bookmarkEnd w:id="238"/>
      <w:bookmarkEnd w:id="239"/>
      <w:r w:rsidRPr="009851E0">
        <w:rPr>
          <w:lang w:val="ru-RU"/>
        </w:rPr>
        <w:t xml:space="preserve"> противоречия в производстве расчетов</w:t>
      </w:r>
      <w:bookmarkEnd w:id="240"/>
      <w:bookmarkEnd w:id="241"/>
      <w:bookmarkEnd w:id="242"/>
      <w:bookmarkEnd w:id="243"/>
      <w:bookmarkEnd w:id="244"/>
      <w:bookmarkEnd w:id="245"/>
    </w:p>
    <w:p w:rsidR="00810A7E" w:rsidRPr="009851E0" w:rsidRDefault="00AF65F9" w:rsidP="00046530">
      <w:pPr>
        <w:keepNext/>
        <w:keepLines/>
        <w:rPr>
          <w:lang w:val="ru-RU"/>
        </w:rPr>
      </w:pPr>
      <w:r w:rsidRPr="009851E0">
        <w:rPr>
          <w:lang w:val="ru-RU"/>
        </w:rPr>
        <w:t>5</w:t>
      </w:r>
      <w:r w:rsidR="00046530" w:rsidRPr="009851E0">
        <w:rPr>
          <w:lang w:val="ru-RU"/>
        </w:rPr>
        <w:t>8</w:t>
      </w:r>
      <w:r w:rsidR="00810A7E" w:rsidRPr="009851E0">
        <w:rPr>
          <w:lang w:val="ru-RU"/>
        </w:rPr>
        <w:tab/>
      </w:r>
      <w:r w:rsidR="00BB76C1" w:rsidRPr="009851E0">
        <w:rPr>
          <w:lang w:val="ru-RU"/>
        </w:rPr>
        <w:t xml:space="preserve">В </w:t>
      </w:r>
      <w:r w:rsidR="00046530" w:rsidRPr="009851E0">
        <w:rPr>
          <w:lang w:val="ru-RU"/>
        </w:rPr>
        <w:t>предыдущих отчетах</w:t>
      </w:r>
      <w:r w:rsidR="00BB76C1" w:rsidRPr="009851E0">
        <w:rPr>
          <w:lang w:val="ru-RU"/>
        </w:rPr>
        <w:t xml:space="preserve"> мы</w:t>
      </w:r>
      <w:r w:rsidR="00810A7E" w:rsidRPr="009851E0">
        <w:rPr>
          <w:lang w:val="ru-RU"/>
        </w:rPr>
        <w:t xml:space="preserve"> отмети</w:t>
      </w:r>
      <w:r w:rsidR="00BB76C1" w:rsidRPr="009851E0">
        <w:rPr>
          <w:lang w:val="ru-RU"/>
        </w:rPr>
        <w:t>ли</w:t>
      </w:r>
      <w:r w:rsidR="00810A7E" w:rsidRPr="009851E0">
        <w:rPr>
          <w:lang w:val="ru-RU"/>
        </w:rPr>
        <w:t>, что выход из ФМСП – находящейся в ведении МОТ системы медицинского страхования, в которой МСЭ участвовал до 2014 года, полностью еще не завершен из-за существующих между двумя учреждениями разногласий относительно суммы, подлежащей выплате МСЭ со стороны ФМСП, суть которых составляют два ключевых вопроса:</w:t>
      </w:r>
    </w:p>
    <w:p w:rsidR="00810A7E" w:rsidRPr="009851E0" w:rsidRDefault="00E752E3" w:rsidP="00046530">
      <w:pPr>
        <w:pStyle w:val="enumlev1"/>
        <w:rPr>
          <w:lang w:val="ru-RU"/>
        </w:rPr>
      </w:pPr>
      <w:r w:rsidRPr="009851E0">
        <w:rPr>
          <w:lang w:val="ru-RU"/>
        </w:rPr>
        <w:t>а)</w:t>
      </w:r>
      <w:r w:rsidRPr="009851E0">
        <w:rPr>
          <w:lang w:val="ru-RU"/>
        </w:rPr>
        <w:tab/>
      </w:r>
      <w:r w:rsidR="00810A7E" w:rsidRPr="009851E0">
        <w:rPr>
          <w:lang w:val="ru-RU"/>
        </w:rPr>
        <w:t xml:space="preserve">учитывая выход из системы, застрахованные сотрудники </w:t>
      </w:r>
      <w:r w:rsidR="00BB76C1" w:rsidRPr="009851E0">
        <w:rPr>
          <w:lang w:val="ru-RU"/>
        </w:rPr>
        <w:t xml:space="preserve">МСЭ </w:t>
      </w:r>
      <w:r w:rsidR="00810A7E" w:rsidRPr="009851E0">
        <w:rPr>
          <w:lang w:val="ru-RU"/>
        </w:rPr>
        <w:t>могли направлять в ФМСП заявки на возмещение расходов до 31 января 201</w:t>
      </w:r>
      <w:r w:rsidR="00046530" w:rsidRPr="009851E0">
        <w:rPr>
          <w:lang w:val="ru-RU"/>
        </w:rPr>
        <w:t>7</w:t>
      </w:r>
      <w:r w:rsidR="00810A7E" w:rsidRPr="009851E0">
        <w:rPr>
          <w:lang w:val="ru-RU"/>
        </w:rPr>
        <w:t xml:space="preserve"> года. Очевидно, что после этой даты требовалось время для обработки заявок на возмещение расходов. МОТ начислила на МСЭ административные затраты в полном объеме за пять месяцев (до 31 мая 2015 г.), как если бы все сотрудники МСЭ обратились за выплатами в прежний фонд. МСЭ утверждает, что </w:t>
      </w:r>
      <w:r w:rsidR="00BB76C1" w:rsidRPr="009851E0">
        <w:rPr>
          <w:lang w:val="ru-RU"/>
        </w:rPr>
        <w:t xml:space="preserve">фактически </w:t>
      </w:r>
      <w:r w:rsidR="00810A7E" w:rsidRPr="009851E0">
        <w:rPr>
          <w:lang w:val="ru-RU"/>
        </w:rPr>
        <w:t>речь идет лишь о небольшом числе заявлений, поэтому административные расходы не могут быть начислены на МСЭ в таком размере;</w:t>
      </w:r>
    </w:p>
    <w:p w:rsidR="00810A7E" w:rsidRPr="009851E0" w:rsidRDefault="00E752E3" w:rsidP="00E752E3">
      <w:pPr>
        <w:pStyle w:val="enumlev1"/>
        <w:rPr>
          <w:lang w:val="ru-RU"/>
        </w:rPr>
      </w:pPr>
      <w:r w:rsidRPr="009851E0">
        <w:rPr>
          <w:lang w:val="ru-RU"/>
        </w:rPr>
        <w:t>b)</w:t>
      </w:r>
      <w:r w:rsidRPr="009851E0">
        <w:rPr>
          <w:lang w:val="ru-RU"/>
        </w:rPr>
        <w:tab/>
      </w:r>
      <w:r w:rsidR="00810A7E" w:rsidRPr="009851E0">
        <w:rPr>
          <w:lang w:val="ru-RU"/>
        </w:rPr>
        <w:t>второй вопрос касается ликвидации гарантийного фонда ФМСП, в создании и ведении которого участвовал МСЭ</w:t>
      </w:r>
      <w:r w:rsidR="00D175A6" w:rsidRPr="009851E0">
        <w:rPr>
          <w:lang w:val="ru-RU"/>
        </w:rPr>
        <w:t>,</w:t>
      </w:r>
      <w:r w:rsidR="00810A7E" w:rsidRPr="009851E0">
        <w:rPr>
          <w:lang w:val="ru-RU"/>
        </w:rPr>
        <w:t xml:space="preserve"> и его взнос составлял 23% этого фонда: МСЭ пол</w:t>
      </w:r>
      <w:r w:rsidR="007C2527" w:rsidRPr="009851E0">
        <w:rPr>
          <w:lang w:val="ru-RU"/>
        </w:rPr>
        <w:t>а</w:t>
      </w:r>
      <w:r w:rsidR="00810A7E" w:rsidRPr="009851E0">
        <w:rPr>
          <w:lang w:val="ru-RU"/>
        </w:rPr>
        <w:t>гал, что</w:t>
      </w:r>
      <w:r w:rsidR="00BA088C" w:rsidRPr="009851E0">
        <w:rPr>
          <w:lang w:val="ru-RU"/>
        </w:rPr>
        <w:t>,</w:t>
      </w:r>
      <w:r w:rsidR="00810A7E" w:rsidRPr="009851E0">
        <w:rPr>
          <w:lang w:val="ru-RU"/>
        </w:rPr>
        <w:t xml:space="preserve"> в соответствии с принципом пропорциональности своего взноса, а также принципами взаимности и солидарности, Союзу будет выплачена доля от оцененной стоимости фонда, соответствующая доле его уплаченного взноса в фонд; МОТ не согласилась с этой цифрой и предложила значительно меньшую сумму.</w:t>
      </w:r>
    </w:p>
    <w:p w:rsidR="0088218A" w:rsidRPr="009851E0" w:rsidRDefault="0088218A" w:rsidP="00304783">
      <w:pPr>
        <w:rPr>
          <w:lang w:val="ru-RU"/>
        </w:rPr>
      </w:pPr>
      <w:r w:rsidRPr="009851E0">
        <w:rPr>
          <w:lang w:val="ru-RU"/>
        </w:rPr>
        <w:t>5</w:t>
      </w:r>
      <w:r w:rsidR="00046530" w:rsidRPr="009851E0">
        <w:rPr>
          <w:lang w:val="ru-RU"/>
        </w:rPr>
        <w:t>9</w:t>
      </w:r>
      <w:r w:rsidRPr="009851E0">
        <w:rPr>
          <w:lang w:val="ru-RU"/>
        </w:rPr>
        <w:tab/>
      </w:r>
      <w:r w:rsidR="00BB76C1" w:rsidRPr="009851E0">
        <w:rPr>
          <w:lang w:val="ru-RU"/>
        </w:rPr>
        <w:t xml:space="preserve">Руководство информировало нас о том, что </w:t>
      </w:r>
      <w:r w:rsidR="00380675" w:rsidRPr="009851E0">
        <w:rPr>
          <w:lang w:val="ru-RU"/>
        </w:rPr>
        <w:t>не было возможным прийти к согласованному решению с МОТ</w:t>
      </w:r>
      <w:r w:rsidR="00D175A6" w:rsidRPr="009851E0">
        <w:rPr>
          <w:lang w:val="ru-RU"/>
        </w:rPr>
        <w:t xml:space="preserve">; </w:t>
      </w:r>
      <w:r w:rsidR="00380675" w:rsidRPr="009851E0">
        <w:rPr>
          <w:lang w:val="ru-RU"/>
        </w:rPr>
        <w:t>по этой причине две организации доверили разрешение спора арбитру</w:t>
      </w:r>
      <w:r w:rsidR="00D175A6" w:rsidRPr="009851E0">
        <w:rPr>
          <w:lang w:val="ru-RU"/>
        </w:rPr>
        <w:t xml:space="preserve">. </w:t>
      </w:r>
      <w:r w:rsidR="00380675" w:rsidRPr="009851E0">
        <w:rPr>
          <w:lang w:val="ru-RU"/>
        </w:rPr>
        <w:t xml:space="preserve">Во время проведения нашего аудита </w:t>
      </w:r>
      <w:r w:rsidR="00304783" w:rsidRPr="009851E0">
        <w:rPr>
          <w:lang w:val="ru-RU"/>
        </w:rPr>
        <w:t>результаты арбитражного разбирательства еще не были обнародованы</w:t>
      </w:r>
      <w:r w:rsidR="00D175A6" w:rsidRPr="009851E0">
        <w:rPr>
          <w:lang w:val="ru-RU"/>
        </w:rPr>
        <w:t>.</w:t>
      </w:r>
    </w:p>
    <w:p w:rsidR="00810A7E" w:rsidRPr="009851E0" w:rsidRDefault="00810A7E" w:rsidP="00170A17">
      <w:pPr>
        <w:pStyle w:val="Heading1"/>
        <w:ind w:left="0" w:firstLine="0"/>
        <w:rPr>
          <w:lang w:val="ru-RU"/>
        </w:rPr>
      </w:pPr>
      <w:bookmarkStart w:id="250" w:name="_Toc452157330"/>
      <w:bookmarkStart w:id="251" w:name="_Toc482995193"/>
      <w:bookmarkStart w:id="252" w:name="_Toc522633583"/>
      <w:r w:rsidRPr="009851E0">
        <w:rPr>
          <w:lang w:val="ru-RU"/>
        </w:rPr>
        <w:t>Вознаграждение сотрудников: Страховая касса персонала МСЭ</w:t>
      </w:r>
      <w:bookmarkEnd w:id="246"/>
      <w:r w:rsidRPr="009851E0">
        <w:rPr>
          <w:lang w:val="ru-RU"/>
        </w:rPr>
        <w:t xml:space="preserve"> (закрытые пенсионные фонды МСЭ</w:t>
      </w:r>
      <w:bookmarkEnd w:id="247"/>
      <w:bookmarkEnd w:id="248"/>
      <w:bookmarkEnd w:id="249"/>
      <w:r w:rsidRPr="009851E0">
        <w:rPr>
          <w:lang w:val="ru-RU"/>
        </w:rPr>
        <w:t>)</w:t>
      </w:r>
      <w:bookmarkEnd w:id="250"/>
      <w:bookmarkEnd w:id="251"/>
      <w:bookmarkEnd w:id="252"/>
    </w:p>
    <w:p w:rsidR="00810A7E" w:rsidRPr="009851E0" w:rsidRDefault="00D175A6" w:rsidP="00D175A6">
      <w:pPr>
        <w:rPr>
          <w:lang w:val="ru-RU"/>
        </w:rPr>
      </w:pPr>
      <w:r w:rsidRPr="009851E0">
        <w:rPr>
          <w:lang w:val="ru-RU"/>
        </w:rPr>
        <w:t>60</w:t>
      </w:r>
      <w:r w:rsidR="00810A7E" w:rsidRPr="009851E0">
        <w:rPr>
          <w:lang w:val="ru-RU"/>
        </w:rPr>
        <w:tab/>
        <w:t xml:space="preserve">Как и в предыдущие годы, на момент закрытия на счетах учтена сумма в </w:t>
      </w:r>
      <w:r w:rsidR="0009060F" w:rsidRPr="009851E0">
        <w:rPr>
          <w:lang w:val="ru-RU"/>
        </w:rPr>
        <w:t>54</w:t>
      </w:r>
      <w:r w:rsidR="00810A7E" w:rsidRPr="009851E0">
        <w:rPr>
          <w:lang w:val="ru-RU"/>
        </w:rPr>
        <w:t> </w:t>
      </w:r>
      <w:r w:rsidRPr="009851E0">
        <w:rPr>
          <w:lang w:val="ru-RU"/>
        </w:rPr>
        <w:t>тыс.</w:t>
      </w:r>
      <w:r w:rsidR="00810A7E" w:rsidRPr="009851E0">
        <w:rPr>
          <w:lang w:val="ru-RU"/>
        </w:rPr>
        <w:t> швейцарских франков; она связана с обязательствами по пособиям в форме пенсии, выплачиваемой бывшим сотрудникам из Страховой кассы персонала (см. также связанный с этим пункт </w:t>
      </w:r>
      <w:r w:rsidR="0009060F" w:rsidRPr="009851E0">
        <w:rPr>
          <w:lang w:val="ru-RU"/>
        </w:rPr>
        <w:t>12</w:t>
      </w:r>
      <w:r w:rsidRPr="009851E0">
        <w:rPr>
          <w:lang w:val="ru-RU"/>
        </w:rPr>
        <w:t>0</w:t>
      </w:r>
      <w:r w:rsidR="00810A7E" w:rsidRPr="009851E0">
        <w:rPr>
          <w:lang w:val="ru-RU"/>
        </w:rPr>
        <w:t>).</w:t>
      </w:r>
    </w:p>
    <w:p w:rsidR="00810A7E" w:rsidRPr="009851E0" w:rsidRDefault="00810A7E" w:rsidP="00170A17">
      <w:pPr>
        <w:pStyle w:val="Heading1"/>
        <w:rPr>
          <w:lang w:val="ru-RU"/>
        </w:rPr>
      </w:pPr>
      <w:bookmarkStart w:id="253" w:name="_Toc418501331"/>
      <w:bookmarkStart w:id="254" w:name="_Toc418597598"/>
      <w:bookmarkStart w:id="255" w:name="_Toc452157331"/>
      <w:bookmarkStart w:id="256" w:name="_Toc482995194"/>
      <w:bookmarkStart w:id="257" w:name="_Toc522633584"/>
      <w:r w:rsidRPr="009851E0">
        <w:rPr>
          <w:lang w:val="ru-RU"/>
        </w:rPr>
        <w:t>ЧИСТЫЕ АКТИВЫ</w:t>
      </w:r>
      <w:bookmarkEnd w:id="253"/>
      <w:bookmarkEnd w:id="254"/>
      <w:bookmarkEnd w:id="255"/>
      <w:bookmarkEnd w:id="256"/>
      <w:bookmarkEnd w:id="257"/>
    </w:p>
    <w:p w:rsidR="00810A7E" w:rsidRPr="009851E0" w:rsidRDefault="00D175A6" w:rsidP="00D175A6">
      <w:pPr>
        <w:rPr>
          <w:lang w:val="ru-RU"/>
        </w:rPr>
      </w:pPr>
      <w:r w:rsidRPr="009851E0">
        <w:rPr>
          <w:lang w:val="ru-RU"/>
        </w:rPr>
        <w:t>61</w:t>
      </w:r>
      <w:r w:rsidR="00810A7E" w:rsidRPr="009851E0">
        <w:rPr>
          <w:lang w:val="ru-RU"/>
        </w:rPr>
        <w:tab/>
        <w:t>Чистые активы состояли из собственных целевых и нецелевых средств, внебюджетных фондов, результата внебюджетной деятельности, активного сальдо/дефицита за финансовый год и воздействия перехода к IPSAS. В 201</w:t>
      </w:r>
      <w:r w:rsidRPr="009851E0">
        <w:rPr>
          <w:lang w:val="ru-RU"/>
        </w:rPr>
        <w:t>7</w:t>
      </w:r>
      <w:r w:rsidR="00810A7E" w:rsidRPr="009851E0">
        <w:rPr>
          <w:lang w:val="ru-RU"/>
        </w:rPr>
        <w:t xml:space="preserve"> году чистые активы составили отрицательное значение </w:t>
      </w:r>
      <w:r w:rsidR="00E752E3" w:rsidRPr="009851E0">
        <w:rPr>
          <w:lang w:val="ru-RU"/>
        </w:rPr>
        <w:t>−</w:t>
      </w:r>
      <w:r w:rsidRPr="009851E0">
        <w:rPr>
          <w:lang w:val="ru-RU"/>
        </w:rPr>
        <w:t>482</w:t>
      </w:r>
      <w:r w:rsidR="00810A7E" w:rsidRPr="009851E0">
        <w:rPr>
          <w:lang w:val="ru-RU"/>
        </w:rPr>
        <w:t>,</w:t>
      </w:r>
      <w:r w:rsidRPr="009851E0">
        <w:rPr>
          <w:lang w:val="ru-RU"/>
        </w:rPr>
        <w:t>5</w:t>
      </w:r>
      <w:r w:rsidR="00810A7E" w:rsidRPr="009851E0">
        <w:rPr>
          <w:lang w:val="ru-RU"/>
        </w:rPr>
        <w:t xml:space="preserve"> млн. швейцарских франков, что представляет уменьшение по сравнению с </w:t>
      </w:r>
      <w:r w:rsidR="00E752E3" w:rsidRPr="009851E0">
        <w:rPr>
          <w:lang w:val="ru-RU"/>
        </w:rPr>
        <w:t>−</w:t>
      </w:r>
      <w:r w:rsidRPr="009851E0">
        <w:rPr>
          <w:lang w:val="ru-RU"/>
        </w:rPr>
        <w:t>419</w:t>
      </w:r>
      <w:r w:rsidR="00810A7E" w:rsidRPr="009851E0">
        <w:rPr>
          <w:lang w:val="ru-RU"/>
        </w:rPr>
        <w:t>,</w:t>
      </w:r>
      <w:r w:rsidR="00FB73A6" w:rsidRPr="009851E0">
        <w:rPr>
          <w:lang w:val="ru-RU"/>
        </w:rPr>
        <w:t>2</w:t>
      </w:r>
      <w:r w:rsidR="00810A7E" w:rsidRPr="009851E0">
        <w:rPr>
          <w:lang w:val="ru-RU"/>
        </w:rPr>
        <w:t> млн. швейцарских франков в 201</w:t>
      </w:r>
      <w:r w:rsidRPr="009851E0">
        <w:rPr>
          <w:lang w:val="ru-RU"/>
        </w:rPr>
        <w:t>6</w:t>
      </w:r>
      <w:r w:rsidR="00810A7E" w:rsidRPr="009851E0">
        <w:rPr>
          <w:lang w:val="ru-RU"/>
        </w:rPr>
        <w:t> году.</w:t>
      </w:r>
    </w:p>
    <w:p w:rsidR="00810A7E" w:rsidRPr="009851E0" w:rsidRDefault="00D175A6" w:rsidP="00810A7E">
      <w:pPr>
        <w:rPr>
          <w:lang w:val="ru-RU"/>
        </w:rPr>
      </w:pPr>
      <w:r w:rsidRPr="009851E0">
        <w:rPr>
          <w:lang w:val="ru-RU"/>
        </w:rPr>
        <w:t>62</w:t>
      </w:r>
      <w:r w:rsidR="00810A7E" w:rsidRPr="009851E0">
        <w:rPr>
          <w:lang w:val="ru-RU"/>
        </w:rPr>
        <w:tab/>
        <w:t>Все движения в чистых активах поясняются в различных таблицах и примечаниях к Отчету о финансовой деятельности, в частности:</w:t>
      </w:r>
    </w:p>
    <w:p w:rsidR="00810A7E" w:rsidRPr="009851E0" w:rsidRDefault="00810A7E" w:rsidP="00A64766">
      <w:pPr>
        <w:pStyle w:val="enumlev1"/>
        <w:rPr>
          <w:lang w:val="ru-RU"/>
        </w:rPr>
      </w:pPr>
      <w:r w:rsidRPr="009851E0">
        <w:rPr>
          <w:lang w:val="ru-RU"/>
        </w:rPr>
        <w:t>a)</w:t>
      </w:r>
      <w:r w:rsidRPr="009851E0">
        <w:rPr>
          <w:lang w:val="ru-RU"/>
        </w:rPr>
        <w:tab/>
        <w:t>в Таблице II "Отчет о результатах финансовой деятельности", в которо</w:t>
      </w:r>
      <w:r w:rsidR="00A64766" w:rsidRPr="009851E0">
        <w:rPr>
          <w:lang w:val="ru-RU"/>
        </w:rPr>
        <w:t>й</w:t>
      </w:r>
      <w:r w:rsidRPr="009851E0">
        <w:rPr>
          <w:lang w:val="ru-RU"/>
        </w:rPr>
        <w:t xml:space="preserve"> показан дефицит за финансовый период (–1</w:t>
      </w:r>
      <w:r w:rsidR="00D175A6" w:rsidRPr="009851E0">
        <w:rPr>
          <w:lang w:val="ru-RU"/>
        </w:rPr>
        <w:t>7</w:t>
      </w:r>
      <w:r w:rsidRPr="009851E0">
        <w:rPr>
          <w:lang w:val="ru-RU"/>
        </w:rPr>
        <w:t>,</w:t>
      </w:r>
      <w:r w:rsidR="00D175A6" w:rsidRPr="009851E0">
        <w:rPr>
          <w:lang w:val="ru-RU"/>
        </w:rPr>
        <w:t>1</w:t>
      </w:r>
      <w:r w:rsidRPr="009851E0">
        <w:rPr>
          <w:lang w:val="ru-RU"/>
        </w:rPr>
        <w:t> млн. швейцарских франков);</w:t>
      </w:r>
    </w:p>
    <w:p w:rsidR="00810A7E" w:rsidRPr="009851E0" w:rsidRDefault="00810A7E" w:rsidP="00A64766">
      <w:pPr>
        <w:pStyle w:val="enumlev1"/>
        <w:rPr>
          <w:lang w:val="ru-RU"/>
        </w:rPr>
      </w:pPr>
      <w:r w:rsidRPr="009851E0">
        <w:rPr>
          <w:lang w:val="ru-RU"/>
        </w:rPr>
        <w:t>b)</w:t>
      </w:r>
      <w:r w:rsidRPr="009851E0">
        <w:rPr>
          <w:lang w:val="ru-RU"/>
        </w:rPr>
        <w:tab/>
        <w:t>в Таблице III "Отчет об изменениях в чистых активах", в которо</w:t>
      </w:r>
      <w:r w:rsidR="00A64766" w:rsidRPr="009851E0">
        <w:rPr>
          <w:lang w:val="ru-RU"/>
        </w:rPr>
        <w:t>й</w:t>
      </w:r>
      <w:r w:rsidRPr="009851E0">
        <w:rPr>
          <w:lang w:val="ru-RU"/>
        </w:rPr>
        <w:t xml:space="preserve"> показано движение отдельно по каждому виду собственных средств и воздействие перехода к IPSAS;</w:t>
      </w:r>
    </w:p>
    <w:p w:rsidR="00810A7E" w:rsidRPr="009851E0" w:rsidRDefault="00810A7E" w:rsidP="00F838EB">
      <w:pPr>
        <w:pStyle w:val="enumlev1"/>
        <w:rPr>
          <w:lang w:val="ru-RU"/>
        </w:rPr>
      </w:pPr>
      <w:r w:rsidRPr="009851E0">
        <w:rPr>
          <w:lang w:val="ru-RU"/>
        </w:rPr>
        <w:t>c)</w:t>
      </w:r>
      <w:r w:rsidRPr="009851E0">
        <w:rPr>
          <w:lang w:val="ru-RU"/>
        </w:rPr>
        <w:tab/>
        <w:t>в Таблице V "Сравнительная таблица предусмотренных в бюджете сумм и фактических сумм", в которой также приводится информация по бухгалтерской выверке указанных в бюджете результатов (фактических сумм) и сумм, учтенных в финансовой отчетности (в связи с этим см. также Примечание 2</w:t>
      </w:r>
      <w:r w:rsidR="00F838EB" w:rsidRPr="009851E0">
        <w:rPr>
          <w:lang w:val="ru-RU"/>
        </w:rPr>
        <w:t>6</w:t>
      </w:r>
      <w:r w:rsidRPr="009851E0">
        <w:rPr>
          <w:lang w:val="ru-RU"/>
        </w:rPr>
        <w:t>);</w:t>
      </w:r>
    </w:p>
    <w:p w:rsidR="00810A7E" w:rsidRPr="009851E0" w:rsidRDefault="00810A7E" w:rsidP="00975DA9">
      <w:pPr>
        <w:pStyle w:val="enumlev1"/>
        <w:rPr>
          <w:lang w:val="ru-RU"/>
        </w:rPr>
      </w:pPr>
      <w:r w:rsidRPr="009851E0">
        <w:rPr>
          <w:lang w:val="ru-RU"/>
        </w:rPr>
        <w:t>d)</w:t>
      </w:r>
      <w:r w:rsidRPr="009851E0">
        <w:rPr>
          <w:lang w:val="ru-RU"/>
        </w:rPr>
        <w:tab/>
        <w:t>в Примечании </w:t>
      </w:r>
      <w:r w:rsidR="007D32FC" w:rsidRPr="009851E0">
        <w:rPr>
          <w:lang w:val="ru-RU"/>
        </w:rPr>
        <w:t>2</w:t>
      </w:r>
      <w:r w:rsidRPr="009851E0">
        <w:rPr>
          <w:lang w:val="ru-RU"/>
        </w:rPr>
        <w:t xml:space="preserve"> "Основные принципы бухгалтерского учета", в пункте, касающемся "учета средств", в частности в подпункте "</w:t>
      </w:r>
      <w:r w:rsidR="00975DA9" w:rsidRPr="009851E0">
        <w:rPr>
          <w:lang w:val="ru-RU"/>
        </w:rPr>
        <w:t>Ц</w:t>
      </w:r>
      <w:r w:rsidRPr="009851E0">
        <w:rPr>
          <w:lang w:val="ru-RU"/>
        </w:rPr>
        <w:t>елевые средства</w:t>
      </w:r>
      <w:r w:rsidR="00975DA9" w:rsidRPr="009851E0">
        <w:rPr>
          <w:lang w:val="ru-RU"/>
        </w:rPr>
        <w:t xml:space="preserve"> третьих сторон</w:t>
      </w:r>
      <w:r w:rsidRPr="009851E0">
        <w:rPr>
          <w:lang w:val="ru-RU"/>
        </w:rPr>
        <w:t>" и пункте, касающемся "Резервного счета";</w:t>
      </w:r>
    </w:p>
    <w:p w:rsidR="00810A7E" w:rsidRPr="009851E0" w:rsidRDefault="00810A7E" w:rsidP="007D32FC">
      <w:pPr>
        <w:pStyle w:val="enumlev1"/>
        <w:rPr>
          <w:lang w:val="ru-RU"/>
        </w:rPr>
      </w:pPr>
      <w:r w:rsidRPr="009851E0">
        <w:rPr>
          <w:lang w:val="ru-RU"/>
        </w:rPr>
        <w:t>e)</w:t>
      </w:r>
      <w:r w:rsidRPr="009851E0">
        <w:rPr>
          <w:lang w:val="ru-RU"/>
        </w:rPr>
        <w:tab/>
        <w:t>в Примечании </w:t>
      </w:r>
      <w:r w:rsidR="007D32FC" w:rsidRPr="009851E0">
        <w:rPr>
          <w:lang w:val="ru-RU"/>
        </w:rPr>
        <w:t>3</w:t>
      </w:r>
      <w:r w:rsidRPr="009851E0">
        <w:rPr>
          <w:lang w:val="ru-RU"/>
        </w:rPr>
        <w:t xml:space="preserve"> "Управление чистыми активами", в котором отражено движение средств Резервного счета.</w:t>
      </w:r>
    </w:p>
    <w:p w:rsidR="00810A7E" w:rsidRPr="009851E0" w:rsidRDefault="00810A7E" w:rsidP="00170A17">
      <w:pPr>
        <w:pStyle w:val="Heading1"/>
        <w:rPr>
          <w:lang w:val="ru-RU"/>
        </w:rPr>
      </w:pPr>
      <w:bookmarkStart w:id="258" w:name="_Toc418501332"/>
      <w:bookmarkStart w:id="259" w:name="_Toc418597599"/>
      <w:bookmarkStart w:id="260" w:name="_Toc452157332"/>
      <w:bookmarkStart w:id="261" w:name="_Toc482995195"/>
      <w:bookmarkStart w:id="262" w:name="_Toc522633585"/>
      <w:r w:rsidRPr="009851E0">
        <w:rPr>
          <w:lang w:val="ru-RU"/>
        </w:rPr>
        <w:t>ОТЧЕТ О РЕЗУЛЬТАТАХ ФИНАНСОВОЙ ДЕЯТЕЛЬНОСТИ ЗА 201</w:t>
      </w:r>
      <w:bookmarkEnd w:id="258"/>
      <w:bookmarkEnd w:id="259"/>
      <w:r w:rsidR="00F838EB" w:rsidRPr="009851E0">
        <w:rPr>
          <w:lang w:val="ru-RU"/>
        </w:rPr>
        <w:t>7</w:t>
      </w:r>
      <w:r w:rsidRPr="009851E0">
        <w:rPr>
          <w:lang w:val="ru-RU"/>
        </w:rPr>
        <w:t xml:space="preserve"> ГОД</w:t>
      </w:r>
      <w:bookmarkEnd w:id="260"/>
      <w:bookmarkEnd w:id="261"/>
      <w:bookmarkEnd w:id="262"/>
    </w:p>
    <w:p w:rsidR="00810A7E" w:rsidRPr="009851E0" w:rsidRDefault="00A02661" w:rsidP="00A02661">
      <w:pPr>
        <w:rPr>
          <w:lang w:val="ru-RU"/>
        </w:rPr>
      </w:pPr>
      <w:r w:rsidRPr="009851E0">
        <w:rPr>
          <w:lang w:val="ru-RU"/>
        </w:rPr>
        <w:t>63</w:t>
      </w:r>
      <w:r w:rsidR="00810A7E" w:rsidRPr="009851E0">
        <w:rPr>
          <w:lang w:val="ru-RU"/>
        </w:rPr>
        <w:tab/>
        <w:t>В этом Отчете показаны оперативные и финансовые доходы и расходы Организации, которые классифицированы, раскрыты и представлены на согласованной основе, с тем чтобы пояснить чистый дефицит или чистое активное сальдо за год. Финансов</w:t>
      </w:r>
      <w:r w:rsidR="00013C48" w:rsidRPr="009851E0">
        <w:rPr>
          <w:lang w:val="ru-RU"/>
        </w:rPr>
        <w:t>ый период завершен с дефицитом −</w:t>
      </w:r>
      <w:r w:rsidR="00810A7E" w:rsidRPr="009851E0">
        <w:rPr>
          <w:lang w:val="ru-RU"/>
        </w:rPr>
        <w:t>1</w:t>
      </w:r>
      <w:r w:rsidRPr="009851E0">
        <w:rPr>
          <w:lang w:val="ru-RU"/>
        </w:rPr>
        <w:t>7</w:t>
      </w:r>
      <w:r w:rsidR="00810A7E" w:rsidRPr="009851E0">
        <w:rPr>
          <w:lang w:val="ru-RU"/>
        </w:rPr>
        <w:t>,</w:t>
      </w:r>
      <w:r w:rsidRPr="009851E0">
        <w:rPr>
          <w:lang w:val="ru-RU"/>
        </w:rPr>
        <w:t>1</w:t>
      </w:r>
      <w:r w:rsidR="00810A7E" w:rsidRPr="009851E0">
        <w:rPr>
          <w:lang w:val="ru-RU"/>
        </w:rPr>
        <w:t> млн. швейцарских франков.</w:t>
      </w:r>
    </w:p>
    <w:p w:rsidR="00810A7E" w:rsidRPr="009851E0" w:rsidRDefault="00810A7E" w:rsidP="00170A17">
      <w:pPr>
        <w:pStyle w:val="Heading1"/>
        <w:rPr>
          <w:lang w:val="ru-RU"/>
        </w:rPr>
      </w:pPr>
      <w:bookmarkStart w:id="263" w:name="_Toc418501333"/>
      <w:bookmarkStart w:id="264" w:name="_Toc418597600"/>
      <w:bookmarkStart w:id="265" w:name="_Toc392672723"/>
      <w:bookmarkStart w:id="266" w:name="_Toc452157333"/>
      <w:bookmarkStart w:id="267" w:name="_Toc482995196"/>
      <w:bookmarkStart w:id="268" w:name="_Toc522633586"/>
      <w:r w:rsidRPr="009851E0">
        <w:rPr>
          <w:lang w:val="ru-RU"/>
        </w:rPr>
        <w:t>Доходы и расходы</w:t>
      </w:r>
      <w:bookmarkEnd w:id="263"/>
      <w:bookmarkEnd w:id="264"/>
      <w:bookmarkEnd w:id="265"/>
      <w:bookmarkEnd w:id="266"/>
      <w:bookmarkEnd w:id="267"/>
      <w:bookmarkEnd w:id="268"/>
    </w:p>
    <w:p w:rsidR="00810A7E" w:rsidRPr="009851E0" w:rsidRDefault="00831CF7" w:rsidP="00BA088C">
      <w:pPr>
        <w:rPr>
          <w:lang w:val="ru-RU"/>
        </w:rPr>
      </w:pPr>
      <w:r w:rsidRPr="009851E0">
        <w:rPr>
          <w:lang w:val="ru-RU"/>
        </w:rPr>
        <w:t>6</w:t>
      </w:r>
      <w:r w:rsidR="00A02661" w:rsidRPr="009851E0">
        <w:rPr>
          <w:lang w:val="ru-RU"/>
        </w:rPr>
        <w:t>4</w:t>
      </w:r>
      <w:r w:rsidR="00810A7E" w:rsidRPr="009851E0">
        <w:rPr>
          <w:lang w:val="ru-RU"/>
        </w:rPr>
        <w:tab/>
        <w:t>Общие доходы составили 17</w:t>
      </w:r>
      <w:r w:rsidR="00A02661" w:rsidRPr="009851E0">
        <w:rPr>
          <w:lang w:val="ru-RU"/>
        </w:rPr>
        <w:t>8</w:t>
      </w:r>
      <w:r w:rsidR="00810A7E" w:rsidRPr="009851E0">
        <w:rPr>
          <w:lang w:val="ru-RU"/>
        </w:rPr>
        <w:t>,</w:t>
      </w:r>
      <w:r w:rsidR="00610C46" w:rsidRPr="009851E0">
        <w:rPr>
          <w:lang w:val="ru-RU"/>
        </w:rPr>
        <w:t>5</w:t>
      </w:r>
      <w:r w:rsidR="00810A7E" w:rsidRPr="009851E0">
        <w:rPr>
          <w:lang w:val="ru-RU"/>
        </w:rPr>
        <w:t xml:space="preserve"> млн. швейцарских франков, что на </w:t>
      </w:r>
      <w:r w:rsidR="009137F5" w:rsidRPr="009851E0">
        <w:rPr>
          <w:lang w:val="ru-RU"/>
        </w:rPr>
        <w:t>2</w:t>
      </w:r>
      <w:r w:rsidR="00810A7E" w:rsidRPr="009851E0">
        <w:rPr>
          <w:lang w:val="ru-RU"/>
        </w:rPr>
        <w:t> млн. швейцарских франков (</w:t>
      </w:r>
      <w:r w:rsidR="00CA7DD0" w:rsidRPr="009851E0">
        <w:rPr>
          <w:lang w:val="ru-RU"/>
        </w:rPr>
        <w:t>+1,</w:t>
      </w:r>
      <w:r w:rsidR="00A02661" w:rsidRPr="009851E0">
        <w:rPr>
          <w:lang w:val="ru-RU"/>
        </w:rPr>
        <w:t>2</w:t>
      </w:r>
      <w:r w:rsidR="00810A7E" w:rsidRPr="009851E0">
        <w:rPr>
          <w:lang w:val="ru-RU"/>
        </w:rPr>
        <w:t xml:space="preserve">%) </w:t>
      </w:r>
      <w:r w:rsidR="009137F5" w:rsidRPr="009851E0">
        <w:rPr>
          <w:lang w:val="ru-RU"/>
        </w:rPr>
        <w:t>больше, чем в</w:t>
      </w:r>
      <w:r w:rsidR="00810A7E" w:rsidRPr="009851E0">
        <w:rPr>
          <w:lang w:val="ru-RU"/>
        </w:rPr>
        <w:t xml:space="preserve"> 201</w:t>
      </w:r>
      <w:r w:rsidR="00A02661" w:rsidRPr="009851E0">
        <w:rPr>
          <w:lang w:val="ru-RU"/>
        </w:rPr>
        <w:t>6</w:t>
      </w:r>
      <w:r w:rsidR="00810A7E" w:rsidRPr="009851E0">
        <w:rPr>
          <w:lang w:val="ru-RU"/>
        </w:rPr>
        <w:t> год</w:t>
      </w:r>
      <w:r w:rsidR="009137F5" w:rsidRPr="009851E0">
        <w:rPr>
          <w:lang w:val="ru-RU"/>
        </w:rPr>
        <w:t>у</w:t>
      </w:r>
      <w:r w:rsidR="00810A7E" w:rsidRPr="009851E0">
        <w:rPr>
          <w:lang w:val="ru-RU"/>
        </w:rPr>
        <w:t xml:space="preserve"> (1</w:t>
      </w:r>
      <w:r w:rsidR="0079230C" w:rsidRPr="009851E0">
        <w:rPr>
          <w:lang w:val="ru-RU"/>
        </w:rPr>
        <w:t>7</w:t>
      </w:r>
      <w:r w:rsidR="00A02661" w:rsidRPr="009851E0">
        <w:rPr>
          <w:lang w:val="ru-RU"/>
        </w:rPr>
        <w:t>6</w:t>
      </w:r>
      <w:r w:rsidR="00810A7E" w:rsidRPr="009851E0">
        <w:rPr>
          <w:lang w:val="ru-RU"/>
        </w:rPr>
        <w:t>,</w:t>
      </w:r>
      <w:r w:rsidR="00A02661" w:rsidRPr="009851E0">
        <w:rPr>
          <w:lang w:val="ru-RU"/>
        </w:rPr>
        <w:t>5</w:t>
      </w:r>
      <w:r w:rsidR="00810A7E" w:rsidRPr="009851E0">
        <w:rPr>
          <w:lang w:val="ru-RU"/>
        </w:rPr>
        <w:t> млн. швейцарских франков), в основном</w:t>
      </w:r>
      <w:r w:rsidR="009137F5" w:rsidRPr="009851E0">
        <w:rPr>
          <w:lang w:val="ru-RU"/>
        </w:rPr>
        <w:t xml:space="preserve"> в связи с увеличением</w:t>
      </w:r>
      <w:r w:rsidR="00BA088C" w:rsidRPr="009851E0">
        <w:rPr>
          <w:lang w:val="ru-RU"/>
        </w:rPr>
        <w:t>:</w:t>
      </w:r>
      <w:r w:rsidR="00810A7E" w:rsidRPr="009851E0">
        <w:rPr>
          <w:lang w:val="ru-RU"/>
        </w:rPr>
        <w:t xml:space="preserve"> i) добровольных взносов (</w:t>
      </w:r>
      <w:r w:rsidR="00A02661" w:rsidRPr="009851E0">
        <w:rPr>
          <w:lang w:val="ru-RU"/>
        </w:rPr>
        <w:t>+0</w:t>
      </w:r>
      <w:r w:rsidR="00810A7E" w:rsidRPr="009851E0">
        <w:rPr>
          <w:lang w:val="ru-RU"/>
        </w:rPr>
        <w:t>,</w:t>
      </w:r>
      <w:r w:rsidR="00A02661" w:rsidRPr="009851E0">
        <w:rPr>
          <w:lang w:val="ru-RU"/>
        </w:rPr>
        <w:t>4</w:t>
      </w:r>
      <w:r w:rsidR="00810A7E" w:rsidRPr="009851E0">
        <w:rPr>
          <w:lang w:val="ru-RU"/>
        </w:rPr>
        <w:t xml:space="preserve"> млн. швейцарских франков или </w:t>
      </w:r>
      <w:r w:rsidR="00603D18" w:rsidRPr="009851E0">
        <w:rPr>
          <w:lang w:val="ru-RU"/>
        </w:rPr>
        <w:t>+</w:t>
      </w:r>
      <w:r w:rsidR="00A02661" w:rsidRPr="009851E0">
        <w:rPr>
          <w:lang w:val="ru-RU"/>
        </w:rPr>
        <w:t>3</w:t>
      </w:r>
      <w:r w:rsidR="00810A7E" w:rsidRPr="009851E0">
        <w:rPr>
          <w:lang w:val="ru-RU"/>
        </w:rPr>
        <w:t>,</w:t>
      </w:r>
      <w:r w:rsidR="00A02661" w:rsidRPr="009851E0">
        <w:rPr>
          <w:lang w:val="ru-RU"/>
        </w:rPr>
        <w:t>7</w:t>
      </w:r>
      <w:r w:rsidR="00810A7E" w:rsidRPr="009851E0">
        <w:rPr>
          <w:lang w:val="ru-RU"/>
        </w:rPr>
        <w:t xml:space="preserve">%); ii) других доходов </w:t>
      </w:r>
      <w:r w:rsidR="00BA088C" w:rsidRPr="009851E0">
        <w:rPr>
          <w:lang w:val="ru-RU"/>
        </w:rPr>
        <w:t xml:space="preserve">от деятельности </w:t>
      </w:r>
      <w:r w:rsidR="00810A7E" w:rsidRPr="009851E0">
        <w:rPr>
          <w:lang w:val="ru-RU"/>
        </w:rPr>
        <w:t>(</w:t>
      </w:r>
      <w:r w:rsidR="0039369B" w:rsidRPr="009851E0">
        <w:rPr>
          <w:lang w:val="ru-RU"/>
        </w:rPr>
        <w:t>+</w:t>
      </w:r>
      <w:r w:rsidR="00A02661" w:rsidRPr="009851E0">
        <w:rPr>
          <w:lang w:val="ru-RU"/>
        </w:rPr>
        <w:t>2</w:t>
      </w:r>
      <w:r w:rsidR="00810A7E" w:rsidRPr="009851E0">
        <w:rPr>
          <w:lang w:val="ru-RU"/>
        </w:rPr>
        <w:t>,</w:t>
      </w:r>
      <w:r w:rsidR="00A02661" w:rsidRPr="009851E0">
        <w:rPr>
          <w:lang w:val="ru-RU"/>
        </w:rPr>
        <w:t>5</w:t>
      </w:r>
      <w:r w:rsidR="00810A7E" w:rsidRPr="009851E0">
        <w:rPr>
          <w:lang w:val="ru-RU"/>
        </w:rPr>
        <w:t xml:space="preserve"> млн. швейцарских франков или </w:t>
      </w:r>
      <w:r w:rsidR="00A02661" w:rsidRPr="009851E0">
        <w:rPr>
          <w:lang w:val="ru-RU"/>
        </w:rPr>
        <w:t>+5</w:t>
      </w:r>
      <w:r w:rsidR="00810A7E" w:rsidRPr="009851E0">
        <w:rPr>
          <w:lang w:val="ru-RU"/>
        </w:rPr>
        <w:t>,</w:t>
      </w:r>
      <w:r w:rsidR="00A02661" w:rsidRPr="009851E0">
        <w:rPr>
          <w:lang w:val="ru-RU"/>
        </w:rPr>
        <w:t>9</w:t>
      </w:r>
      <w:r w:rsidR="00810A7E" w:rsidRPr="009851E0">
        <w:rPr>
          <w:lang w:val="ru-RU"/>
        </w:rPr>
        <w:t>%), в частности у</w:t>
      </w:r>
      <w:r w:rsidR="009137F5" w:rsidRPr="009851E0">
        <w:rPr>
          <w:lang w:val="ru-RU"/>
        </w:rPr>
        <w:t>величен</w:t>
      </w:r>
      <w:r w:rsidR="00810A7E" w:rsidRPr="009851E0">
        <w:rPr>
          <w:lang w:val="ru-RU"/>
        </w:rPr>
        <w:t xml:space="preserve">ием внебюджетных доходов, связанных с </w:t>
      </w:r>
      <w:r w:rsidR="009137F5" w:rsidRPr="009851E0">
        <w:rPr>
          <w:lang w:val="ru-RU"/>
        </w:rPr>
        <w:t xml:space="preserve">поддержкой проектов, продажами </w:t>
      </w:r>
      <w:r w:rsidR="00810A7E" w:rsidRPr="009851E0">
        <w:rPr>
          <w:lang w:val="ru-RU"/>
        </w:rPr>
        <w:t>публикаций и</w:t>
      </w:r>
      <w:r w:rsidR="009137F5" w:rsidRPr="009851E0">
        <w:rPr>
          <w:lang w:val="ru-RU"/>
        </w:rPr>
        <w:t xml:space="preserve"> обработкой заявок на регистрацию спутниковых сетей</w:t>
      </w:r>
      <w:r w:rsidR="00810A7E" w:rsidRPr="009851E0">
        <w:rPr>
          <w:lang w:val="ru-RU"/>
        </w:rPr>
        <w:t>. Начисленные взносы на сумму 12</w:t>
      </w:r>
      <w:r w:rsidR="00544EF9" w:rsidRPr="009851E0">
        <w:rPr>
          <w:lang w:val="ru-RU"/>
        </w:rPr>
        <w:t>2</w:t>
      </w:r>
      <w:r w:rsidR="00810A7E" w:rsidRPr="009851E0">
        <w:rPr>
          <w:lang w:val="ru-RU"/>
        </w:rPr>
        <w:t>,</w:t>
      </w:r>
      <w:r w:rsidR="00A02661" w:rsidRPr="009851E0">
        <w:rPr>
          <w:lang w:val="ru-RU"/>
        </w:rPr>
        <w:t>4</w:t>
      </w:r>
      <w:r w:rsidR="00810A7E" w:rsidRPr="009851E0">
        <w:rPr>
          <w:lang w:val="ru-RU"/>
        </w:rPr>
        <w:t xml:space="preserve"> млн. швейцарских франков, что составляет </w:t>
      </w:r>
      <w:r w:rsidR="0080597C" w:rsidRPr="009851E0">
        <w:rPr>
          <w:lang w:val="ru-RU"/>
        </w:rPr>
        <w:t>69</w:t>
      </w:r>
      <w:r w:rsidR="00810A7E" w:rsidRPr="009851E0">
        <w:rPr>
          <w:lang w:val="ru-RU"/>
        </w:rPr>
        <w:t>,</w:t>
      </w:r>
      <w:r w:rsidR="0080597C" w:rsidRPr="009851E0">
        <w:rPr>
          <w:lang w:val="ru-RU"/>
        </w:rPr>
        <w:t>6</w:t>
      </w:r>
      <w:r w:rsidR="00810A7E" w:rsidRPr="009851E0">
        <w:rPr>
          <w:lang w:val="ru-RU"/>
        </w:rPr>
        <w:t>% от общих доход</w:t>
      </w:r>
      <w:r w:rsidR="00E61202" w:rsidRPr="009851E0">
        <w:rPr>
          <w:lang w:val="ru-RU"/>
        </w:rPr>
        <w:t>ов, уменьшились (</w:t>
      </w:r>
      <w:r w:rsidR="009137F5" w:rsidRPr="009851E0">
        <w:rPr>
          <w:lang w:val="ru-RU"/>
        </w:rPr>
        <w:t xml:space="preserve">на </w:t>
      </w:r>
      <w:r w:rsidR="00A02661" w:rsidRPr="009851E0">
        <w:rPr>
          <w:lang w:val="ru-RU"/>
        </w:rPr>
        <w:t>0</w:t>
      </w:r>
      <w:r w:rsidR="00810A7E" w:rsidRPr="009851E0">
        <w:rPr>
          <w:lang w:val="ru-RU"/>
        </w:rPr>
        <w:t>,</w:t>
      </w:r>
      <w:r w:rsidR="00A02661" w:rsidRPr="009851E0">
        <w:rPr>
          <w:lang w:val="ru-RU"/>
        </w:rPr>
        <w:t>5</w:t>
      </w:r>
      <w:r w:rsidR="00810A7E" w:rsidRPr="009851E0">
        <w:rPr>
          <w:lang w:val="ru-RU"/>
        </w:rPr>
        <w:t> млн. швейцарских франков или –</w:t>
      </w:r>
      <w:r w:rsidR="00A02661" w:rsidRPr="009851E0">
        <w:rPr>
          <w:lang w:val="ru-RU"/>
        </w:rPr>
        <w:t>0</w:t>
      </w:r>
      <w:r w:rsidR="00810A7E" w:rsidRPr="009851E0">
        <w:rPr>
          <w:lang w:val="ru-RU"/>
        </w:rPr>
        <w:t>,</w:t>
      </w:r>
      <w:r w:rsidR="00A02661" w:rsidRPr="009851E0">
        <w:rPr>
          <w:lang w:val="ru-RU"/>
        </w:rPr>
        <w:t>4</w:t>
      </w:r>
      <w:r w:rsidR="00810A7E" w:rsidRPr="009851E0">
        <w:rPr>
          <w:lang w:val="ru-RU"/>
        </w:rPr>
        <w:t>%) по сравнению с 201</w:t>
      </w:r>
      <w:r w:rsidR="00A02661" w:rsidRPr="009851E0">
        <w:rPr>
          <w:lang w:val="ru-RU"/>
        </w:rPr>
        <w:t>6</w:t>
      </w:r>
      <w:r w:rsidR="00810A7E" w:rsidRPr="009851E0">
        <w:rPr>
          <w:lang w:val="ru-RU"/>
        </w:rPr>
        <w:t> годом</w:t>
      </w:r>
      <w:r w:rsidR="009137F5" w:rsidRPr="009851E0">
        <w:rPr>
          <w:lang w:val="ru-RU"/>
        </w:rPr>
        <w:t xml:space="preserve">. Подробная информация о доходах с разбивкой представлена в </w:t>
      </w:r>
      <w:r w:rsidR="00A02661" w:rsidRPr="009851E0">
        <w:rPr>
          <w:lang w:val="ru-RU"/>
        </w:rPr>
        <w:t>Примечании 22</w:t>
      </w:r>
      <w:r w:rsidR="00810A7E" w:rsidRPr="009851E0">
        <w:rPr>
          <w:lang w:val="ru-RU"/>
        </w:rPr>
        <w:t xml:space="preserve"> к Отчету о финансовой деятельности.</w:t>
      </w:r>
    </w:p>
    <w:p w:rsidR="00810A7E" w:rsidRPr="009851E0" w:rsidRDefault="00A02661" w:rsidP="00E65E97">
      <w:pPr>
        <w:rPr>
          <w:lang w:val="ru-RU"/>
        </w:rPr>
      </w:pPr>
      <w:r w:rsidRPr="009851E0">
        <w:rPr>
          <w:lang w:val="ru-RU"/>
        </w:rPr>
        <w:t>65</w:t>
      </w:r>
      <w:r w:rsidR="00810A7E" w:rsidRPr="009851E0">
        <w:rPr>
          <w:lang w:val="ru-RU"/>
        </w:rPr>
        <w:tab/>
        <w:t xml:space="preserve">Расходы составили </w:t>
      </w:r>
      <w:r w:rsidRPr="009851E0">
        <w:rPr>
          <w:lang w:val="ru-RU"/>
        </w:rPr>
        <w:t>195</w:t>
      </w:r>
      <w:r w:rsidR="00810A7E" w:rsidRPr="009851E0">
        <w:rPr>
          <w:lang w:val="ru-RU"/>
        </w:rPr>
        <w:t>,</w:t>
      </w:r>
      <w:r w:rsidRPr="009851E0">
        <w:rPr>
          <w:lang w:val="ru-RU"/>
        </w:rPr>
        <w:t>6</w:t>
      </w:r>
      <w:r w:rsidR="00810A7E" w:rsidRPr="009851E0">
        <w:rPr>
          <w:lang w:val="ru-RU"/>
        </w:rPr>
        <w:t xml:space="preserve"> млн. швейцарских франков, </w:t>
      </w:r>
      <w:r w:rsidR="008839E1" w:rsidRPr="009851E0">
        <w:rPr>
          <w:lang w:val="ru-RU"/>
        </w:rPr>
        <w:t>что на</w:t>
      </w:r>
      <w:r w:rsidR="00810A7E" w:rsidRPr="009851E0">
        <w:rPr>
          <w:lang w:val="ru-RU"/>
        </w:rPr>
        <w:t xml:space="preserve"> </w:t>
      </w:r>
      <w:r w:rsidRPr="009851E0">
        <w:rPr>
          <w:lang w:val="ru-RU"/>
        </w:rPr>
        <w:t>7</w:t>
      </w:r>
      <w:r w:rsidR="00810A7E" w:rsidRPr="009851E0">
        <w:rPr>
          <w:lang w:val="ru-RU"/>
        </w:rPr>
        <w:t>,</w:t>
      </w:r>
      <w:r w:rsidRPr="009851E0">
        <w:rPr>
          <w:lang w:val="ru-RU"/>
        </w:rPr>
        <w:t>4</w:t>
      </w:r>
      <w:r w:rsidR="00810A7E" w:rsidRPr="009851E0">
        <w:rPr>
          <w:lang w:val="ru-RU"/>
        </w:rPr>
        <w:t> млн. швейцарских франков (</w:t>
      </w:r>
      <w:r w:rsidRPr="009851E0">
        <w:rPr>
          <w:lang w:val="ru-RU"/>
        </w:rPr>
        <w:t>+3</w:t>
      </w:r>
      <w:r w:rsidR="001D36C3" w:rsidRPr="009851E0">
        <w:rPr>
          <w:lang w:val="ru-RU"/>
        </w:rPr>
        <w:t>,</w:t>
      </w:r>
      <w:r w:rsidRPr="009851E0">
        <w:rPr>
          <w:lang w:val="ru-RU"/>
        </w:rPr>
        <w:t>9</w:t>
      </w:r>
      <w:r w:rsidR="00810A7E" w:rsidRPr="009851E0">
        <w:rPr>
          <w:lang w:val="ru-RU"/>
        </w:rPr>
        <w:t>%)</w:t>
      </w:r>
      <w:r w:rsidR="008839E1" w:rsidRPr="009851E0">
        <w:rPr>
          <w:lang w:val="ru-RU"/>
        </w:rPr>
        <w:t xml:space="preserve"> </w:t>
      </w:r>
      <w:r w:rsidRPr="009851E0">
        <w:rPr>
          <w:lang w:val="ru-RU"/>
        </w:rPr>
        <w:t>выше</w:t>
      </w:r>
      <w:r w:rsidR="008839E1" w:rsidRPr="009851E0">
        <w:rPr>
          <w:lang w:val="ru-RU"/>
        </w:rPr>
        <w:t>, чем в</w:t>
      </w:r>
      <w:r w:rsidR="00810A7E" w:rsidRPr="009851E0">
        <w:rPr>
          <w:lang w:val="ru-RU"/>
        </w:rPr>
        <w:t xml:space="preserve"> 201</w:t>
      </w:r>
      <w:r w:rsidRPr="009851E0">
        <w:rPr>
          <w:lang w:val="ru-RU"/>
        </w:rPr>
        <w:t>6</w:t>
      </w:r>
      <w:r w:rsidR="00810A7E" w:rsidRPr="009851E0">
        <w:rPr>
          <w:lang w:val="ru-RU"/>
        </w:rPr>
        <w:t> год</w:t>
      </w:r>
      <w:r w:rsidR="008839E1" w:rsidRPr="009851E0">
        <w:rPr>
          <w:lang w:val="ru-RU"/>
        </w:rPr>
        <w:t>у</w:t>
      </w:r>
      <w:r w:rsidR="00810A7E" w:rsidRPr="009851E0">
        <w:rPr>
          <w:lang w:val="ru-RU"/>
        </w:rPr>
        <w:t xml:space="preserve"> (</w:t>
      </w:r>
      <w:r w:rsidRPr="009851E0">
        <w:rPr>
          <w:lang w:val="ru-RU"/>
        </w:rPr>
        <w:t>188</w:t>
      </w:r>
      <w:r w:rsidR="00810A7E" w:rsidRPr="009851E0">
        <w:rPr>
          <w:lang w:val="ru-RU"/>
        </w:rPr>
        <w:t>,</w:t>
      </w:r>
      <w:r w:rsidRPr="009851E0">
        <w:rPr>
          <w:lang w:val="ru-RU"/>
        </w:rPr>
        <w:t>2</w:t>
      </w:r>
      <w:r w:rsidR="00810A7E" w:rsidRPr="009851E0">
        <w:rPr>
          <w:lang w:val="ru-RU"/>
        </w:rPr>
        <w:t> млн. швейцарских франков). Расходы по персоналу в размере 1</w:t>
      </w:r>
      <w:r w:rsidR="00FE01CA" w:rsidRPr="009851E0">
        <w:rPr>
          <w:lang w:val="ru-RU"/>
        </w:rPr>
        <w:t>4</w:t>
      </w:r>
      <w:r w:rsidRPr="009851E0">
        <w:rPr>
          <w:lang w:val="ru-RU"/>
        </w:rPr>
        <w:t>8,</w:t>
      </w:r>
      <w:r w:rsidR="00FE01CA" w:rsidRPr="009851E0">
        <w:rPr>
          <w:lang w:val="ru-RU"/>
        </w:rPr>
        <w:t>7</w:t>
      </w:r>
      <w:r w:rsidR="00810A7E" w:rsidRPr="009851E0">
        <w:rPr>
          <w:lang w:val="ru-RU"/>
        </w:rPr>
        <w:t xml:space="preserve"> млн. швейцарских франков, составляющие </w:t>
      </w:r>
      <w:r w:rsidRPr="009851E0">
        <w:rPr>
          <w:lang w:val="ru-RU"/>
        </w:rPr>
        <w:t>76</w:t>
      </w:r>
      <w:r w:rsidR="00810A7E" w:rsidRPr="009851E0">
        <w:rPr>
          <w:lang w:val="ru-RU"/>
        </w:rPr>
        <w:t xml:space="preserve">% общих расходов, </w:t>
      </w:r>
      <w:r w:rsidR="001C0E01" w:rsidRPr="009851E0">
        <w:rPr>
          <w:lang w:val="ru-RU"/>
        </w:rPr>
        <w:t>повысились</w:t>
      </w:r>
      <w:r w:rsidR="008839E1" w:rsidRPr="009851E0">
        <w:rPr>
          <w:lang w:val="ru-RU"/>
        </w:rPr>
        <w:t xml:space="preserve"> </w:t>
      </w:r>
      <w:r w:rsidR="00810A7E" w:rsidRPr="009851E0">
        <w:rPr>
          <w:lang w:val="ru-RU"/>
        </w:rPr>
        <w:t xml:space="preserve">на </w:t>
      </w:r>
      <w:r w:rsidR="001C0E01" w:rsidRPr="009851E0">
        <w:rPr>
          <w:lang w:val="ru-RU"/>
        </w:rPr>
        <w:t>1</w:t>
      </w:r>
      <w:r w:rsidR="00810A7E" w:rsidRPr="009851E0">
        <w:rPr>
          <w:lang w:val="ru-RU"/>
        </w:rPr>
        <w:t>,</w:t>
      </w:r>
      <w:r w:rsidR="001C0E01" w:rsidRPr="009851E0">
        <w:rPr>
          <w:lang w:val="ru-RU"/>
        </w:rPr>
        <w:t>7</w:t>
      </w:r>
      <w:r w:rsidR="00810A7E" w:rsidRPr="009851E0">
        <w:rPr>
          <w:lang w:val="ru-RU"/>
        </w:rPr>
        <w:t> млн. швейцарских франков (</w:t>
      </w:r>
      <w:r w:rsidR="00E65E97">
        <w:rPr>
          <w:lang w:val="en-US"/>
        </w:rPr>
        <w:t>+</w:t>
      </w:r>
      <w:bookmarkStart w:id="269" w:name="_GoBack"/>
      <w:bookmarkEnd w:id="269"/>
      <w:r w:rsidR="001C0E01" w:rsidRPr="009851E0">
        <w:rPr>
          <w:lang w:val="ru-RU"/>
        </w:rPr>
        <w:t>1</w:t>
      </w:r>
      <w:r w:rsidR="00FE01CA" w:rsidRPr="009851E0">
        <w:rPr>
          <w:lang w:val="ru-RU"/>
        </w:rPr>
        <w:t>,</w:t>
      </w:r>
      <w:r w:rsidR="001C0E01" w:rsidRPr="009851E0">
        <w:rPr>
          <w:lang w:val="ru-RU"/>
        </w:rPr>
        <w:t>2</w:t>
      </w:r>
      <w:r w:rsidR="00810A7E" w:rsidRPr="009851E0">
        <w:rPr>
          <w:lang w:val="ru-RU"/>
        </w:rPr>
        <w:t>%), как отмечается в Примечании 2</w:t>
      </w:r>
      <w:r w:rsidR="001C0E01" w:rsidRPr="009851E0">
        <w:rPr>
          <w:lang w:val="ru-RU"/>
        </w:rPr>
        <w:t>3</w:t>
      </w:r>
      <w:r w:rsidR="00810A7E" w:rsidRPr="009851E0">
        <w:rPr>
          <w:lang w:val="ru-RU"/>
        </w:rPr>
        <w:t xml:space="preserve"> к От</w:t>
      </w:r>
      <w:r w:rsidR="00510B83" w:rsidRPr="009851E0">
        <w:rPr>
          <w:lang w:val="ru-RU"/>
        </w:rPr>
        <w:t>чету о финансовой деятельности.</w:t>
      </w:r>
    </w:p>
    <w:p w:rsidR="00810A7E" w:rsidRPr="009851E0" w:rsidRDefault="00810A7E" w:rsidP="00170A17">
      <w:pPr>
        <w:pStyle w:val="Heading1"/>
        <w:rPr>
          <w:lang w:val="ru-RU"/>
        </w:rPr>
      </w:pPr>
      <w:bookmarkStart w:id="270" w:name="_Toc415170511"/>
      <w:bookmarkStart w:id="271" w:name="_Toc418501339"/>
      <w:bookmarkStart w:id="272" w:name="_Toc418597606"/>
      <w:bookmarkStart w:id="273" w:name="_Toc452157334"/>
      <w:bookmarkStart w:id="274" w:name="_Toc482995197"/>
      <w:bookmarkStart w:id="275" w:name="_Toc522633587"/>
      <w:r w:rsidRPr="009851E0">
        <w:rPr>
          <w:lang w:val="ru-RU"/>
        </w:rPr>
        <w:t>Персонал</w:t>
      </w:r>
      <w:bookmarkEnd w:id="270"/>
      <w:bookmarkEnd w:id="271"/>
      <w:bookmarkEnd w:id="272"/>
      <w:bookmarkEnd w:id="273"/>
      <w:bookmarkEnd w:id="274"/>
      <w:bookmarkEnd w:id="275"/>
    </w:p>
    <w:p w:rsidR="00203AF2" w:rsidRPr="009851E0" w:rsidRDefault="00975DA9" w:rsidP="009420DC">
      <w:pPr>
        <w:pStyle w:val="Heading1"/>
        <w:rPr>
          <w:i/>
          <w:iCs/>
          <w:lang w:val="ru-RU"/>
        </w:rPr>
      </w:pPr>
      <w:bookmarkStart w:id="276" w:name="_Toc522633588"/>
      <w:r w:rsidRPr="009851E0">
        <w:rPr>
          <w:i/>
          <w:iCs/>
          <w:lang w:val="ru-RU"/>
        </w:rPr>
        <w:t xml:space="preserve">Рационализация функции </w:t>
      </w:r>
      <w:r w:rsidR="009420DC" w:rsidRPr="009851E0">
        <w:rPr>
          <w:i/>
          <w:iCs/>
          <w:lang w:val="ru-RU"/>
        </w:rPr>
        <w:t>выплат ЛР</w:t>
      </w:r>
      <w:bookmarkEnd w:id="276"/>
    </w:p>
    <w:p w:rsidR="00810A7E" w:rsidRPr="009851E0" w:rsidRDefault="00203AF2" w:rsidP="00661918">
      <w:pPr>
        <w:rPr>
          <w:lang w:val="ru-RU"/>
        </w:rPr>
      </w:pPr>
      <w:r w:rsidRPr="009851E0">
        <w:rPr>
          <w:lang w:val="ru-RU"/>
        </w:rPr>
        <w:t>66</w:t>
      </w:r>
      <w:r w:rsidRPr="009851E0">
        <w:rPr>
          <w:lang w:val="ru-RU"/>
        </w:rPr>
        <w:tab/>
      </w:r>
      <w:r w:rsidR="009420DC" w:rsidRPr="009851E0">
        <w:rPr>
          <w:lang w:val="ru-RU"/>
        </w:rPr>
        <w:t>В рамках наших проверок, касающихся персонала,</w:t>
      </w:r>
      <w:r w:rsidRPr="009851E0">
        <w:rPr>
          <w:lang w:val="ru-RU"/>
        </w:rPr>
        <w:t xml:space="preserve"> мы </w:t>
      </w:r>
      <w:r w:rsidR="00810A7E" w:rsidRPr="009851E0">
        <w:rPr>
          <w:lang w:val="ru-RU"/>
        </w:rPr>
        <w:t>прове</w:t>
      </w:r>
      <w:r w:rsidR="00BD00DB" w:rsidRPr="009851E0">
        <w:rPr>
          <w:lang w:val="ru-RU"/>
        </w:rPr>
        <w:t>ри</w:t>
      </w:r>
      <w:r w:rsidR="00810A7E" w:rsidRPr="009851E0">
        <w:rPr>
          <w:lang w:val="ru-RU"/>
        </w:rPr>
        <w:t>ли</w:t>
      </w:r>
      <w:r w:rsidR="00BD00DB" w:rsidRPr="009851E0">
        <w:rPr>
          <w:lang w:val="ru-RU"/>
        </w:rPr>
        <w:t xml:space="preserve"> ряд</w:t>
      </w:r>
      <w:r w:rsidR="00810A7E" w:rsidRPr="009851E0">
        <w:rPr>
          <w:lang w:val="ru-RU"/>
        </w:rPr>
        <w:t xml:space="preserve"> произвольно отобранных </w:t>
      </w:r>
      <w:r w:rsidR="00BD00DB" w:rsidRPr="009851E0">
        <w:rPr>
          <w:lang w:val="ru-RU"/>
        </w:rPr>
        <w:t xml:space="preserve">ведомостей заработной платы </w:t>
      </w:r>
      <w:r w:rsidR="00810A7E" w:rsidRPr="009851E0">
        <w:rPr>
          <w:lang w:val="ru-RU"/>
        </w:rPr>
        <w:t>сотрудников</w:t>
      </w:r>
      <w:r w:rsidRPr="009851E0">
        <w:rPr>
          <w:lang w:val="ru-RU"/>
        </w:rPr>
        <w:t xml:space="preserve">. </w:t>
      </w:r>
      <w:r w:rsidR="00810A7E" w:rsidRPr="009851E0">
        <w:rPr>
          <w:lang w:val="ru-RU"/>
        </w:rPr>
        <w:t xml:space="preserve">Наша выборка включала </w:t>
      </w:r>
      <w:r w:rsidR="009420DC" w:rsidRPr="009851E0">
        <w:rPr>
          <w:lang w:val="ru-RU"/>
        </w:rPr>
        <w:t>сотрудников категорий</w:t>
      </w:r>
      <w:r w:rsidRPr="009851E0">
        <w:rPr>
          <w:lang w:val="ru-RU"/>
        </w:rPr>
        <w:t xml:space="preserve"> G </w:t>
      </w:r>
      <w:r w:rsidR="009420DC" w:rsidRPr="009851E0">
        <w:rPr>
          <w:lang w:val="ru-RU"/>
        </w:rPr>
        <w:t>и</w:t>
      </w:r>
      <w:r w:rsidRPr="009851E0">
        <w:rPr>
          <w:lang w:val="ru-RU"/>
        </w:rPr>
        <w:t xml:space="preserve"> P, </w:t>
      </w:r>
      <w:r w:rsidR="009420DC" w:rsidRPr="009851E0">
        <w:rPr>
          <w:lang w:val="ru-RU"/>
        </w:rPr>
        <w:t>имеющих контракты неопределенной или ограниченной продолжительности, работающих как в Женеве, так и за ее пределами</w:t>
      </w:r>
      <w:r w:rsidR="00BD00DB" w:rsidRPr="009851E0">
        <w:rPr>
          <w:lang w:val="ru-RU"/>
        </w:rPr>
        <w:t>.</w:t>
      </w:r>
      <w:r w:rsidR="00810A7E" w:rsidRPr="009851E0">
        <w:rPr>
          <w:lang w:val="ru-RU"/>
        </w:rPr>
        <w:t xml:space="preserve"> Мы проверили точность</w:t>
      </w:r>
      <w:r w:rsidR="00BD00DB" w:rsidRPr="009851E0">
        <w:rPr>
          <w:lang w:val="ru-RU"/>
        </w:rPr>
        <w:t xml:space="preserve"> </w:t>
      </w:r>
      <w:r w:rsidR="009420DC" w:rsidRPr="009851E0">
        <w:rPr>
          <w:lang w:val="ru-RU"/>
        </w:rPr>
        <w:t>фактически выплаченных</w:t>
      </w:r>
      <w:r w:rsidR="00BD00DB" w:rsidRPr="009851E0">
        <w:rPr>
          <w:lang w:val="ru-RU"/>
        </w:rPr>
        <w:t xml:space="preserve"> сумм в сравнении с соответствующими пакетами вознаграждения и запросили данные из личных дел</w:t>
      </w:r>
      <w:r w:rsidR="00810A7E" w:rsidRPr="009851E0">
        <w:rPr>
          <w:lang w:val="ru-RU"/>
        </w:rPr>
        <w:t xml:space="preserve">, </w:t>
      </w:r>
      <w:r w:rsidR="00BD00DB" w:rsidRPr="009851E0">
        <w:rPr>
          <w:lang w:val="ru-RU"/>
        </w:rPr>
        <w:t>подтверждающие необходимость предоставления пособий</w:t>
      </w:r>
      <w:r w:rsidR="00810A7E" w:rsidRPr="009851E0">
        <w:rPr>
          <w:lang w:val="ru-RU"/>
        </w:rPr>
        <w:t xml:space="preserve">. </w:t>
      </w:r>
      <w:r w:rsidR="00715209" w:rsidRPr="009851E0">
        <w:rPr>
          <w:lang w:val="ru-RU"/>
        </w:rPr>
        <w:t>Наши проверки выявили ряд пробелов в обновлении документации, поддерживающей выплаты</w:t>
      </w:r>
      <w:r w:rsidR="00592DA2" w:rsidRPr="009851E0">
        <w:rPr>
          <w:lang w:val="ru-RU"/>
        </w:rPr>
        <w:t xml:space="preserve">. </w:t>
      </w:r>
      <w:r w:rsidR="00715209" w:rsidRPr="009851E0">
        <w:rPr>
          <w:lang w:val="ru-RU"/>
        </w:rPr>
        <w:t xml:space="preserve">Руководство подтвердило наличие накопившегося объема невыполненной работы в отношении обновления </w:t>
      </w:r>
      <w:r w:rsidR="00661918" w:rsidRPr="009851E0">
        <w:rPr>
          <w:lang w:val="ru-RU"/>
        </w:rPr>
        <w:t>административных данных, что, по оценкам руководства, касается примерно ста сотрудников</w:t>
      </w:r>
      <w:r w:rsidR="00592DA2" w:rsidRPr="009851E0">
        <w:rPr>
          <w:lang w:val="ru-RU"/>
        </w:rPr>
        <w:t xml:space="preserve">. </w:t>
      </w:r>
      <w:r w:rsidR="00661918" w:rsidRPr="009851E0">
        <w:rPr>
          <w:lang w:val="ru-RU"/>
        </w:rPr>
        <w:t>Несоответствие личных дел реальной ситуации не позволило нам проверить условия получения права и установить, имели ли место последствия в отношении окончательных сумм, внесенных в счета</w:t>
      </w:r>
      <w:r w:rsidR="00592DA2" w:rsidRPr="009851E0">
        <w:rPr>
          <w:lang w:val="ru-RU"/>
        </w:rPr>
        <w:t>.</w:t>
      </w:r>
    </w:p>
    <w:p w:rsidR="00592DA2" w:rsidRPr="009851E0" w:rsidRDefault="00592DA2" w:rsidP="00DA148A">
      <w:pPr>
        <w:rPr>
          <w:lang w:val="ru-RU"/>
        </w:rPr>
      </w:pPr>
      <w:bookmarkStart w:id="277" w:name="_Toc415170513"/>
      <w:r w:rsidRPr="009851E0">
        <w:rPr>
          <w:lang w:val="ru-RU"/>
        </w:rPr>
        <w:t>67</w:t>
      </w:r>
      <w:r w:rsidRPr="009851E0">
        <w:rPr>
          <w:lang w:val="ru-RU"/>
        </w:rPr>
        <w:tab/>
      </w:r>
      <w:r w:rsidR="00FC6B15" w:rsidRPr="009851E0">
        <w:rPr>
          <w:lang w:val="ru-RU"/>
        </w:rPr>
        <w:t>В более общем плане мы выявили фрагментацию в потоках информации, касающейся персонала, повсюду в МСЭ: данные вводятся в систему по несколько раз более чем по одной позиции, с параллельными архивами, и в полноте всех их нельзя быть уверенными</w:t>
      </w:r>
      <w:r w:rsidRPr="009851E0">
        <w:rPr>
          <w:lang w:val="ru-RU"/>
        </w:rPr>
        <w:t xml:space="preserve">. </w:t>
      </w:r>
      <w:r w:rsidR="00FC6B15" w:rsidRPr="009851E0">
        <w:rPr>
          <w:lang w:val="ru-RU"/>
        </w:rPr>
        <w:t xml:space="preserve">До настоящего </w:t>
      </w:r>
      <w:r w:rsidR="00DA148A" w:rsidRPr="009851E0">
        <w:rPr>
          <w:lang w:val="ru-RU"/>
        </w:rPr>
        <w:t>времени такой метод работы не вызвал какого-либо крупного затруднения, но он предполагает трудоемкое согласование данных и подвергает МСЭ риску, связанному с неполным объемом данных</w:t>
      </w:r>
      <w:r w:rsidRPr="009851E0">
        <w:rPr>
          <w:lang w:val="ru-RU"/>
        </w:rPr>
        <w:t>.</w:t>
      </w:r>
    </w:p>
    <w:p w:rsidR="00592DA2" w:rsidRPr="009851E0" w:rsidRDefault="00592DA2" w:rsidP="004612AD">
      <w:pPr>
        <w:rPr>
          <w:lang w:val="ru-RU"/>
        </w:rPr>
      </w:pPr>
      <w:r w:rsidRPr="009851E0">
        <w:rPr>
          <w:lang w:val="ru-RU"/>
        </w:rPr>
        <w:t>68</w:t>
      </w:r>
      <w:r w:rsidRPr="009851E0">
        <w:rPr>
          <w:lang w:val="ru-RU"/>
        </w:rPr>
        <w:tab/>
      </w:r>
      <w:r w:rsidR="00DA148A" w:rsidRPr="009851E0">
        <w:rPr>
          <w:lang w:val="ru-RU"/>
        </w:rPr>
        <w:t>В 2017 году был внедрен новый пакет вознаграждения для сотрудников категории специалистов и выше, в соответствии с Решением </w:t>
      </w:r>
      <w:r w:rsidRPr="009851E0">
        <w:rPr>
          <w:lang w:val="ru-RU"/>
        </w:rPr>
        <w:t xml:space="preserve">593, </w:t>
      </w:r>
      <w:r w:rsidR="00DA148A" w:rsidRPr="009851E0">
        <w:rPr>
          <w:lang w:val="ru-RU"/>
        </w:rPr>
        <w:t>которое было принято Советом</w:t>
      </w:r>
      <w:r w:rsidRPr="009851E0">
        <w:rPr>
          <w:lang w:val="ru-RU"/>
        </w:rPr>
        <w:t xml:space="preserve"> 2016</w:t>
      </w:r>
      <w:r w:rsidR="00026F25" w:rsidRPr="009851E0">
        <w:rPr>
          <w:lang w:val="ru-RU"/>
        </w:rPr>
        <w:t> года</w:t>
      </w:r>
      <w:r w:rsidRPr="009851E0">
        <w:rPr>
          <w:lang w:val="ru-RU"/>
        </w:rPr>
        <w:t xml:space="preserve"> </w:t>
      </w:r>
      <w:r w:rsidR="00DA148A" w:rsidRPr="009851E0">
        <w:rPr>
          <w:lang w:val="ru-RU"/>
        </w:rPr>
        <w:t>с целью сдерживания совокупных затрат</w:t>
      </w:r>
      <w:r w:rsidRPr="009851E0">
        <w:rPr>
          <w:lang w:val="ru-RU"/>
        </w:rPr>
        <w:t xml:space="preserve">. </w:t>
      </w:r>
      <w:r w:rsidR="00DA148A" w:rsidRPr="009851E0">
        <w:rPr>
          <w:lang w:val="ru-RU"/>
        </w:rPr>
        <w:t>В пакет входят следующие основные компоненты</w:t>
      </w:r>
      <w:r w:rsidRPr="009851E0">
        <w:rPr>
          <w:lang w:val="ru-RU"/>
        </w:rPr>
        <w:t xml:space="preserve">: </w:t>
      </w:r>
      <w:r w:rsidR="00DA148A" w:rsidRPr="009851E0">
        <w:rPr>
          <w:color w:val="000000"/>
          <w:lang w:val="ru-RU"/>
        </w:rPr>
        <w:t>шкала окладов с едиными ставками</w:t>
      </w:r>
      <w:r w:rsidRPr="009851E0">
        <w:rPr>
          <w:lang w:val="ru-RU"/>
        </w:rPr>
        <w:t xml:space="preserve">, </w:t>
      </w:r>
      <w:r w:rsidR="00DA148A" w:rsidRPr="009851E0">
        <w:rPr>
          <w:lang w:val="ru-RU"/>
        </w:rPr>
        <w:t>изменения в повышении степеней</w:t>
      </w:r>
      <w:r w:rsidRPr="009851E0">
        <w:rPr>
          <w:lang w:val="ru-RU"/>
        </w:rPr>
        <w:t xml:space="preserve">, </w:t>
      </w:r>
      <w:r w:rsidR="00DA148A" w:rsidRPr="009851E0">
        <w:rPr>
          <w:lang w:val="ru-RU"/>
        </w:rPr>
        <w:t xml:space="preserve">изменения надбавок на иждивенцев и сокращение компенсации расходов на </w:t>
      </w:r>
      <w:r w:rsidR="004612AD" w:rsidRPr="009851E0">
        <w:rPr>
          <w:lang w:val="ru-RU"/>
        </w:rPr>
        <w:t>образование</w:t>
      </w:r>
      <w:r w:rsidRPr="009851E0">
        <w:rPr>
          <w:lang w:val="ru-RU"/>
        </w:rPr>
        <w:t xml:space="preserve">. </w:t>
      </w:r>
      <w:r w:rsidR="004612AD" w:rsidRPr="009851E0">
        <w:rPr>
          <w:lang w:val="ru-RU"/>
        </w:rPr>
        <w:t>Новый пакет (за исключением образовательной программы</w:t>
      </w:r>
      <w:r w:rsidRPr="009851E0">
        <w:rPr>
          <w:lang w:val="ru-RU"/>
        </w:rPr>
        <w:t xml:space="preserve">) </w:t>
      </w:r>
      <w:r w:rsidR="004612AD" w:rsidRPr="009851E0">
        <w:rPr>
          <w:lang w:val="ru-RU"/>
        </w:rPr>
        <w:t>был введен в действие</w:t>
      </w:r>
      <w:r w:rsidRPr="009851E0">
        <w:rPr>
          <w:lang w:val="ru-RU"/>
        </w:rPr>
        <w:t xml:space="preserve"> 1</w:t>
      </w:r>
      <w:r w:rsidR="00026F25" w:rsidRPr="009851E0">
        <w:rPr>
          <w:lang w:val="ru-RU"/>
        </w:rPr>
        <w:t> января</w:t>
      </w:r>
      <w:r w:rsidRPr="009851E0">
        <w:rPr>
          <w:lang w:val="ru-RU"/>
        </w:rPr>
        <w:t xml:space="preserve"> 2017</w:t>
      </w:r>
      <w:r w:rsidR="00026F25" w:rsidRPr="009851E0">
        <w:rPr>
          <w:lang w:val="ru-RU"/>
        </w:rPr>
        <w:t> года</w:t>
      </w:r>
      <w:r w:rsidRPr="009851E0">
        <w:rPr>
          <w:lang w:val="ru-RU"/>
        </w:rPr>
        <w:t xml:space="preserve">. </w:t>
      </w:r>
      <w:r w:rsidR="004612AD" w:rsidRPr="009851E0">
        <w:rPr>
          <w:lang w:val="ru-RU"/>
        </w:rPr>
        <w:t>Тем не менее во время нашего посещения в апреле</w:t>
      </w:r>
      <w:r w:rsidRPr="009851E0">
        <w:rPr>
          <w:lang w:val="ru-RU"/>
        </w:rPr>
        <w:t xml:space="preserve"> 2018</w:t>
      </w:r>
      <w:r w:rsidR="004612AD" w:rsidRPr="009851E0">
        <w:rPr>
          <w:lang w:val="ru-RU"/>
        </w:rPr>
        <w:t> года автоматическая обработка данных не была полностью внедрена, и часть данных приходилось вводить вручную</w:t>
      </w:r>
      <w:r w:rsidRPr="009851E0">
        <w:rPr>
          <w:lang w:val="ru-RU"/>
        </w:rPr>
        <w:t xml:space="preserve"> (</w:t>
      </w:r>
      <w:r w:rsidR="004612AD" w:rsidRPr="009851E0">
        <w:rPr>
          <w:lang w:val="ru-RU"/>
        </w:rPr>
        <w:t>так обстояло дело с субсидиями на аренду и вспомогательными надбавками на иждивенцев</w:t>
      </w:r>
      <w:r w:rsidRPr="009851E0">
        <w:rPr>
          <w:lang w:val="ru-RU"/>
        </w:rPr>
        <w:t xml:space="preserve">). </w:t>
      </w:r>
      <w:r w:rsidR="004612AD" w:rsidRPr="009851E0">
        <w:rPr>
          <w:lang w:val="ru-RU"/>
        </w:rPr>
        <w:t>До настоящего времени было невозможным отказаться от старых приложений</w:t>
      </w:r>
      <w:r w:rsidRPr="009851E0">
        <w:rPr>
          <w:lang w:val="ru-RU"/>
        </w:rPr>
        <w:t xml:space="preserve">. </w:t>
      </w:r>
    </w:p>
    <w:p w:rsidR="00592DA2" w:rsidRPr="009851E0" w:rsidRDefault="00592DA2" w:rsidP="00A609CB">
      <w:pPr>
        <w:spacing w:after="120"/>
        <w:rPr>
          <w:lang w:val="ru-RU"/>
        </w:rPr>
      </w:pPr>
      <w:r w:rsidRPr="009851E0">
        <w:rPr>
          <w:lang w:val="ru-RU"/>
        </w:rPr>
        <w:t>69</w:t>
      </w:r>
      <w:r w:rsidRPr="009851E0">
        <w:rPr>
          <w:lang w:val="ru-RU"/>
        </w:rPr>
        <w:tab/>
      </w:r>
      <w:r w:rsidR="004612AD" w:rsidRPr="009851E0">
        <w:rPr>
          <w:lang w:val="ru-RU"/>
        </w:rPr>
        <w:t>Риск, связанный с ошибками, может проявиться и позже</w:t>
      </w:r>
      <w:r w:rsidRPr="009851E0">
        <w:rPr>
          <w:lang w:val="ru-RU"/>
        </w:rPr>
        <w:t xml:space="preserve">. </w:t>
      </w:r>
      <w:r w:rsidR="00A609CB" w:rsidRPr="009851E0">
        <w:rPr>
          <w:lang w:val="ru-RU"/>
        </w:rPr>
        <w:t>На практике после внедрения возникли некоторые аномалии, что потребовало впоследствии исправлений вручную, в частности в отношении соответствия между статусом наличия иждивенцев в платежных ведомостях и персональными данными, касающимися фактического семейного положения</w:t>
      </w:r>
      <w:r w:rsidRPr="009851E0">
        <w:rPr>
          <w:lang w:val="ru-RU"/>
        </w:rPr>
        <w:t xml:space="preserve">. </w:t>
      </w:r>
      <w:r w:rsidR="00A609CB" w:rsidRPr="009851E0">
        <w:rPr>
          <w:lang w:val="ru-RU"/>
        </w:rPr>
        <w:t>Это потребовало последующего урегулирования</w:t>
      </w:r>
      <w:r w:rsidRPr="009851E0">
        <w:rPr>
          <w:lang w:val="ru-RU"/>
        </w:rPr>
        <w:t>.</w:t>
      </w:r>
    </w:p>
    <w:tbl>
      <w:tblPr>
        <w:tblStyle w:val="TableGrid2"/>
        <w:tblW w:w="0" w:type="auto"/>
        <w:tblInd w:w="-5" w:type="dxa"/>
        <w:tblLook w:val="04A0" w:firstRow="1" w:lastRow="0" w:firstColumn="1" w:lastColumn="0" w:noHBand="0" w:noVBand="1"/>
      </w:tblPr>
      <w:tblGrid>
        <w:gridCol w:w="9634"/>
      </w:tblGrid>
      <w:tr w:rsidR="00205494" w:rsidRPr="00E65E97" w:rsidTr="001A6382">
        <w:tc>
          <w:tcPr>
            <w:tcW w:w="9634" w:type="dxa"/>
          </w:tcPr>
          <w:p w:rsidR="00205494" w:rsidRPr="009851E0" w:rsidRDefault="00205494" w:rsidP="00205494">
            <w:pPr>
              <w:keepNext/>
              <w:rPr>
                <w:b/>
                <w:bCs/>
                <w:i/>
                <w:iCs/>
                <w:lang w:val="ru-RU"/>
              </w:rPr>
            </w:pPr>
            <w:r w:rsidRPr="009851E0">
              <w:rPr>
                <w:b/>
                <w:bCs/>
                <w:i/>
                <w:iCs/>
                <w:lang w:val="ru-RU"/>
              </w:rPr>
              <w:t>Рекомендация 2</w:t>
            </w:r>
          </w:p>
          <w:p w:rsidR="00205494" w:rsidRPr="009851E0" w:rsidRDefault="00205494" w:rsidP="00A609CB">
            <w:pPr>
              <w:spacing w:after="120"/>
              <w:rPr>
                <w:lang w:val="ru-RU"/>
              </w:rPr>
            </w:pPr>
            <w:r w:rsidRPr="009851E0">
              <w:rPr>
                <w:lang w:val="ru-RU"/>
              </w:rPr>
              <w:t>70</w:t>
            </w:r>
            <w:r w:rsidRPr="009851E0">
              <w:rPr>
                <w:lang w:val="ru-RU"/>
              </w:rPr>
              <w:tab/>
            </w:r>
            <w:r w:rsidR="00A609CB" w:rsidRPr="009851E0">
              <w:rPr>
                <w:u w:val="single"/>
                <w:lang w:val="ru-RU"/>
              </w:rPr>
              <w:t>Мы рекомендуем</w:t>
            </w:r>
            <w:r w:rsidR="00A609CB" w:rsidRPr="009851E0">
              <w:rPr>
                <w:lang w:val="ru-RU"/>
              </w:rPr>
              <w:t>, чтобы руководство для уменьшения риска неточностей</w:t>
            </w:r>
            <w:r w:rsidRPr="009851E0">
              <w:rPr>
                <w:lang w:val="ru-RU"/>
              </w:rPr>
              <w:t>:</w:t>
            </w:r>
          </w:p>
          <w:p w:rsidR="00205494" w:rsidRPr="009851E0" w:rsidRDefault="00205494" w:rsidP="00A609CB">
            <w:pPr>
              <w:pStyle w:val="enumlev1"/>
              <w:rPr>
                <w:lang w:val="ru-RU"/>
              </w:rPr>
            </w:pPr>
            <w:r w:rsidRPr="009851E0">
              <w:rPr>
                <w:lang w:val="ru-RU"/>
              </w:rPr>
              <w:t>1)</w:t>
            </w:r>
            <w:r w:rsidRPr="009851E0">
              <w:rPr>
                <w:lang w:val="ru-RU"/>
              </w:rPr>
              <w:tab/>
            </w:r>
            <w:r w:rsidR="00A609CB" w:rsidRPr="009851E0">
              <w:rPr>
                <w:lang w:val="ru-RU"/>
              </w:rPr>
              <w:t>приняло чрезвычайные меры</w:t>
            </w:r>
            <w:r w:rsidRPr="009851E0">
              <w:rPr>
                <w:lang w:val="ru-RU"/>
              </w:rPr>
              <w:t xml:space="preserve"> (</w:t>
            </w:r>
            <w:r w:rsidR="00A609CB" w:rsidRPr="009851E0">
              <w:rPr>
                <w:lang w:val="ru-RU"/>
              </w:rPr>
              <w:t>например, создало специальную целевую группу</w:t>
            </w:r>
            <w:r w:rsidRPr="009851E0">
              <w:rPr>
                <w:lang w:val="ru-RU"/>
              </w:rPr>
              <w:t xml:space="preserve">) </w:t>
            </w:r>
            <w:r w:rsidR="00A609CB" w:rsidRPr="009851E0">
              <w:rPr>
                <w:lang w:val="ru-RU"/>
              </w:rPr>
              <w:t>для ликвидации накопившегося объема невыполненной работы по личным делам в кратчайшие сроки</w:t>
            </w:r>
            <w:r w:rsidRPr="009851E0">
              <w:rPr>
                <w:lang w:val="ru-RU"/>
              </w:rPr>
              <w:t xml:space="preserve">; </w:t>
            </w:r>
          </w:p>
          <w:p w:rsidR="00205494" w:rsidRPr="009851E0" w:rsidRDefault="00205494" w:rsidP="00A609CB">
            <w:pPr>
              <w:pStyle w:val="enumlev1"/>
              <w:rPr>
                <w:lang w:val="ru-RU"/>
              </w:rPr>
            </w:pPr>
            <w:r w:rsidRPr="009851E0">
              <w:rPr>
                <w:lang w:val="ru-RU"/>
              </w:rPr>
              <w:t>2)</w:t>
            </w:r>
            <w:r w:rsidRPr="009851E0">
              <w:rPr>
                <w:lang w:val="ru-RU"/>
              </w:rPr>
              <w:tab/>
            </w:r>
            <w:r w:rsidR="00A609CB" w:rsidRPr="009851E0">
              <w:rPr>
                <w:lang w:val="ru-RU"/>
              </w:rPr>
              <w:t>рационализировало потоки хранения данных и управления ими, тем самым корректируя существующую фрагментацию</w:t>
            </w:r>
            <w:r w:rsidRPr="009851E0">
              <w:rPr>
                <w:lang w:val="ru-RU"/>
              </w:rPr>
              <w:t xml:space="preserve">; </w:t>
            </w:r>
          </w:p>
          <w:p w:rsidR="00205494" w:rsidRPr="009851E0" w:rsidRDefault="00205494" w:rsidP="006A62B3">
            <w:pPr>
              <w:pStyle w:val="enumlev1"/>
              <w:rPr>
                <w:lang w:val="ru-RU"/>
              </w:rPr>
            </w:pPr>
            <w:r w:rsidRPr="009851E0">
              <w:rPr>
                <w:lang w:val="ru-RU"/>
              </w:rPr>
              <w:t>3)</w:t>
            </w:r>
            <w:r w:rsidRPr="009851E0">
              <w:rPr>
                <w:lang w:val="ru-RU"/>
              </w:rPr>
              <w:tab/>
            </w:r>
            <w:r w:rsidR="00A609CB" w:rsidRPr="009851E0">
              <w:rPr>
                <w:lang w:val="ru-RU"/>
              </w:rPr>
              <w:t>вложило средства в ресурсы ИТ</w:t>
            </w:r>
            <w:r w:rsidR="006A62B3" w:rsidRPr="009851E0">
              <w:rPr>
                <w:lang w:val="ru-RU"/>
              </w:rPr>
              <w:t>, чтобы ликвидировать ввод данных вручную в связи с новым пакетом вознаграждения, следуя списку заранее определенных неотложных работ, и</w:t>
            </w:r>
            <w:r w:rsidRPr="009851E0">
              <w:rPr>
                <w:lang w:val="ru-RU"/>
              </w:rPr>
              <w:t xml:space="preserve"> </w:t>
            </w:r>
          </w:p>
          <w:p w:rsidR="00205494" w:rsidRPr="009851E0" w:rsidRDefault="00205494" w:rsidP="006A62B3">
            <w:pPr>
              <w:pStyle w:val="enumlev1"/>
              <w:spacing w:after="120"/>
              <w:rPr>
                <w:lang w:val="ru-RU"/>
              </w:rPr>
            </w:pPr>
            <w:r w:rsidRPr="009851E0">
              <w:rPr>
                <w:lang w:val="ru-RU"/>
              </w:rPr>
              <w:t>4)</w:t>
            </w:r>
            <w:r w:rsidRPr="009851E0">
              <w:rPr>
                <w:lang w:val="ru-RU"/>
              </w:rPr>
              <w:tab/>
            </w:r>
            <w:r w:rsidR="006A62B3" w:rsidRPr="009851E0">
              <w:rPr>
                <w:lang w:val="ru-RU"/>
              </w:rPr>
              <w:t>усовершенствовало функцию выплаты заработной платы, введя дополнительные проверки начисления заработной платы</w:t>
            </w:r>
            <w:r w:rsidRPr="009851E0">
              <w:rPr>
                <w:lang w:val="ru-RU"/>
              </w:rPr>
              <w:t>.</w:t>
            </w:r>
          </w:p>
        </w:tc>
      </w:tr>
    </w:tbl>
    <w:p w:rsidR="00205494" w:rsidRPr="009851E0" w:rsidRDefault="00205494" w:rsidP="00205494">
      <w:pPr>
        <w:rPr>
          <w:lang w:val="ru-RU"/>
        </w:rPr>
      </w:pPr>
    </w:p>
    <w:tbl>
      <w:tblPr>
        <w:tblStyle w:val="TableGrid2"/>
        <w:tblW w:w="0" w:type="auto"/>
        <w:tblInd w:w="-5" w:type="dxa"/>
        <w:tblLook w:val="04A0" w:firstRow="1" w:lastRow="0" w:firstColumn="1" w:lastColumn="0" w:noHBand="0" w:noVBand="1"/>
      </w:tblPr>
      <w:tblGrid>
        <w:gridCol w:w="9634"/>
      </w:tblGrid>
      <w:tr w:rsidR="00205494" w:rsidRPr="00E65E97" w:rsidTr="009913E5">
        <w:trPr>
          <w:cantSplit/>
        </w:trPr>
        <w:tc>
          <w:tcPr>
            <w:tcW w:w="9634" w:type="dxa"/>
            <w:tcBorders>
              <w:bottom w:val="single" w:sz="4" w:space="0" w:color="auto"/>
            </w:tcBorders>
          </w:tcPr>
          <w:p w:rsidR="00205494" w:rsidRPr="009851E0" w:rsidRDefault="00205494" w:rsidP="001A6382">
            <w:pPr>
              <w:rPr>
                <w:b/>
                <w:bCs/>
                <w:i/>
                <w:iCs/>
                <w:u w:val="single"/>
                <w:lang w:val="ru-RU"/>
              </w:rPr>
            </w:pPr>
            <w:r w:rsidRPr="009851E0">
              <w:rPr>
                <w:b/>
                <w:bCs/>
                <w:i/>
                <w:iCs/>
                <w:u w:val="single"/>
                <w:lang w:val="ru-RU"/>
              </w:rPr>
              <w:t>Комментарии Генерального секретаря</w:t>
            </w:r>
          </w:p>
          <w:p w:rsidR="00205494" w:rsidRPr="009851E0" w:rsidRDefault="00182082" w:rsidP="00CA710E">
            <w:pPr>
              <w:spacing w:after="120"/>
              <w:rPr>
                <w:lang w:val="ru-RU"/>
              </w:rPr>
            </w:pPr>
            <w:r w:rsidRPr="009851E0">
              <w:rPr>
                <w:lang w:val="ru-RU"/>
              </w:rPr>
              <w:t>Полностью поддерживаем эти рекомендации</w:t>
            </w:r>
            <w:r w:rsidR="00205494" w:rsidRPr="009851E0">
              <w:rPr>
                <w:lang w:val="ru-RU"/>
              </w:rPr>
              <w:t xml:space="preserve">. </w:t>
            </w:r>
            <w:r w:rsidRPr="009851E0">
              <w:rPr>
                <w:lang w:val="ru-RU"/>
              </w:rPr>
              <w:t xml:space="preserve">Департамент </w:t>
            </w:r>
            <w:r w:rsidR="00D33D41" w:rsidRPr="009851E0">
              <w:rPr>
                <w:lang w:val="ru-RU"/>
              </w:rPr>
              <w:t>HRM</w:t>
            </w:r>
            <w:r w:rsidRPr="009851E0">
              <w:rPr>
                <w:lang w:val="ru-RU"/>
              </w:rPr>
              <w:t xml:space="preserve"> разрабатывает ряд мер (краткосрочных, среднесрочных и долгосрочных), рассчитанных на решение различных проблем, упомянутых Внешними аудиторами, </w:t>
            </w:r>
            <w:r w:rsidR="00CA710E" w:rsidRPr="009851E0">
              <w:rPr>
                <w:lang w:val="ru-RU"/>
              </w:rPr>
              <w:t>включая</w:t>
            </w:r>
            <w:r w:rsidR="00205494" w:rsidRPr="009851E0">
              <w:rPr>
                <w:lang w:val="ru-RU"/>
              </w:rPr>
              <w:t>:</w:t>
            </w:r>
          </w:p>
          <w:p w:rsidR="00205494" w:rsidRPr="009851E0" w:rsidRDefault="00205494" w:rsidP="00CA710E">
            <w:pPr>
              <w:pStyle w:val="enumlev1"/>
              <w:rPr>
                <w:lang w:val="ru-RU"/>
              </w:rPr>
            </w:pPr>
            <w:r w:rsidRPr="009851E0">
              <w:rPr>
                <w:lang w:val="ru-RU"/>
              </w:rPr>
              <w:t>−</w:t>
            </w:r>
            <w:r w:rsidRPr="009851E0">
              <w:rPr>
                <w:lang w:val="ru-RU"/>
              </w:rPr>
              <w:tab/>
            </w:r>
            <w:r w:rsidR="00D33D41" w:rsidRPr="009851E0">
              <w:rPr>
                <w:lang w:val="ru-RU"/>
              </w:rPr>
              <w:t>реорганизаци</w:t>
            </w:r>
            <w:r w:rsidR="00CA710E" w:rsidRPr="009851E0">
              <w:rPr>
                <w:lang w:val="ru-RU"/>
              </w:rPr>
              <w:t>ю</w:t>
            </w:r>
            <w:r w:rsidR="00D33D41" w:rsidRPr="009851E0">
              <w:rPr>
                <w:lang w:val="ru-RU"/>
              </w:rPr>
              <w:t xml:space="preserve"> Департамента HRM, завершена в 2017 году</w:t>
            </w:r>
            <w:r w:rsidRPr="009851E0">
              <w:rPr>
                <w:lang w:val="ru-RU"/>
              </w:rPr>
              <w:t>;</w:t>
            </w:r>
          </w:p>
          <w:p w:rsidR="00205494" w:rsidRPr="009851E0" w:rsidRDefault="00205494" w:rsidP="00D33D41">
            <w:pPr>
              <w:pStyle w:val="enumlev1"/>
              <w:rPr>
                <w:lang w:val="ru-RU"/>
              </w:rPr>
            </w:pPr>
            <w:r w:rsidRPr="009851E0">
              <w:rPr>
                <w:lang w:val="ru-RU"/>
              </w:rPr>
              <w:t>−</w:t>
            </w:r>
            <w:r w:rsidRPr="009851E0">
              <w:rPr>
                <w:lang w:val="ru-RU"/>
              </w:rPr>
              <w:tab/>
            </w:r>
            <w:r w:rsidR="00D33D41" w:rsidRPr="009851E0">
              <w:rPr>
                <w:lang w:val="ru-RU"/>
              </w:rPr>
              <w:t>анализ бизнес-процессов для оценки существующих процессов и процедур, с целью упорядочения имеющихся и введения требуемых новых, например, для поддержки внедрения нового пакета вознаграждения (конкретнее новой программы грантов на образование</w:t>
            </w:r>
            <w:r w:rsidRPr="009851E0">
              <w:rPr>
                <w:lang w:val="ru-RU"/>
              </w:rPr>
              <w:t>);</w:t>
            </w:r>
          </w:p>
          <w:p w:rsidR="00205494" w:rsidRPr="009851E0" w:rsidRDefault="00205494" w:rsidP="00CA710E">
            <w:pPr>
              <w:pStyle w:val="enumlev1"/>
              <w:rPr>
                <w:lang w:val="ru-RU"/>
              </w:rPr>
            </w:pPr>
            <w:r w:rsidRPr="009851E0">
              <w:rPr>
                <w:lang w:val="ru-RU"/>
              </w:rPr>
              <w:t>−</w:t>
            </w:r>
            <w:r w:rsidRPr="009851E0">
              <w:rPr>
                <w:lang w:val="ru-RU"/>
              </w:rPr>
              <w:tab/>
            </w:r>
            <w:r w:rsidR="00D33D41" w:rsidRPr="009851E0">
              <w:rPr>
                <w:lang w:val="ru-RU"/>
              </w:rPr>
              <w:t xml:space="preserve">завершение составления полного перечня требований по ИТ, для обсуждения с Департаментом </w:t>
            </w:r>
            <w:r w:rsidRPr="009851E0">
              <w:rPr>
                <w:lang w:val="ru-RU"/>
              </w:rPr>
              <w:t xml:space="preserve">IS, </w:t>
            </w:r>
            <w:r w:rsidR="00D33D41" w:rsidRPr="009851E0">
              <w:rPr>
                <w:lang w:val="ru-RU"/>
              </w:rPr>
              <w:t>для разработки плана действий, охватывающего существующие в системах недостатки</w:t>
            </w:r>
            <w:r w:rsidRPr="009851E0">
              <w:rPr>
                <w:lang w:val="ru-RU"/>
              </w:rPr>
              <w:t xml:space="preserve">, </w:t>
            </w:r>
            <w:r w:rsidR="00D33D41" w:rsidRPr="009851E0">
              <w:rPr>
                <w:lang w:val="ru-RU"/>
              </w:rPr>
              <w:t>разработк</w:t>
            </w:r>
            <w:r w:rsidR="00CA710E" w:rsidRPr="009851E0">
              <w:rPr>
                <w:lang w:val="ru-RU"/>
              </w:rPr>
              <w:t>у</w:t>
            </w:r>
            <w:r w:rsidR="00D33D41" w:rsidRPr="009851E0">
              <w:rPr>
                <w:lang w:val="ru-RU"/>
              </w:rPr>
              <w:t xml:space="preserve"> новых функций</w:t>
            </w:r>
            <w:r w:rsidRPr="009851E0">
              <w:rPr>
                <w:lang w:val="ru-RU"/>
              </w:rPr>
              <w:t xml:space="preserve">, </w:t>
            </w:r>
            <w:r w:rsidR="00D33D41" w:rsidRPr="009851E0">
              <w:rPr>
                <w:lang w:val="ru-RU"/>
              </w:rPr>
              <w:t>автоматизаци</w:t>
            </w:r>
            <w:r w:rsidR="00CA710E" w:rsidRPr="009851E0">
              <w:rPr>
                <w:lang w:val="ru-RU"/>
              </w:rPr>
              <w:t>ю</w:t>
            </w:r>
            <w:r w:rsidR="00D33D41" w:rsidRPr="009851E0">
              <w:rPr>
                <w:lang w:val="ru-RU"/>
              </w:rPr>
              <w:t xml:space="preserve"> существующих </w:t>
            </w:r>
            <w:r w:rsidR="00EA57F8" w:rsidRPr="009851E0">
              <w:rPr>
                <w:lang w:val="ru-RU"/>
              </w:rPr>
              <w:t>ручных процессов, разработк</w:t>
            </w:r>
            <w:r w:rsidR="00CA710E" w:rsidRPr="009851E0">
              <w:rPr>
                <w:lang w:val="ru-RU"/>
              </w:rPr>
              <w:t>у</w:t>
            </w:r>
            <w:r w:rsidR="00EA57F8" w:rsidRPr="009851E0">
              <w:rPr>
                <w:lang w:val="ru-RU"/>
              </w:rPr>
              <w:t xml:space="preserve"> дополнительных функций </w:t>
            </w:r>
            <w:r w:rsidRPr="009851E0">
              <w:rPr>
                <w:lang w:val="ru-RU"/>
              </w:rPr>
              <w:t>ESS (</w:t>
            </w:r>
            <w:r w:rsidR="00EA57F8" w:rsidRPr="009851E0">
              <w:rPr>
                <w:lang w:val="ru-RU"/>
              </w:rPr>
              <w:t>самообслуживания сотрудников</w:t>
            </w:r>
            <w:r w:rsidRPr="009851E0">
              <w:rPr>
                <w:lang w:val="ru-RU"/>
              </w:rPr>
              <w:t xml:space="preserve">) </w:t>
            </w:r>
            <w:r w:rsidR="00EA57F8" w:rsidRPr="009851E0">
              <w:rPr>
                <w:lang w:val="ru-RU"/>
              </w:rPr>
              <w:t>и т. п</w:t>
            </w:r>
            <w:r w:rsidRPr="009851E0">
              <w:rPr>
                <w:lang w:val="ru-RU"/>
              </w:rPr>
              <w:t>.;</w:t>
            </w:r>
          </w:p>
          <w:p w:rsidR="00205494" w:rsidRPr="009851E0" w:rsidRDefault="00205494" w:rsidP="00CA710E">
            <w:pPr>
              <w:pStyle w:val="enumlev1"/>
              <w:spacing w:after="120"/>
              <w:rPr>
                <w:lang w:val="ru-RU"/>
              </w:rPr>
            </w:pPr>
            <w:r w:rsidRPr="009851E0">
              <w:rPr>
                <w:lang w:val="ru-RU"/>
              </w:rPr>
              <w:t>−</w:t>
            </w:r>
            <w:r w:rsidRPr="009851E0">
              <w:rPr>
                <w:lang w:val="ru-RU"/>
              </w:rPr>
              <w:tab/>
            </w:r>
            <w:r w:rsidR="00EA57F8" w:rsidRPr="009851E0">
              <w:rPr>
                <w:lang w:val="ru-RU"/>
              </w:rPr>
              <w:t>рассмотрение и, при необходимости, повторн</w:t>
            </w:r>
            <w:r w:rsidR="00CA710E" w:rsidRPr="009851E0">
              <w:rPr>
                <w:lang w:val="ru-RU"/>
              </w:rPr>
              <w:t>ую</w:t>
            </w:r>
            <w:r w:rsidR="00EA57F8" w:rsidRPr="009851E0">
              <w:rPr>
                <w:lang w:val="ru-RU"/>
              </w:rPr>
              <w:t xml:space="preserve"> разработк</w:t>
            </w:r>
            <w:r w:rsidR="00CA710E" w:rsidRPr="009851E0">
              <w:rPr>
                <w:lang w:val="ru-RU"/>
              </w:rPr>
              <w:t>у</w:t>
            </w:r>
            <w:r w:rsidR="00EA57F8" w:rsidRPr="009851E0">
              <w:rPr>
                <w:lang w:val="ru-RU"/>
              </w:rPr>
              <w:t xml:space="preserve"> проекта электронных личных дел, реализация которого началась в 2010 году, для перевода в виртуальную форму информации, которой управляет Департамент</w:t>
            </w:r>
            <w:r w:rsidRPr="009851E0">
              <w:rPr>
                <w:lang w:val="ru-RU"/>
              </w:rPr>
              <w:t xml:space="preserve"> HRM, </w:t>
            </w:r>
            <w:r w:rsidR="00EA57F8" w:rsidRPr="009851E0">
              <w:rPr>
                <w:lang w:val="ru-RU"/>
              </w:rPr>
              <w:t>при введении этой информации в более защищенную и комплексную систему управления информацией</w:t>
            </w:r>
            <w:r w:rsidRPr="009851E0">
              <w:rPr>
                <w:lang w:val="ru-RU"/>
              </w:rPr>
              <w:t>.</w:t>
            </w:r>
          </w:p>
        </w:tc>
      </w:tr>
    </w:tbl>
    <w:p w:rsidR="001A6382" w:rsidRPr="009851E0" w:rsidRDefault="00EA57F8" w:rsidP="00EA57F8">
      <w:pPr>
        <w:pStyle w:val="Heading1"/>
        <w:rPr>
          <w:i/>
          <w:iCs/>
          <w:lang w:val="ru-RU"/>
        </w:rPr>
      </w:pPr>
      <w:bookmarkStart w:id="278" w:name="_Toc522633589"/>
      <w:r w:rsidRPr="009851E0">
        <w:rPr>
          <w:i/>
          <w:iCs/>
          <w:lang w:val="ru-RU"/>
        </w:rPr>
        <w:t>Необходима политика кадрового планирования</w:t>
      </w:r>
      <w:bookmarkEnd w:id="278"/>
    </w:p>
    <w:p w:rsidR="001A6382" w:rsidRPr="009851E0" w:rsidRDefault="001A6382" w:rsidP="00791C6E">
      <w:pPr>
        <w:rPr>
          <w:lang w:val="ru-RU"/>
        </w:rPr>
      </w:pPr>
      <w:r w:rsidRPr="009851E0">
        <w:rPr>
          <w:lang w:val="ru-RU"/>
        </w:rPr>
        <w:t>71</w:t>
      </w:r>
      <w:r w:rsidRPr="009851E0">
        <w:rPr>
          <w:lang w:val="ru-RU"/>
        </w:rPr>
        <w:tab/>
      </w:r>
      <w:r w:rsidR="00EF4C9C" w:rsidRPr="009851E0">
        <w:rPr>
          <w:lang w:val="ru-RU"/>
        </w:rPr>
        <w:t xml:space="preserve">Завершение работы над Стратегическим планом </w:t>
      </w:r>
      <w:r w:rsidR="00386559" w:rsidRPr="009851E0">
        <w:rPr>
          <w:lang w:val="ru-RU"/>
        </w:rPr>
        <w:t>в области людских ресурсов</w:t>
      </w:r>
      <w:r w:rsidR="00EF4C9C" w:rsidRPr="009851E0">
        <w:rPr>
          <w:lang w:val="ru-RU"/>
        </w:rPr>
        <w:t>, проект основы которого был представлен Совету в прошлом году, было отложено в связи с решением согласовать его по содержанию и срокам с решениями высокого уровня по Стратегическому плану и Финансовому плану МСЭ, которые предстоит утвердить на следующей Полномочной конференции</w:t>
      </w:r>
      <w:r w:rsidRPr="009851E0">
        <w:rPr>
          <w:lang w:val="ru-RU"/>
        </w:rPr>
        <w:t xml:space="preserve">. </w:t>
      </w:r>
      <w:r w:rsidR="00EF4C9C" w:rsidRPr="009851E0">
        <w:rPr>
          <w:lang w:val="ru-RU"/>
        </w:rPr>
        <w:t xml:space="preserve">Это привело к постановке вопроса об определении комплексного плана </w:t>
      </w:r>
      <w:r w:rsidR="00386559" w:rsidRPr="009851E0">
        <w:rPr>
          <w:lang w:val="ru-RU"/>
        </w:rPr>
        <w:t>в области людских ресурсов</w:t>
      </w:r>
      <w:r w:rsidR="00EF4C9C" w:rsidRPr="009851E0">
        <w:rPr>
          <w:lang w:val="ru-RU"/>
        </w:rPr>
        <w:t>, появление которого реалистично ожидать весной 2019 года</w:t>
      </w:r>
      <w:r w:rsidRPr="009851E0">
        <w:rPr>
          <w:lang w:val="ru-RU"/>
        </w:rPr>
        <w:t xml:space="preserve">. </w:t>
      </w:r>
      <w:r w:rsidR="00EF4C9C" w:rsidRPr="009851E0">
        <w:rPr>
          <w:lang w:val="ru-RU"/>
        </w:rPr>
        <w:t xml:space="preserve">Последний Стратегический план </w:t>
      </w:r>
      <w:r w:rsidR="00386559" w:rsidRPr="009851E0">
        <w:rPr>
          <w:lang w:val="ru-RU"/>
        </w:rPr>
        <w:t>в области людских ресурсов</w:t>
      </w:r>
      <w:r w:rsidR="00EF4C9C" w:rsidRPr="009851E0">
        <w:rPr>
          <w:lang w:val="ru-RU"/>
        </w:rPr>
        <w:t xml:space="preserve"> был утвержден в </w:t>
      </w:r>
      <w:r w:rsidRPr="009851E0">
        <w:rPr>
          <w:lang w:val="ru-RU"/>
        </w:rPr>
        <w:t xml:space="preserve">2010 году </w:t>
      </w:r>
      <w:r w:rsidR="00EF4C9C" w:rsidRPr="009851E0">
        <w:rPr>
          <w:lang w:val="ru-RU"/>
        </w:rPr>
        <w:t>и охватывал период</w:t>
      </w:r>
      <w:r w:rsidRPr="009851E0">
        <w:rPr>
          <w:lang w:val="ru-RU"/>
        </w:rPr>
        <w:t xml:space="preserve"> 2010−2015 годов. </w:t>
      </w:r>
      <w:r w:rsidR="00EF4C9C" w:rsidRPr="009851E0">
        <w:rPr>
          <w:lang w:val="ru-RU"/>
        </w:rPr>
        <w:t>Промежуточного обновления не было, даже после ПК в Пусане в 2014 году</w:t>
      </w:r>
      <w:r w:rsidRPr="009851E0">
        <w:rPr>
          <w:lang w:val="ru-RU"/>
        </w:rPr>
        <w:t xml:space="preserve">. </w:t>
      </w:r>
      <w:r w:rsidR="00EF4C9C" w:rsidRPr="009851E0">
        <w:rPr>
          <w:lang w:val="ru-RU"/>
        </w:rPr>
        <w:t xml:space="preserve">Существующий План был расценен </w:t>
      </w:r>
      <w:r w:rsidR="00791C6E" w:rsidRPr="009851E0">
        <w:rPr>
          <w:lang w:val="ru-RU"/>
        </w:rPr>
        <w:t xml:space="preserve">ОИГ </w:t>
      </w:r>
      <w:r w:rsidR="00EF4C9C" w:rsidRPr="009851E0">
        <w:rPr>
          <w:lang w:val="ru-RU"/>
        </w:rPr>
        <w:t xml:space="preserve">как </w:t>
      </w:r>
      <w:r w:rsidR="00791C6E" w:rsidRPr="009851E0">
        <w:rPr>
          <w:lang w:val="ru-RU"/>
        </w:rPr>
        <w:t>"недостаточный для стратегического управления людскими ресурсами"</w:t>
      </w:r>
      <w:r w:rsidRPr="009851E0">
        <w:rPr>
          <w:lang w:val="ru-RU"/>
        </w:rPr>
        <w:t xml:space="preserve"> (2016 г.)</w:t>
      </w:r>
      <w:r w:rsidR="00791C6E" w:rsidRPr="009851E0">
        <w:rPr>
          <w:lang w:val="ru-RU"/>
        </w:rPr>
        <w:t>; эта Группа призвала к проведению углубленной оценки для определения мер, необходимых для стратегического улучшения</w:t>
      </w:r>
      <w:r w:rsidRPr="009851E0">
        <w:rPr>
          <w:lang w:val="ru-RU"/>
        </w:rPr>
        <w:t xml:space="preserve">. </w:t>
      </w:r>
    </w:p>
    <w:p w:rsidR="001A6382" w:rsidRPr="009851E0" w:rsidRDefault="001A6382" w:rsidP="00144AB0">
      <w:pPr>
        <w:rPr>
          <w:lang w:val="ru-RU"/>
        </w:rPr>
      </w:pPr>
      <w:r w:rsidRPr="009851E0">
        <w:rPr>
          <w:lang w:val="ru-RU"/>
        </w:rPr>
        <w:t>72</w:t>
      </w:r>
      <w:r w:rsidRPr="009851E0">
        <w:rPr>
          <w:lang w:val="ru-RU"/>
        </w:rPr>
        <w:tab/>
      </w:r>
      <w:r w:rsidR="00791C6E" w:rsidRPr="009851E0">
        <w:rPr>
          <w:lang w:val="ru-RU"/>
        </w:rPr>
        <w:t xml:space="preserve">В отсутствие </w:t>
      </w:r>
      <w:r w:rsidR="00FA296D" w:rsidRPr="009851E0">
        <w:rPr>
          <w:lang w:val="ru-RU"/>
        </w:rPr>
        <w:t xml:space="preserve">допущений и указаний в области стратегического планирования управление людскими ресурсами </w:t>
      </w:r>
      <w:r w:rsidR="00144AB0" w:rsidRPr="009851E0">
        <w:rPr>
          <w:lang w:val="ru-RU"/>
        </w:rPr>
        <w:t xml:space="preserve">определялось в основном экономическими ограничениями и необходимостью сокращения затрат, установленной ПК в Пусане в </w:t>
      </w:r>
      <w:r w:rsidRPr="009851E0">
        <w:rPr>
          <w:lang w:val="ru-RU"/>
        </w:rPr>
        <w:t>2014</w:t>
      </w:r>
      <w:r w:rsidR="00144AB0" w:rsidRPr="009851E0">
        <w:rPr>
          <w:lang w:val="ru-RU"/>
        </w:rPr>
        <w:t> году</w:t>
      </w:r>
      <w:r w:rsidRPr="009851E0">
        <w:rPr>
          <w:lang w:val="ru-RU"/>
        </w:rPr>
        <w:t>.</w:t>
      </w:r>
    </w:p>
    <w:p w:rsidR="001A6382" w:rsidRPr="009851E0" w:rsidRDefault="001A6382" w:rsidP="00CA710E">
      <w:pPr>
        <w:rPr>
          <w:lang w:val="ru-RU"/>
        </w:rPr>
      </w:pPr>
      <w:r w:rsidRPr="009851E0">
        <w:rPr>
          <w:lang w:val="ru-RU"/>
        </w:rPr>
        <w:t>73</w:t>
      </w:r>
      <w:r w:rsidRPr="009851E0">
        <w:rPr>
          <w:lang w:val="ru-RU"/>
        </w:rPr>
        <w:tab/>
      </w:r>
      <w:r w:rsidR="00144AB0" w:rsidRPr="009851E0">
        <w:rPr>
          <w:lang w:val="ru-RU"/>
        </w:rPr>
        <w:t>В Документе</w:t>
      </w:r>
      <w:r w:rsidRPr="009851E0">
        <w:rPr>
          <w:lang w:val="ru-RU"/>
        </w:rPr>
        <w:t xml:space="preserve"> C18/45 </w:t>
      </w:r>
      <w:r w:rsidR="00144AB0" w:rsidRPr="009851E0">
        <w:rPr>
          <w:lang w:val="ru-RU"/>
        </w:rPr>
        <w:t>содержится отчет о вкладе каждой из мер, направленных на повышение эффективности, в общую экономию, в соответствии с Приложением </w:t>
      </w:r>
      <w:r w:rsidRPr="009851E0">
        <w:rPr>
          <w:lang w:val="ru-RU"/>
        </w:rPr>
        <w:t xml:space="preserve">2 </w:t>
      </w:r>
      <w:r w:rsidR="00144AB0" w:rsidRPr="009851E0">
        <w:rPr>
          <w:lang w:val="ru-RU"/>
        </w:rPr>
        <w:t>к Решению </w:t>
      </w:r>
      <w:r w:rsidRPr="009851E0">
        <w:rPr>
          <w:lang w:val="ru-RU"/>
        </w:rPr>
        <w:t>5 (</w:t>
      </w:r>
      <w:r w:rsidR="00B661A2" w:rsidRPr="009851E0">
        <w:rPr>
          <w:lang w:val="ru-RU"/>
        </w:rPr>
        <w:t>Пересм</w:t>
      </w:r>
      <w:r w:rsidRPr="009851E0">
        <w:rPr>
          <w:lang w:val="ru-RU"/>
        </w:rPr>
        <w:t xml:space="preserve">. </w:t>
      </w:r>
      <w:r w:rsidR="00B661A2" w:rsidRPr="009851E0">
        <w:rPr>
          <w:lang w:val="ru-RU"/>
        </w:rPr>
        <w:t>Пусан</w:t>
      </w:r>
      <w:r w:rsidRPr="009851E0">
        <w:rPr>
          <w:lang w:val="ru-RU"/>
        </w:rPr>
        <w:t>, 2014</w:t>
      </w:r>
      <w:r w:rsidR="00B661A2" w:rsidRPr="009851E0">
        <w:rPr>
          <w:lang w:val="ru-RU"/>
        </w:rPr>
        <w:t> г.</w:t>
      </w:r>
      <w:r w:rsidRPr="009851E0">
        <w:rPr>
          <w:lang w:val="ru-RU"/>
        </w:rPr>
        <w:t xml:space="preserve">), </w:t>
      </w:r>
      <w:r w:rsidR="00144AB0" w:rsidRPr="009851E0">
        <w:rPr>
          <w:lang w:val="ru-RU"/>
        </w:rPr>
        <w:t>за период</w:t>
      </w:r>
      <w:r w:rsidR="00B661A2" w:rsidRPr="009851E0">
        <w:rPr>
          <w:lang w:val="ru-RU"/>
        </w:rPr>
        <w:t xml:space="preserve"> 2014−2019 годов</w:t>
      </w:r>
      <w:r w:rsidRPr="009851E0">
        <w:rPr>
          <w:lang w:val="ru-RU"/>
        </w:rPr>
        <w:t xml:space="preserve">. </w:t>
      </w:r>
      <w:r w:rsidR="00144AB0" w:rsidRPr="009851E0">
        <w:rPr>
          <w:lang w:val="ru-RU"/>
        </w:rPr>
        <w:t xml:space="preserve">Из общей суммы экономии в </w:t>
      </w:r>
      <w:r w:rsidRPr="009851E0">
        <w:rPr>
          <w:lang w:val="ru-RU"/>
        </w:rPr>
        <w:t>54</w:t>
      </w:r>
      <w:r w:rsidR="00B661A2" w:rsidRPr="009851E0">
        <w:rPr>
          <w:lang w:val="ru-RU"/>
        </w:rPr>
        <w:t>,</w:t>
      </w:r>
      <w:r w:rsidRPr="009851E0">
        <w:rPr>
          <w:lang w:val="ru-RU"/>
        </w:rPr>
        <w:t>7</w:t>
      </w:r>
      <w:r w:rsidR="00144AB0" w:rsidRPr="009851E0">
        <w:rPr>
          <w:lang w:val="ru-RU"/>
        </w:rPr>
        <w:t> </w:t>
      </w:r>
      <w:r w:rsidR="00B661A2" w:rsidRPr="009851E0">
        <w:rPr>
          <w:lang w:val="ru-RU"/>
        </w:rPr>
        <w:t>млн. швейцарских франков</w:t>
      </w:r>
      <w:r w:rsidRPr="009851E0">
        <w:rPr>
          <w:lang w:val="ru-RU"/>
        </w:rPr>
        <w:t xml:space="preserve">, </w:t>
      </w:r>
      <w:r w:rsidR="00144AB0" w:rsidRPr="009851E0">
        <w:rPr>
          <w:lang w:val="ru-RU"/>
        </w:rPr>
        <w:t>частично уже полученной, а частично ожидаемой в следующем двухгодичном периоде</w:t>
      </w:r>
      <w:r w:rsidR="00B661A2" w:rsidRPr="009851E0">
        <w:rPr>
          <w:lang w:val="ru-RU"/>
        </w:rPr>
        <w:t>, 35,</w:t>
      </w:r>
      <w:r w:rsidR="00144AB0" w:rsidRPr="009851E0">
        <w:rPr>
          <w:lang w:val="ru-RU"/>
        </w:rPr>
        <w:t>4 </w:t>
      </w:r>
      <w:r w:rsidR="00B661A2" w:rsidRPr="009851E0">
        <w:rPr>
          <w:lang w:val="ru-RU"/>
        </w:rPr>
        <w:t xml:space="preserve">млн. швейцарских франков </w:t>
      </w:r>
      <w:r w:rsidRPr="009851E0">
        <w:rPr>
          <w:lang w:val="ru-RU"/>
        </w:rPr>
        <w:t>(</w:t>
      </w:r>
      <w:r w:rsidR="00144AB0" w:rsidRPr="009851E0">
        <w:rPr>
          <w:lang w:val="ru-RU"/>
        </w:rPr>
        <w:t>почти</w:t>
      </w:r>
      <w:r w:rsidRPr="009851E0">
        <w:rPr>
          <w:lang w:val="ru-RU"/>
        </w:rPr>
        <w:t xml:space="preserve"> 65%) </w:t>
      </w:r>
      <w:r w:rsidR="00C31853" w:rsidRPr="009851E0">
        <w:rPr>
          <w:lang w:val="ru-RU"/>
        </w:rPr>
        <w:t>касаются персонала</w:t>
      </w:r>
      <w:r w:rsidRPr="009851E0">
        <w:rPr>
          <w:lang w:val="ru-RU"/>
        </w:rPr>
        <w:t xml:space="preserve">: </w:t>
      </w:r>
      <w:r w:rsidR="00C31853" w:rsidRPr="009851E0">
        <w:rPr>
          <w:lang w:val="ru-RU"/>
        </w:rPr>
        <w:t>это относится в первую очередь к мерам </w:t>
      </w:r>
      <w:r w:rsidRPr="009851E0">
        <w:rPr>
          <w:lang w:val="ru-RU"/>
        </w:rPr>
        <w:t xml:space="preserve">5 </w:t>
      </w:r>
      <w:r w:rsidR="00C31853" w:rsidRPr="009851E0">
        <w:rPr>
          <w:lang w:val="ru-RU"/>
        </w:rPr>
        <w:t>и</w:t>
      </w:r>
      <w:r w:rsidRPr="009851E0">
        <w:rPr>
          <w:lang w:val="ru-RU"/>
        </w:rPr>
        <w:t xml:space="preserve"> 6 </w:t>
      </w:r>
      <w:r w:rsidR="00C31853" w:rsidRPr="009851E0">
        <w:rPr>
          <w:lang w:val="ru-RU"/>
        </w:rPr>
        <w:t>Документа</w:t>
      </w:r>
      <w:r w:rsidRPr="009851E0">
        <w:rPr>
          <w:lang w:val="ru-RU"/>
        </w:rPr>
        <w:t xml:space="preserve"> (</w:t>
      </w:r>
      <w:r w:rsidR="00C31853" w:rsidRPr="009851E0">
        <w:rPr>
          <w:lang w:val="ru-RU"/>
        </w:rPr>
        <w:t>естественное снижение численности персонала, перестановка персонала, понижение классов вакантных</w:t>
      </w:r>
      <w:r w:rsidR="00CA710E" w:rsidRPr="009851E0">
        <w:rPr>
          <w:lang w:val="ru-RU"/>
        </w:rPr>
        <w:t xml:space="preserve"> должностей</w:t>
      </w:r>
      <w:r w:rsidR="00C31853" w:rsidRPr="009851E0">
        <w:rPr>
          <w:lang w:val="ru-RU"/>
        </w:rPr>
        <w:t xml:space="preserve"> и придание первостепенного значения</w:t>
      </w:r>
      <w:r w:rsidR="00C31853" w:rsidRPr="009851E0" w:rsidDel="001428C8">
        <w:rPr>
          <w:lang w:val="ru-RU"/>
        </w:rPr>
        <w:t xml:space="preserve"> </w:t>
      </w:r>
      <w:r w:rsidR="00C31853" w:rsidRPr="009851E0">
        <w:rPr>
          <w:lang w:val="ru-RU"/>
        </w:rPr>
        <w:t>перестановке персонала для осуществления новых или дополнительных видов деятельности</w:t>
      </w:r>
      <w:r w:rsidRPr="009851E0">
        <w:rPr>
          <w:lang w:val="ru-RU"/>
        </w:rPr>
        <w:t xml:space="preserve">). </w:t>
      </w:r>
      <w:r w:rsidR="00C31853" w:rsidRPr="009851E0">
        <w:rPr>
          <w:lang w:val="ru-RU"/>
        </w:rPr>
        <w:t>Введение программы добровольного ухода со службы также было продиктовано необходимостью ограничения расходов, поскольку она была принята для компенсации нехватки экономии в связи с повышением возраста обязательного выхода на пенсию</w:t>
      </w:r>
      <w:r w:rsidRPr="009851E0">
        <w:rPr>
          <w:lang w:val="ru-RU"/>
        </w:rPr>
        <w:t xml:space="preserve">. </w:t>
      </w:r>
    </w:p>
    <w:p w:rsidR="001A6382" w:rsidRPr="009851E0" w:rsidRDefault="001A6382" w:rsidP="00414CDD">
      <w:pPr>
        <w:rPr>
          <w:lang w:val="ru-RU"/>
        </w:rPr>
      </w:pPr>
      <w:r w:rsidRPr="009851E0">
        <w:rPr>
          <w:lang w:val="ru-RU"/>
        </w:rPr>
        <w:t>74</w:t>
      </w:r>
      <w:r w:rsidRPr="009851E0">
        <w:rPr>
          <w:lang w:val="ru-RU"/>
        </w:rPr>
        <w:tab/>
      </w:r>
      <w:r w:rsidR="00C31853" w:rsidRPr="009851E0">
        <w:rPr>
          <w:lang w:val="ru-RU"/>
        </w:rPr>
        <w:t>За последние пять лет принцип частичной замены</w:t>
      </w:r>
      <w:r w:rsidRPr="009851E0">
        <w:rPr>
          <w:lang w:val="ru-RU"/>
        </w:rPr>
        <w:t xml:space="preserve"> (</w:t>
      </w:r>
      <w:r w:rsidR="00C31853" w:rsidRPr="009851E0">
        <w:rPr>
          <w:lang w:val="ru-RU"/>
        </w:rPr>
        <w:t>отсутствие замещения одного служащего из трех) привел к резкому сокращению численности персонала</w:t>
      </w:r>
      <w:r w:rsidRPr="009851E0">
        <w:rPr>
          <w:lang w:val="ru-RU"/>
        </w:rPr>
        <w:t xml:space="preserve">: </w:t>
      </w:r>
      <w:r w:rsidR="00C31853" w:rsidRPr="009851E0">
        <w:rPr>
          <w:lang w:val="ru-RU"/>
        </w:rPr>
        <w:t xml:space="preserve">статистические данные показывают уменьшение с </w:t>
      </w:r>
      <w:r w:rsidRPr="009851E0">
        <w:rPr>
          <w:lang w:val="ru-RU"/>
        </w:rPr>
        <w:t>747</w:t>
      </w:r>
      <w:r w:rsidR="00C31853" w:rsidRPr="009851E0">
        <w:rPr>
          <w:lang w:val="ru-RU"/>
        </w:rPr>
        <w:t xml:space="preserve"> человек в </w:t>
      </w:r>
      <w:r w:rsidRPr="009851E0">
        <w:rPr>
          <w:lang w:val="ru-RU"/>
        </w:rPr>
        <w:t>2012</w:t>
      </w:r>
      <w:r w:rsidR="00B661A2" w:rsidRPr="009851E0">
        <w:rPr>
          <w:lang w:val="ru-RU"/>
        </w:rPr>
        <w:t> году</w:t>
      </w:r>
      <w:r w:rsidRPr="009851E0">
        <w:rPr>
          <w:lang w:val="ru-RU"/>
        </w:rPr>
        <w:t xml:space="preserve"> </w:t>
      </w:r>
      <w:r w:rsidR="00C31853" w:rsidRPr="009851E0">
        <w:rPr>
          <w:lang w:val="ru-RU"/>
        </w:rPr>
        <w:t>до</w:t>
      </w:r>
      <w:r w:rsidRPr="009851E0">
        <w:rPr>
          <w:lang w:val="ru-RU"/>
        </w:rPr>
        <w:t xml:space="preserve"> 677 </w:t>
      </w:r>
      <w:r w:rsidR="00B661A2" w:rsidRPr="009851E0">
        <w:rPr>
          <w:lang w:val="ru-RU"/>
        </w:rPr>
        <w:t>в</w:t>
      </w:r>
      <w:r w:rsidRPr="009851E0">
        <w:rPr>
          <w:lang w:val="ru-RU"/>
        </w:rPr>
        <w:t xml:space="preserve"> 2017</w:t>
      </w:r>
      <w:r w:rsidR="00B661A2" w:rsidRPr="009851E0">
        <w:rPr>
          <w:lang w:val="ru-RU"/>
        </w:rPr>
        <w:t> году</w:t>
      </w:r>
      <w:r w:rsidRPr="009851E0">
        <w:rPr>
          <w:lang w:val="ru-RU"/>
        </w:rPr>
        <w:t xml:space="preserve">. </w:t>
      </w:r>
      <w:r w:rsidR="00414CDD" w:rsidRPr="009851E0">
        <w:rPr>
          <w:lang w:val="ru-RU"/>
        </w:rPr>
        <w:t>Это также является следствием программы добровольного ухода со службы</w:t>
      </w:r>
      <w:r w:rsidR="00B661A2" w:rsidRPr="009851E0">
        <w:rPr>
          <w:lang w:val="ru-RU"/>
        </w:rPr>
        <w:t>: 30 </w:t>
      </w:r>
      <w:r w:rsidR="00414CDD" w:rsidRPr="009851E0">
        <w:rPr>
          <w:lang w:val="ru-RU"/>
        </w:rPr>
        <w:t>человек покинули службу только в</w:t>
      </w:r>
      <w:r w:rsidRPr="009851E0">
        <w:rPr>
          <w:lang w:val="ru-RU"/>
        </w:rPr>
        <w:t xml:space="preserve"> 2017</w:t>
      </w:r>
      <w:r w:rsidR="00B661A2" w:rsidRPr="009851E0">
        <w:rPr>
          <w:lang w:val="ru-RU"/>
        </w:rPr>
        <w:t> году</w:t>
      </w:r>
      <w:r w:rsidRPr="009851E0">
        <w:rPr>
          <w:lang w:val="ru-RU"/>
        </w:rPr>
        <w:t xml:space="preserve">; </w:t>
      </w:r>
      <w:r w:rsidR="00414CDD" w:rsidRPr="009851E0">
        <w:rPr>
          <w:lang w:val="ru-RU"/>
        </w:rPr>
        <w:t>некоторые из них занимали важные должности, преемники для которых не были подготовлены</w:t>
      </w:r>
      <w:r w:rsidRPr="009851E0">
        <w:rPr>
          <w:lang w:val="ru-RU"/>
        </w:rPr>
        <w:t>.</w:t>
      </w:r>
    </w:p>
    <w:p w:rsidR="001A6382" w:rsidRPr="009851E0" w:rsidRDefault="001A6382" w:rsidP="00CD49E3">
      <w:pPr>
        <w:rPr>
          <w:lang w:val="ru-RU"/>
        </w:rPr>
      </w:pPr>
      <w:r w:rsidRPr="009851E0">
        <w:rPr>
          <w:lang w:val="ru-RU"/>
        </w:rPr>
        <w:t>75</w:t>
      </w:r>
      <w:r w:rsidRPr="009851E0">
        <w:rPr>
          <w:lang w:val="ru-RU"/>
        </w:rPr>
        <w:tab/>
      </w:r>
      <w:r w:rsidR="00203D19" w:rsidRPr="009851E0">
        <w:rPr>
          <w:lang w:val="ru-RU"/>
        </w:rPr>
        <w:t>Это сокращение по-разному сказалось на различных службах</w:t>
      </w:r>
      <w:r w:rsidRPr="009851E0">
        <w:rPr>
          <w:lang w:val="ru-RU"/>
        </w:rPr>
        <w:t xml:space="preserve">. </w:t>
      </w:r>
      <w:r w:rsidR="00203D19" w:rsidRPr="009851E0">
        <w:rPr>
          <w:lang w:val="ru-RU"/>
        </w:rPr>
        <w:t>Что касается Генерального секретариата</w:t>
      </w:r>
      <w:r w:rsidRPr="009851E0">
        <w:rPr>
          <w:lang w:val="ru-RU"/>
        </w:rPr>
        <w:t xml:space="preserve">, </w:t>
      </w:r>
      <w:r w:rsidR="00203D19" w:rsidRPr="009851E0">
        <w:rPr>
          <w:lang w:val="ru-RU"/>
        </w:rPr>
        <w:t xml:space="preserve">численность персонала </w:t>
      </w:r>
      <w:r w:rsidR="00CD49E3" w:rsidRPr="009851E0">
        <w:rPr>
          <w:lang w:val="ru-RU"/>
        </w:rPr>
        <w:t xml:space="preserve">сократилась на </w:t>
      </w:r>
      <w:r w:rsidRPr="009851E0">
        <w:rPr>
          <w:lang w:val="ru-RU"/>
        </w:rPr>
        <w:t>67</w:t>
      </w:r>
      <w:r w:rsidR="00CD49E3" w:rsidRPr="009851E0">
        <w:rPr>
          <w:lang w:val="ru-RU"/>
        </w:rPr>
        <w:t> единиц за пять лет</w:t>
      </w:r>
      <w:r w:rsidRPr="009851E0">
        <w:rPr>
          <w:lang w:val="ru-RU"/>
        </w:rPr>
        <w:t xml:space="preserve"> (</w:t>
      </w:r>
      <w:r w:rsidR="00CD49E3" w:rsidRPr="009851E0">
        <w:rPr>
          <w:lang w:val="ru-RU"/>
        </w:rPr>
        <w:t>с</w:t>
      </w:r>
      <w:r w:rsidRPr="009851E0">
        <w:rPr>
          <w:lang w:val="ru-RU"/>
        </w:rPr>
        <w:t xml:space="preserve"> 414 </w:t>
      </w:r>
      <w:r w:rsidR="00B661A2" w:rsidRPr="009851E0">
        <w:rPr>
          <w:lang w:val="ru-RU"/>
        </w:rPr>
        <w:t>в</w:t>
      </w:r>
      <w:r w:rsidRPr="009851E0">
        <w:rPr>
          <w:lang w:val="ru-RU"/>
        </w:rPr>
        <w:t xml:space="preserve"> 2012</w:t>
      </w:r>
      <w:r w:rsidR="00B661A2" w:rsidRPr="009851E0">
        <w:rPr>
          <w:lang w:val="ru-RU"/>
        </w:rPr>
        <w:t> г.</w:t>
      </w:r>
      <w:r w:rsidRPr="009851E0">
        <w:rPr>
          <w:lang w:val="ru-RU"/>
        </w:rPr>
        <w:t xml:space="preserve"> </w:t>
      </w:r>
      <w:r w:rsidR="00CD49E3" w:rsidRPr="009851E0">
        <w:rPr>
          <w:lang w:val="ru-RU"/>
        </w:rPr>
        <w:t>до</w:t>
      </w:r>
      <w:r w:rsidRPr="009851E0">
        <w:rPr>
          <w:lang w:val="ru-RU"/>
        </w:rPr>
        <w:t xml:space="preserve"> 347 </w:t>
      </w:r>
      <w:r w:rsidR="00B661A2" w:rsidRPr="009851E0">
        <w:rPr>
          <w:lang w:val="ru-RU"/>
        </w:rPr>
        <w:t>в</w:t>
      </w:r>
      <w:r w:rsidRPr="009851E0">
        <w:rPr>
          <w:lang w:val="ru-RU"/>
        </w:rPr>
        <w:t xml:space="preserve"> 2017</w:t>
      </w:r>
      <w:r w:rsidR="00B661A2" w:rsidRPr="009851E0">
        <w:rPr>
          <w:lang w:val="ru-RU"/>
        </w:rPr>
        <w:t> г.</w:t>
      </w:r>
      <w:r w:rsidRPr="009851E0">
        <w:rPr>
          <w:lang w:val="ru-RU"/>
        </w:rPr>
        <w:t xml:space="preserve">). </w:t>
      </w:r>
      <w:r w:rsidR="00CD49E3" w:rsidRPr="009851E0">
        <w:rPr>
          <w:lang w:val="ru-RU"/>
        </w:rPr>
        <w:t>Вместе с тем следует подчеркнуть, что в МСЭ в целом проблема выражена не только количественно, но и качественно (в отношении оперативных потребностей Организации</w:t>
      </w:r>
      <w:r w:rsidRPr="009851E0">
        <w:rPr>
          <w:lang w:val="ru-RU"/>
        </w:rPr>
        <w:t xml:space="preserve">). </w:t>
      </w:r>
    </w:p>
    <w:p w:rsidR="001A6382" w:rsidRPr="009851E0" w:rsidRDefault="001A6382" w:rsidP="00E636A6">
      <w:pPr>
        <w:rPr>
          <w:lang w:val="ru-RU"/>
        </w:rPr>
      </w:pPr>
      <w:r w:rsidRPr="009851E0">
        <w:rPr>
          <w:lang w:val="ru-RU"/>
        </w:rPr>
        <w:t>76</w:t>
      </w:r>
      <w:r w:rsidRPr="009851E0">
        <w:rPr>
          <w:lang w:val="ru-RU"/>
        </w:rPr>
        <w:tab/>
      </w:r>
      <w:r w:rsidR="00CD49E3" w:rsidRPr="009851E0">
        <w:rPr>
          <w:lang w:val="ru-RU"/>
        </w:rPr>
        <w:t>Это потребовало усилий по адаптации со стороны работающего персонала</w:t>
      </w:r>
      <w:r w:rsidRPr="009851E0">
        <w:rPr>
          <w:lang w:val="ru-RU"/>
        </w:rPr>
        <w:t xml:space="preserve">. </w:t>
      </w:r>
      <w:r w:rsidR="00CD49E3" w:rsidRPr="009851E0">
        <w:rPr>
          <w:lang w:val="ru-RU"/>
        </w:rPr>
        <w:t>Некоторые сотрудники взяли на себя обязанности, относящиеся к замороженным или даже упраздненным должностям</w:t>
      </w:r>
      <w:r w:rsidRPr="009851E0">
        <w:rPr>
          <w:lang w:val="ru-RU"/>
        </w:rPr>
        <w:t xml:space="preserve">. </w:t>
      </w:r>
      <w:r w:rsidR="00CD49E3" w:rsidRPr="009851E0">
        <w:rPr>
          <w:lang w:val="ru-RU"/>
        </w:rPr>
        <w:t>Это же относится к сотрудникам, которые были назначены на должности пониженного уровня, ввиду того, что их обязанности аналогичны обязанностям сотрудников, покинувших Союз</w:t>
      </w:r>
      <w:r w:rsidRPr="009851E0">
        <w:rPr>
          <w:lang w:val="ru-RU"/>
        </w:rPr>
        <w:t xml:space="preserve">. </w:t>
      </w:r>
      <w:r w:rsidR="00E636A6" w:rsidRPr="009851E0">
        <w:rPr>
          <w:lang w:val="ru-RU"/>
        </w:rPr>
        <w:t>Это сопровождалось сокращением заработной платы</w:t>
      </w:r>
      <w:r w:rsidRPr="009851E0">
        <w:rPr>
          <w:lang w:val="ru-RU"/>
        </w:rPr>
        <w:t xml:space="preserve">: </w:t>
      </w:r>
      <w:r w:rsidR="00E636A6" w:rsidRPr="009851E0">
        <w:rPr>
          <w:lang w:val="ru-RU"/>
        </w:rPr>
        <w:t>среди персонала категории </w:t>
      </w:r>
      <w:r w:rsidRPr="009851E0">
        <w:rPr>
          <w:lang w:val="ru-RU"/>
        </w:rPr>
        <w:t>G</w:t>
      </w:r>
      <w:r w:rsidR="00E636A6" w:rsidRPr="009851E0">
        <w:rPr>
          <w:lang w:val="ru-RU"/>
        </w:rPr>
        <w:t xml:space="preserve"> это сказалось только на вновь принимаемых на работу</w:t>
      </w:r>
      <w:r w:rsidRPr="009851E0">
        <w:rPr>
          <w:lang w:val="ru-RU"/>
        </w:rPr>
        <w:t xml:space="preserve">; </w:t>
      </w:r>
      <w:r w:rsidR="00E636A6" w:rsidRPr="009851E0">
        <w:rPr>
          <w:lang w:val="ru-RU"/>
        </w:rPr>
        <w:t>для персонала категории </w:t>
      </w:r>
      <w:r w:rsidRPr="009851E0">
        <w:rPr>
          <w:lang w:val="ru-RU"/>
        </w:rPr>
        <w:t xml:space="preserve">P </w:t>
      </w:r>
      <w:r w:rsidR="00E636A6" w:rsidRPr="009851E0">
        <w:rPr>
          <w:lang w:val="ru-RU"/>
        </w:rPr>
        <w:t xml:space="preserve">это немедленно вступило в силу в виде нового пакета вознаграждения, связанного со снижением заработной платы на 3,8% с февраля </w:t>
      </w:r>
      <w:r w:rsidRPr="009851E0">
        <w:rPr>
          <w:lang w:val="ru-RU"/>
        </w:rPr>
        <w:t>2018</w:t>
      </w:r>
      <w:r w:rsidR="00B661A2" w:rsidRPr="009851E0">
        <w:rPr>
          <w:lang w:val="ru-RU"/>
        </w:rPr>
        <w:t> года</w:t>
      </w:r>
      <w:r w:rsidRPr="009851E0">
        <w:rPr>
          <w:lang w:val="ru-RU"/>
        </w:rPr>
        <w:t xml:space="preserve">. </w:t>
      </w:r>
      <w:r w:rsidR="00E636A6" w:rsidRPr="009851E0">
        <w:rPr>
          <w:lang w:val="ru-RU"/>
        </w:rPr>
        <w:t>Это вызвало длительное судебное разбирательство по кадровым вопросам</w:t>
      </w:r>
      <w:r w:rsidRPr="009851E0">
        <w:rPr>
          <w:lang w:val="ru-RU"/>
        </w:rPr>
        <w:t>.</w:t>
      </w:r>
    </w:p>
    <w:p w:rsidR="001A6382" w:rsidRPr="009851E0" w:rsidRDefault="001A6382" w:rsidP="00F935BD">
      <w:pPr>
        <w:rPr>
          <w:lang w:val="ru-RU"/>
        </w:rPr>
      </w:pPr>
      <w:r w:rsidRPr="009851E0">
        <w:rPr>
          <w:lang w:val="ru-RU"/>
        </w:rPr>
        <w:t>77</w:t>
      </w:r>
      <w:r w:rsidRPr="009851E0">
        <w:rPr>
          <w:lang w:val="ru-RU"/>
        </w:rPr>
        <w:tab/>
      </w:r>
      <w:r w:rsidR="00313066" w:rsidRPr="009851E0">
        <w:rPr>
          <w:lang w:val="ru-RU"/>
        </w:rPr>
        <w:t xml:space="preserve">В прошлом мы отмечали использование </w:t>
      </w:r>
      <w:r w:rsidR="007561B3" w:rsidRPr="009851E0">
        <w:rPr>
          <w:lang w:val="ru-RU"/>
        </w:rPr>
        <w:t xml:space="preserve">специальных соглашений об услугах </w:t>
      </w:r>
      <w:r w:rsidRPr="009851E0">
        <w:rPr>
          <w:lang w:val="ru-RU"/>
        </w:rPr>
        <w:t xml:space="preserve">(SSA) </w:t>
      </w:r>
      <w:r w:rsidR="007561B3" w:rsidRPr="009851E0">
        <w:rPr>
          <w:lang w:val="ru-RU"/>
        </w:rPr>
        <w:t>как буферного средства разрешения критических ситуаций, в том числе относящихся к выполнению обычных задач</w:t>
      </w:r>
      <w:r w:rsidRPr="009851E0">
        <w:rPr>
          <w:lang w:val="ru-RU"/>
        </w:rPr>
        <w:t xml:space="preserve">. </w:t>
      </w:r>
      <w:r w:rsidR="007561B3" w:rsidRPr="009851E0">
        <w:rPr>
          <w:lang w:val="ru-RU"/>
        </w:rPr>
        <w:t>Статистические данные свидетельствуют о существенном сокращении использования внешних консультантов за последние три года</w:t>
      </w:r>
      <w:r w:rsidRPr="009851E0">
        <w:rPr>
          <w:lang w:val="ru-RU"/>
        </w:rPr>
        <w:t xml:space="preserve">: </w:t>
      </w:r>
      <w:r w:rsidR="007561B3" w:rsidRPr="009851E0">
        <w:rPr>
          <w:lang w:val="ru-RU"/>
        </w:rPr>
        <w:t>с более чем</w:t>
      </w:r>
      <w:r w:rsidRPr="009851E0">
        <w:rPr>
          <w:lang w:val="ru-RU"/>
        </w:rPr>
        <w:t xml:space="preserve"> 400 </w:t>
      </w:r>
      <w:r w:rsidR="00B661A2" w:rsidRPr="009851E0">
        <w:rPr>
          <w:lang w:val="ru-RU"/>
        </w:rPr>
        <w:t>в</w:t>
      </w:r>
      <w:r w:rsidRPr="009851E0">
        <w:rPr>
          <w:lang w:val="ru-RU"/>
        </w:rPr>
        <w:t xml:space="preserve"> 2015 году </w:t>
      </w:r>
      <w:r w:rsidR="007561B3" w:rsidRPr="009851E0">
        <w:rPr>
          <w:lang w:val="ru-RU"/>
        </w:rPr>
        <w:t>всего до</w:t>
      </w:r>
      <w:r w:rsidRPr="009851E0">
        <w:rPr>
          <w:lang w:val="ru-RU"/>
        </w:rPr>
        <w:t xml:space="preserve"> 147 </w:t>
      </w:r>
      <w:r w:rsidR="00B661A2" w:rsidRPr="009851E0">
        <w:rPr>
          <w:lang w:val="ru-RU"/>
        </w:rPr>
        <w:t>в</w:t>
      </w:r>
      <w:r w:rsidRPr="009851E0">
        <w:rPr>
          <w:lang w:val="ru-RU"/>
        </w:rPr>
        <w:t xml:space="preserve"> 2017 году, </w:t>
      </w:r>
      <w:r w:rsidR="007561B3" w:rsidRPr="009851E0">
        <w:rPr>
          <w:lang w:val="ru-RU"/>
        </w:rPr>
        <w:t>из которых</w:t>
      </w:r>
      <w:r w:rsidRPr="009851E0">
        <w:rPr>
          <w:lang w:val="ru-RU"/>
        </w:rPr>
        <w:t xml:space="preserve"> 124 </w:t>
      </w:r>
      <w:r w:rsidR="007561B3" w:rsidRPr="009851E0">
        <w:rPr>
          <w:lang w:val="ru-RU"/>
        </w:rPr>
        <w:t>были привлечены Генеральным секретариатом</w:t>
      </w:r>
      <w:r w:rsidRPr="009851E0">
        <w:rPr>
          <w:lang w:val="ru-RU"/>
        </w:rPr>
        <w:t xml:space="preserve"> (</w:t>
      </w:r>
      <w:r w:rsidR="00B661A2" w:rsidRPr="009851E0">
        <w:rPr>
          <w:lang w:val="ru-RU"/>
        </w:rPr>
        <w:t>в</w:t>
      </w:r>
      <w:r w:rsidRPr="009851E0">
        <w:rPr>
          <w:lang w:val="ru-RU"/>
        </w:rPr>
        <w:t xml:space="preserve"> 2015 г.</w:t>
      </w:r>
      <w:r w:rsidR="007561B3" w:rsidRPr="009851E0">
        <w:rPr>
          <w:lang w:val="ru-RU"/>
        </w:rPr>
        <w:t xml:space="preserve"> – 159</w:t>
      </w:r>
      <w:r w:rsidRPr="009851E0">
        <w:rPr>
          <w:lang w:val="ru-RU"/>
        </w:rPr>
        <w:t xml:space="preserve">). </w:t>
      </w:r>
      <w:r w:rsidR="007561B3" w:rsidRPr="009851E0">
        <w:rPr>
          <w:lang w:val="ru-RU"/>
        </w:rPr>
        <w:t xml:space="preserve">Сокращение пришлось в основном на </w:t>
      </w:r>
      <w:r w:rsidRPr="009851E0">
        <w:rPr>
          <w:lang w:val="ru-RU"/>
        </w:rPr>
        <w:t>БРЭ (</w:t>
      </w:r>
      <w:r w:rsidR="007561B3" w:rsidRPr="009851E0">
        <w:rPr>
          <w:lang w:val="ru-RU"/>
        </w:rPr>
        <w:t>со</w:t>
      </w:r>
      <w:r w:rsidRPr="009851E0">
        <w:rPr>
          <w:lang w:val="ru-RU"/>
        </w:rPr>
        <w:t xml:space="preserve"> 293</w:t>
      </w:r>
      <w:r w:rsidR="007561B3" w:rsidRPr="009851E0">
        <w:rPr>
          <w:lang w:val="ru-RU"/>
        </w:rPr>
        <w:t> человек по меньшей мере с одним контрактом на оказание консультационных услуг</w:t>
      </w:r>
      <w:r w:rsidRPr="009851E0">
        <w:rPr>
          <w:lang w:val="ru-RU"/>
        </w:rPr>
        <w:t xml:space="preserve"> </w:t>
      </w:r>
      <w:r w:rsidR="00B661A2" w:rsidRPr="009851E0">
        <w:rPr>
          <w:lang w:val="ru-RU"/>
        </w:rPr>
        <w:t>в</w:t>
      </w:r>
      <w:r w:rsidRPr="009851E0">
        <w:rPr>
          <w:lang w:val="ru-RU"/>
        </w:rPr>
        <w:t xml:space="preserve"> 2015</w:t>
      </w:r>
      <w:r w:rsidR="00B661A2" w:rsidRPr="009851E0">
        <w:rPr>
          <w:lang w:val="ru-RU"/>
        </w:rPr>
        <w:t> г.</w:t>
      </w:r>
      <w:r w:rsidRPr="009851E0">
        <w:rPr>
          <w:lang w:val="ru-RU"/>
        </w:rPr>
        <w:t xml:space="preserve"> </w:t>
      </w:r>
      <w:r w:rsidR="007561B3" w:rsidRPr="009851E0">
        <w:rPr>
          <w:lang w:val="ru-RU"/>
        </w:rPr>
        <w:t>до</w:t>
      </w:r>
      <w:r w:rsidRPr="009851E0">
        <w:rPr>
          <w:lang w:val="ru-RU"/>
        </w:rPr>
        <w:t xml:space="preserve"> 16</w:t>
      </w:r>
      <w:r w:rsidR="007561B3" w:rsidRPr="009851E0">
        <w:rPr>
          <w:lang w:val="ru-RU"/>
        </w:rPr>
        <w:t xml:space="preserve"> человек</w:t>
      </w:r>
      <w:r w:rsidRPr="009851E0">
        <w:rPr>
          <w:lang w:val="ru-RU"/>
        </w:rPr>
        <w:t xml:space="preserve"> </w:t>
      </w:r>
      <w:r w:rsidR="00B661A2" w:rsidRPr="009851E0">
        <w:rPr>
          <w:lang w:val="ru-RU"/>
        </w:rPr>
        <w:t>в</w:t>
      </w:r>
      <w:r w:rsidRPr="009851E0">
        <w:rPr>
          <w:lang w:val="ru-RU"/>
        </w:rPr>
        <w:t xml:space="preserve"> 2017</w:t>
      </w:r>
      <w:r w:rsidR="00B661A2" w:rsidRPr="009851E0">
        <w:rPr>
          <w:lang w:val="ru-RU"/>
        </w:rPr>
        <w:t> г.</w:t>
      </w:r>
      <w:r w:rsidRPr="009851E0">
        <w:rPr>
          <w:lang w:val="ru-RU"/>
        </w:rPr>
        <w:t xml:space="preserve">). </w:t>
      </w:r>
      <w:r w:rsidR="006E656F" w:rsidRPr="009851E0">
        <w:rPr>
          <w:lang w:val="ru-RU"/>
        </w:rPr>
        <w:t>Уже существует жесткая процедурная система привлечения внештатных сотрудников</w:t>
      </w:r>
      <w:r w:rsidR="0000177F" w:rsidRPr="009851E0">
        <w:rPr>
          <w:lang w:val="ru-RU"/>
        </w:rPr>
        <w:t>, но все еще необходима политика для обеспечения последовательности новой тенденции и установления критериев для надлежащего использования этих контрактов (ограничения по времени, специализированные</w:t>
      </w:r>
      <w:r w:rsidR="00F935BD" w:rsidRPr="009851E0">
        <w:rPr>
          <w:lang w:val="ru-RU"/>
        </w:rPr>
        <w:t xml:space="preserve"> неповторяющиеся задачи и т. п</w:t>
      </w:r>
      <w:r w:rsidRPr="009851E0">
        <w:rPr>
          <w:lang w:val="ru-RU"/>
        </w:rPr>
        <w:t xml:space="preserve">.). </w:t>
      </w:r>
      <w:r w:rsidR="00CA710E" w:rsidRPr="009851E0">
        <w:rPr>
          <w:lang w:val="ru-RU"/>
        </w:rPr>
        <w:t>В </w:t>
      </w:r>
      <w:r w:rsidR="00F935BD" w:rsidRPr="009851E0">
        <w:rPr>
          <w:lang w:val="ru-RU"/>
        </w:rPr>
        <w:t xml:space="preserve">ожидании принятия Стратегического плана </w:t>
      </w:r>
      <w:r w:rsidR="00386559" w:rsidRPr="009851E0">
        <w:rPr>
          <w:lang w:val="ru-RU"/>
        </w:rPr>
        <w:t>в области людских ресурсов</w:t>
      </w:r>
      <w:r w:rsidR="00F935BD" w:rsidRPr="009851E0">
        <w:rPr>
          <w:lang w:val="ru-RU"/>
        </w:rPr>
        <w:t xml:space="preserve"> не было принято окончательного решения по проекту руководящих указаний по использованию специальных соглашений об услугах, который был для сведения представлен Совету в мае</w:t>
      </w:r>
      <w:r w:rsidRPr="009851E0">
        <w:rPr>
          <w:lang w:val="ru-RU"/>
        </w:rPr>
        <w:t xml:space="preserve"> 2017</w:t>
      </w:r>
      <w:r w:rsidR="00B661A2" w:rsidRPr="009851E0">
        <w:rPr>
          <w:lang w:val="ru-RU"/>
        </w:rPr>
        <w:t> года</w:t>
      </w:r>
      <w:r w:rsidRPr="009851E0">
        <w:rPr>
          <w:lang w:val="ru-RU"/>
        </w:rPr>
        <w:t xml:space="preserve">. </w:t>
      </w:r>
      <w:r w:rsidR="00F935BD" w:rsidRPr="009851E0">
        <w:rPr>
          <w:lang w:val="ru-RU"/>
        </w:rPr>
        <w:t>Как говорилось в нашем отчете за прошлый год, отклонение от применяемой в настоящее время практики, вероятно, вызовет проблемы оперативного характера</w:t>
      </w:r>
      <w:r w:rsidR="00B661A2" w:rsidRPr="009851E0">
        <w:rPr>
          <w:lang w:val="ru-RU"/>
        </w:rPr>
        <w:t>.</w:t>
      </w:r>
    </w:p>
    <w:p w:rsidR="001A6382" w:rsidRPr="009851E0" w:rsidRDefault="001A6382" w:rsidP="00680CEA">
      <w:pPr>
        <w:rPr>
          <w:lang w:val="ru-RU"/>
        </w:rPr>
      </w:pPr>
      <w:r w:rsidRPr="009851E0">
        <w:rPr>
          <w:lang w:val="ru-RU"/>
        </w:rPr>
        <w:t>78</w:t>
      </w:r>
      <w:r w:rsidRPr="009851E0">
        <w:rPr>
          <w:lang w:val="ru-RU"/>
        </w:rPr>
        <w:tab/>
      </w:r>
      <w:r w:rsidR="00680CEA" w:rsidRPr="009851E0">
        <w:rPr>
          <w:lang w:val="ru-RU"/>
        </w:rPr>
        <w:t>Наряду с этим перспектива дальнейшего сокращения штатов в ближайшем будущем (порядка 25% персонала за десятилетний период) может создать риск неустойчивости и непоследовательности</w:t>
      </w:r>
      <w:r w:rsidRPr="009851E0">
        <w:rPr>
          <w:lang w:val="ru-RU"/>
        </w:rPr>
        <w:t xml:space="preserve">. </w:t>
      </w:r>
      <w:r w:rsidR="00680CEA" w:rsidRPr="009851E0">
        <w:rPr>
          <w:lang w:val="ru-RU"/>
        </w:rPr>
        <w:t xml:space="preserve">Вместе с тем краткосрочное и среднесрочное планирование преемственности также было отложено до окончательного утверждения комплексного стратегического плана </w:t>
      </w:r>
      <w:r w:rsidR="00386559" w:rsidRPr="009851E0">
        <w:rPr>
          <w:lang w:val="ru-RU"/>
        </w:rPr>
        <w:t>в области людских ресурсов</w:t>
      </w:r>
      <w:r w:rsidRPr="009851E0">
        <w:rPr>
          <w:lang w:val="ru-RU"/>
        </w:rPr>
        <w:t>.</w:t>
      </w:r>
    </w:p>
    <w:p w:rsidR="001A6382" w:rsidRPr="009851E0" w:rsidRDefault="001A6382" w:rsidP="00AD48AE">
      <w:pPr>
        <w:rPr>
          <w:lang w:val="ru-RU"/>
        </w:rPr>
      </w:pPr>
      <w:r w:rsidRPr="009851E0">
        <w:rPr>
          <w:lang w:val="ru-RU"/>
        </w:rPr>
        <w:t>79</w:t>
      </w:r>
      <w:r w:rsidRPr="009851E0">
        <w:rPr>
          <w:lang w:val="ru-RU"/>
        </w:rPr>
        <w:tab/>
      </w:r>
      <w:r w:rsidR="00790D71" w:rsidRPr="009851E0">
        <w:rPr>
          <w:lang w:val="ru-RU"/>
        </w:rPr>
        <w:t>Эта ситуация требует безотлагательных действий</w:t>
      </w:r>
      <w:r w:rsidR="00394366" w:rsidRPr="009851E0">
        <w:rPr>
          <w:lang w:val="ru-RU"/>
        </w:rPr>
        <w:t>, чтобы организация не подвергалась риску оказаться не в состоянии успешно достичь требуемых высоких стандартов службы</w:t>
      </w:r>
      <w:r w:rsidRPr="009851E0">
        <w:rPr>
          <w:lang w:val="ru-RU"/>
        </w:rPr>
        <w:t xml:space="preserve">. </w:t>
      </w:r>
      <w:r w:rsidR="00394366" w:rsidRPr="009851E0">
        <w:rPr>
          <w:lang w:val="ru-RU"/>
        </w:rPr>
        <w:t xml:space="preserve">Уже подвергаются риску некоторые подразделения, такие как Бюро радиосвязи, где </w:t>
      </w:r>
      <w:r w:rsidR="00AD48AE" w:rsidRPr="009851E0">
        <w:rPr>
          <w:lang w:val="ru-RU"/>
        </w:rPr>
        <w:t>в результате сокращения штатов отсутствуют руководители среднего звена, а многие сотрудники категории специалистов относятся к одной и той же возрастной группе</w:t>
      </w:r>
      <w:r w:rsidRPr="009851E0">
        <w:rPr>
          <w:lang w:val="ru-RU"/>
        </w:rPr>
        <w:t xml:space="preserve">. </w:t>
      </w:r>
      <w:r w:rsidR="00AD48AE" w:rsidRPr="009851E0">
        <w:rPr>
          <w:lang w:val="ru-RU"/>
        </w:rPr>
        <w:t>Они покинут службу в одно время, если ситуация ранее не будет урегулирована соответствующими мерами по смягчению последствий</w:t>
      </w:r>
      <w:r w:rsidRPr="009851E0">
        <w:rPr>
          <w:lang w:val="ru-RU"/>
        </w:rPr>
        <w:t xml:space="preserve">. </w:t>
      </w:r>
    </w:p>
    <w:p w:rsidR="001A6382" w:rsidRPr="009851E0" w:rsidRDefault="001A6382" w:rsidP="002576A6">
      <w:pPr>
        <w:rPr>
          <w:lang w:val="ru-RU"/>
        </w:rPr>
      </w:pPr>
      <w:r w:rsidRPr="009851E0">
        <w:rPr>
          <w:lang w:val="ru-RU"/>
        </w:rPr>
        <w:t>80</w:t>
      </w:r>
      <w:r w:rsidRPr="009851E0">
        <w:rPr>
          <w:lang w:val="ru-RU"/>
        </w:rPr>
        <w:tab/>
      </w:r>
      <w:r w:rsidR="00AD48AE" w:rsidRPr="009851E0">
        <w:rPr>
          <w:lang w:val="ru-RU"/>
        </w:rPr>
        <w:t xml:space="preserve">Общая картина характеризуется сокращением, вызванным внешними экономическими ограничениями, при немногих осознанных </w:t>
      </w:r>
      <w:r w:rsidR="002576A6" w:rsidRPr="009851E0">
        <w:rPr>
          <w:lang w:val="ru-RU"/>
        </w:rPr>
        <w:t>решениях в отношении приоритетов</w:t>
      </w:r>
      <w:r w:rsidRPr="009851E0">
        <w:rPr>
          <w:lang w:val="ru-RU"/>
        </w:rPr>
        <w:t xml:space="preserve">: </w:t>
      </w:r>
      <w:r w:rsidR="002576A6" w:rsidRPr="009851E0">
        <w:rPr>
          <w:lang w:val="ru-RU"/>
        </w:rPr>
        <w:t>хотя качественное перераспределение между категориями</w:t>
      </w:r>
      <w:r w:rsidRPr="009851E0">
        <w:rPr>
          <w:lang w:val="ru-RU"/>
        </w:rPr>
        <w:t xml:space="preserve"> P </w:t>
      </w:r>
      <w:r w:rsidR="002576A6" w:rsidRPr="009851E0">
        <w:rPr>
          <w:lang w:val="ru-RU"/>
        </w:rPr>
        <w:t>и</w:t>
      </w:r>
      <w:r w:rsidRPr="009851E0">
        <w:rPr>
          <w:lang w:val="ru-RU"/>
        </w:rPr>
        <w:t xml:space="preserve"> G </w:t>
      </w:r>
      <w:r w:rsidR="002576A6" w:rsidRPr="009851E0">
        <w:rPr>
          <w:lang w:val="ru-RU"/>
        </w:rPr>
        <w:t>постепенно осуществляется, в соответствии с указаниями, данными ПК 2014 года в Пусане</w:t>
      </w:r>
      <w:r w:rsidRPr="009851E0">
        <w:rPr>
          <w:lang w:val="ru-RU"/>
        </w:rPr>
        <w:t xml:space="preserve">, </w:t>
      </w:r>
      <w:r w:rsidR="002576A6" w:rsidRPr="009851E0">
        <w:rPr>
          <w:lang w:val="ru-RU"/>
        </w:rPr>
        <w:t>гендерное и географическое перераспределение идет медленнее, отчасти ввиду повышения возраста выхода на пенсию</w:t>
      </w:r>
      <w:r w:rsidRPr="009851E0">
        <w:rPr>
          <w:lang w:val="ru-RU"/>
        </w:rPr>
        <w:t xml:space="preserve">, </w:t>
      </w:r>
      <w:r w:rsidR="002576A6" w:rsidRPr="009851E0">
        <w:rPr>
          <w:lang w:val="ru-RU"/>
        </w:rPr>
        <w:t>поскольку этот фактор отодвигает по времени изменения состава рабочей силы</w:t>
      </w:r>
      <w:r w:rsidRPr="009851E0">
        <w:rPr>
          <w:lang w:val="ru-RU"/>
        </w:rPr>
        <w:t>.</w:t>
      </w:r>
    </w:p>
    <w:p w:rsidR="001A6382" w:rsidRPr="009851E0" w:rsidRDefault="001A6382" w:rsidP="00CA710E">
      <w:pPr>
        <w:rPr>
          <w:lang w:val="ru-RU"/>
        </w:rPr>
      </w:pPr>
      <w:r w:rsidRPr="009851E0">
        <w:rPr>
          <w:lang w:val="ru-RU"/>
        </w:rPr>
        <w:t>81</w:t>
      </w:r>
      <w:r w:rsidRPr="009851E0">
        <w:rPr>
          <w:lang w:val="ru-RU"/>
        </w:rPr>
        <w:tab/>
      </w:r>
      <w:r w:rsidR="00386559" w:rsidRPr="009851E0">
        <w:rPr>
          <w:lang w:val="ru-RU"/>
        </w:rPr>
        <w:t>Действительно требуется политика кадрового планирования, которая учитывала бы текущую ситуацию сокращения штатов с перспективой на будущее и поэтому сопровождалась бы стратегическими решениями, в том числе по планированию найма, продвижения по службе и преемственности</w:t>
      </w:r>
      <w:r w:rsidRPr="009851E0">
        <w:rPr>
          <w:lang w:val="ru-RU"/>
        </w:rPr>
        <w:t xml:space="preserve">. </w:t>
      </w:r>
      <w:r w:rsidR="00386559" w:rsidRPr="009851E0">
        <w:rPr>
          <w:lang w:val="ru-RU"/>
        </w:rPr>
        <w:t>В будущем Стратегическом плане в области людских ресурсов более нельзя будет откладывать принятие решения о дальнейшем осуществлении политики сокращения штатов или отказе от нее</w:t>
      </w:r>
      <w:r w:rsidRPr="009851E0">
        <w:rPr>
          <w:lang w:val="ru-RU"/>
        </w:rPr>
        <w:t xml:space="preserve">. </w:t>
      </w:r>
      <w:r w:rsidR="00386559" w:rsidRPr="009851E0">
        <w:rPr>
          <w:lang w:val="ru-RU"/>
        </w:rPr>
        <w:t>В любом случае не стоит ограничиваться буферными решениями, такими как контракты</w:t>
      </w:r>
      <w:r w:rsidRPr="009851E0">
        <w:rPr>
          <w:lang w:val="ru-RU"/>
        </w:rPr>
        <w:t xml:space="preserve"> SSA, </w:t>
      </w:r>
      <w:r w:rsidR="00CA710E" w:rsidRPr="009851E0">
        <w:rPr>
          <w:lang w:val="ru-RU"/>
        </w:rPr>
        <w:t xml:space="preserve">привлечение </w:t>
      </w:r>
      <w:r w:rsidR="00386559" w:rsidRPr="009851E0">
        <w:rPr>
          <w:lang w:val="ru-RU"/>
        </w:rPr>
        <w:t>практикант</w:t>
      </w:r>
      <w:r w:rsidR="00CA710E" w:rsidRPr="009851E0">
        <w:rPr>
          <w:lang w:val="ru-RU"/>
        </w:rPr>
        <w:t>ов</w:t>
      </w:r>
      <w:r w:rsidR="00386559" w:rsidRPr="009851E0">
        <w:rPr>
          <w:lang w:val="ru-RU"/>
        </w:rPr>
        <w:t xml:space="preserve"> или дальнейшие призывы к гибкости имеющегося персонала</w:t>
      </w:r>
      <w:r w:rsidRPr="009851E0">
        <w:rPr>
          <w:lang w:val="ru-RU"/>
        </w:rPr>
        <w:t>.</w:t>
      </w:r>
    </w:p>
    <w:p w:rsidR="001A6382" w:rsidRPr="009851E0" w:rsidRDefault="001A6382" w:rsidP="00C233AB">
      <w:pPr>
        <w:rPr>
          <w:lang w:val="ru-RU"/>
        </w:rPr>
      </w:pPr>
      <w:r w:rsidRPr="009851E0">
        <w:rPr>
          <w:lang w:val="ru-RU"/>
        </w:rPr>
        <w:t>82</w:t>
      </w:r>
      <w:r w:rsidRPr="009851E0">
        <w:rPr>
          <w:lang w:val="ru-RU"/>
        </w:rPr>
        <w:tab/>
      </w:r>
      <w:r w:rsidR="00386559" w:rsidRPr="009851E0">
        <w:rPr>
          <w:lang w:val="ru-RU"/>
        </w:rPr>
        <w:t>По-видимому, необходима пауза, при перестройке существующих услуг и процессов</w:t>
      </w:r>
      <w:r w:rsidR="00C233AB" w:rsidRPr="009851E0">
        <w:rPr>
          <w:lang w:val="ru-RU"/>
        </w:rPr>
        <w:t>, чтобы добиваться повышения эффективности</w:t>
      </w:r>
      <w:r w:rsidRPr="009851E0">
        <w:rPr>
          <w:lang w:val="ru-RU"/>
        </w:rPr>
        <w:t xml:space="preserve">. </w:t>
      </w:r>
      <w:r w:rsidR="00C233AB" w:rsidRPr="009851E0">
        <w:rPr>
          <w:lang w:val="ru-RU"/>
        </w:rPr>
        <w:t>При этом следует также учитывать новые условия труда, которые станут следствием строительства нового здания и переезда в него</w:t>
      </w:r>
      <w:r w:rsidRPr="009851E0">
        <w:rPr>
          <w:lang w:val="ru-RU"/>
        </w:rPr>
        <w:t>.</w:t>
      </w:r>
    </w:p>
    <w:p w:rsidR="001A6382" w:rsidRPr="009851E0" w:rsidRDefault="001A6382" w:rsidP="00C233AB">
      <w:pPr>
        <w:rPr>
          <w:lang w:val="ru-RU"/>
        </w:rPr>
      </w:pPr>
      <w:r w:rsidRPr="009851E0">
        <w:rPr>
          <w:lang w:val="ru-RU"/>
        </w:rPr>
        <w:t>83</w:t>
      </w:r>
      <w:r w:rsidRPr="009851E0">
        <w:rPr>
          <w:lang w:val="ru-RU"/>
        </w:rPr>
        <w:tab/>
      </w:r>
      <w:r w:rsidR="00C233AB" w:rsidRPr="009851E0">
        <w:rPr>
          <w:lang w:val="ru-RU"/>
        </w:rPr>
        <w:t xml:space="preserve">В связи с этим следует дать высокую оценку ряду предпринятых в последнее время инициатив, таких как внедрение в апреле 2018 года нового электронного инструмента оценки производственных показателей </w:t>
      </w:r>
      <w:r w:rsidRPr="009851E0">
        <w:rPr>
          <w:lang w:val="ru-RU"/>
        </w:rPr>
        <w:t>(</w:t>
      </w:r>
      <w:r w:rsidR="00C233AB" w:rsidRPr="009851E0">
        <w:rPr>
          <w:color w:val="000000"/>
          <w:lang w:val="ru-RU"/>
        </w:rPr>
        <w:t>электронная система управления показателями деятельности и профессионального развития</w:t>
      </w:r>
      <w:r w:rsidRPr="009851E0">
        <w:rPr>
          <w:lang w:val="ru-RU"/>
        </w:rPr>
        <w:t xml:space="preserve">), </w:t>
      </w:r>
      <w:r w:rsidR="00C233AB" w:rsidRPr="009851E0">
        <w:rPr>
          <w:lang w:val="ru-RU"/>
        </w:rPr>
        <w:t>в которой сочетаются периодические отчеты по аттестации сотрудников на постоянных, длящихся и срочных контрактах с определением квалификации, требуемой для удовлетворительного выполнения порученной работы</w:t>
      </w:r>
      <w:r w:rsidRPr="009851E0">
        <w:rPr>
          <w:lang w:val="ru-RU"/>
        </w:rPr>
        <w:t xml:space="preserve">. </w:t>
      </w:r>
      <w:r w:rsidR="00C233AB" w:rsidRPr="009851E0">
        <w:rPr>
          <w:lang w:val="ru-RU"/>
        </w:rPr>
        <w:t xml:space="preserve">Этот инструмент предназначается, в том числе, для определения потенциала каждого сотрудника и обеспечения перспектив профессионального роста, с учетом существующих требований к должности </w:t>
      </w:r>
      <w:r w:rsidR="00B661A2" w:rsidRPr="009851E0">
        <w:rPr>
          <w:lang w:val="ru-RU"/>
        </w:rPr>
        <w:t>и</w:t>
      </w:r>
      <w:r w:rsidRPr="009851E0">
        <w:rPr>
          <w:lang w:val="ru-RU"/>
        </w:rPr>
        <w:t>/</w:t>
      </w:r>
      <w:r w:rsidR="00B661A2" w:rsidRPr="009851E0">
        <w:rPr>
          <w:lang w:val="ru-RU"/>
        </w:rPr>
        <w:t>или</w:t>
      </w:r>
      <w:r w:rsidRPr="009851E0">
        <w:rPr>
          <w:lang w:val="ru-RU"/>
        </w:rPr>
        <w:t xml:space="preserve"> </w:t>
      </w:r>
      <w:r w:rsidR="00C233AB" w:rsidRPr="009851E0">
        <w:rPr>
          <w:lang w:val="ru-RU"/>
        </w:rPr>
        <w:t>пожеланий в профессиональной сфере в будущем</w:t>
      </w:r>
      <w:r w:rsidRPr="009851E0">
        <w:rPr>
          <w:lang w:val="ru-RU"/>
        </w:rPr>
        <w:t>.</w:t>
      </w:r>
    </w:p>
    <w:p w:rsidR="00592DA2" w:rsidRPr="009851E0" w:rsidRDefault="001A6382" w:rsidP="0030765B">
      <w:pPr>
        <w:spacing w:after="120"/>
        <w:rPr>
          <w:lang w:val="ru-RU"/>
        </w:rPr>
      </w:pPr>
      <w:r w:rsidRPr="009851E0">
        <w:rPr>
          <w:lang w:val="ru-RU"/>
        </w:rPr>
        <w:t>84</w:t>
      </w:r>
      <w:r w:rsidRPr="009851E0">
        <w:rPr>
          <w:lang w:val="ru-RU"/>
        </w:rPr>
        <w:tab/>
      </w:r>
      <w:r w:rsidR="0014298F" w:rsidRPr="009851E0">
        <w:rPr>
          <w:lang w:val="ru-RU"/>
        </w:rPr>
        <w:t xml:space="preserve">Этот новый инструмент связан </w:t>
      </w:r>
      <w:r w:rsidR="00AA362B" w:rsidRPr="009851E0">
        <w:rPr>
          <w:lang w:val="ru-RU"/>
        </w:rPr>
        <w:t>с действующей с 2017 года системой компетенций, цель которой – служить реестром квалификаций и компетенций и выявлять потребности в профессиональной подготовке персонала</w:t>
      </w:r>
      <w:r w:rsidRPr="009851E0">
        <w:rPr>
          <w:lang w:val="ru-RU"/>
        </w:rPr>
        <w:t xml:space="preserve">. </w:t>
      </w:r>
      <w:r w:rsidR="00AA362B" w:rsidRPr="009851E0">
        <w:rPr>
          <w:lang w:val="ru-RU"/>
        </w:rPr>
        <w:t>На настоящий момент определены только базовые и функциональные компетенции</w:t>
      </w:r>
      <w:r w:rsidR="0030765B" w:rsidRPr="009851E0">
        <w:rPr>
          <w:lang w:val="ru-RU"/>
        </w:rPr>
        <w:t>, а каталог технических компетенций еще предстоит определить в ходе дополнительных консультаций с техническими департаментами</w:t>
      </w:r>
      <w:r w:rsidRPr="009851E0">
        <w:rPr>
          <w:lang w:val="ru-RU"/>
        </w:rPr>
        <w:t xml:space="preserve">. </w:t>
      </w:r>
      <w:r w:rsidR="0030765B" w:rsidRPr="009851E0">
        <w:rPr>
          <w:lang w:val="ru-RU"/>
        </w:rPr>
        <w:t>Поддержание и развитие реестра является обязанностью Департамента</w:t>
      </w:r>
      <w:r w:rsidRPr="009851E0">
        <w:rPr>
          <w:lang w:val="ru-RU"/>
        </w:rPr>
        <w:t xml:space="preserve"> HRM.</w:t>
      </w:r>
    </w:p>
    <w:tbl>
      <w:tblPr>
        <w:tblStyle w:val="TableGrid2"/>
        <w:tblW w:w="0" w:type="auto"/>
        <w:tblInd w:w="-5" w:type="dxa"/>
        <w:tblLook w:val="04A0" w:firstRow="1" w:lastRow="0" w:firstColumn="1" w:lastColumn="0" w:noHBand="0" w:noVBand="1"/>
      </w:tblPr>
      <w:tblGrid>
        <w:gridCol w:w="9634"/>
      </w:tblGrid>
      <w:tr w:rsidR="001A6382" w:rsidRPr="00E65E97" w:rsidTr="001A6382">
        <w:tc>
          <w:tcPr>
            <w:tcW w:w="9634" w:type="dxa"/>
          </w:tcPr>
          <w:p w:rsidR="001A6382" w:rsidRPr="009851E0" w:rsidRDefault="001A6382" w:rsidP="001A6382">
            <w:pPr>
              <w:keepNext/>
              <w:rPr>
                <w:b/>
                <w:bCs/>
                <w:i/>
                <w:iCs/>
                <w:lang w:val="ru-RU"/>
              </w:rPr>
            </w:pPr>
            <w:r w:rsidRPr="009851E0">
              <w:rPr>
                <w:b/>
                <w:bCs/>
                <w:i/>
                <w:iCs/>
                <w:lang w:val="ru-RU"/>
              </w:rPr>
              <w:t>Рекомендация 3</w:t>
            </w:r>
          </w:p>
          <w:p w:rsidR="001A6382" w:rsidRPr="009851E0" w:rsidRDefault="001A6382" w:rsidP="006F7B77">
            <w:pPr>
              <w:spacing w:after="120"/>
              <w:rPr>
                <w:lang w:val="ru-RU"/>
              </w:rPr>
            </w:pPr>
            <w:r w:rsidRPr="009851E0">
              <w:rPr>
                <w:lang w:val="ru-RU"/>
              </w:rPr>
              <w:t>85</w:t>
            </w:r>
            <w:r w:rsidRPr="009851E0">
              <w:rPr>
                <w:lang w:val="ru-RU"/>
              </w:rPr>
              <w:tab/>
            </w:r>
            <w:r w:rsidR="002026D7" w:rsidRPr="009851E0">
              <w:rPr>
                <w:u w:val="single"/>
                <w:lang w:val="ru-RU"/>
              </w:rPr>
              <w:t>Мы рекомендуем</w:t>
            </w:r>
            <w:r w:rsidR="002026D7" w:rsidRPr="009851E0">
              <w:rPr>
                <w:lang w:val="ru-RU"/>
              </w:rPr>
              <w:t xml:space="preserve"> провести активную подготовительную работу в отношении Стратегического плана в области людских ресурсов, с тем чтобы не задерживать его применение после принятия весной 2019 года</w:t>
            </w:r>
            <w:r w:rsidR="00B661A2" w:rsidRPr="009851E0">
              <w:rPr>
                <w:lang w:val="ru-RU"/>
              </w:rPr>
              <w:t xml:space="preserve">. </w:t>
            </w:r>
            <w:r w:rsidR="002026D7" w:rsidRPr="009851E0">
              <w:rPr>
                <w:lang w:val="ru-RU"/>
              </w:rPr>
              <w:t>Эта работа должна включать</w:t>
            </w:r>
            <w:r w:rsidR="00B661A2" w:rsidRPr="009851E0">
              <w:rPr>
                <w:lang w:val="ru-RU"/>
              </w:rPr>
              <w:t>: i)</w:t>
            </w:r>
            <w:r w:rsidR="002026D7" w:rsidRPr="009851E0">
              <w:rPr>
                <w:lang w:val="ru-RU"/>
              </w:rPr>
              <w:t xml:space="preserve"> тщательный анализ пробелов в квалификации, в отношении внутреннего потенциала имеющихся ресурсов, включая технические навыки, на основании применения нового </w:t>
            </w:r>
            <w:r w:rsidR="004D4857" w:rsidRPr="009851E0">
              <w:rPr>
                <w:lang w:val="ru-RU"/>
              </w:rPr>
              <w:t>инструмента оценки и системы компетенций</w:t>
            </w:r>
            <w:r w:rsidR="00B661A2" w:rsidRPr="009851E0">
              <w:rPr>
                <w:lang w:val="ru-RU"/>
              </w:rPr>
              <w:t>; ii)</w:t>
            </w:r>
            <w:r w:rsidR="004D4857" w:rsidRPr="009851E0">
              <w:rPr>
                <w:lang w:val="ru-RU"/>
              </w:rPr>
              <w:t> определение стратегически важных должностей и подготовка плана преемственности на краткосрочную и долгосрочную перспективу</w:t>
            </w:r>
            <w:r w:rsidR="00B661A2" w:rsidRPr="009851E0">
              <w:rPr>
                <w:lang w:val="ru-RU"/>
              </w:rPr>
              <w:t>; iii)</w:t>
            </w:r>
            <w:r w:rsidR="004D4857" w:rsidRPr="009851E0">
              <w:rPr>
                <w:lang w:val="ru-RU"/>
              </w:rPr>
              <w:t xml:space="preserve"> упорядочение услуг и процессов </w:t>
            </w:r>
            <w:r w:rsidR="006F7B77" w:rsidRPr="009851E0">
              <w:rPr>
                <w:lang w:val="ru-RU"/>
              </w:rPr>
              <w:t>перед</w:t>
            </w:r>
            <w:r w:rsidR="004D4857" w:rsidRPr="009851E0">
              <w:rPr>
                <w:lang w:val="ru-RU"/>
              </w:rPr>
              <w:t xml:space="preserve"> определени</w:t>
            </w:r>
            <w:r w:rsidR="006F7B77" w:rsidRPr="009851E0">
              <w:rPr>
                <w:lang w:val="ru-RU"/>
              </w:rPr>
              <w:t>ем</w:t>
            </w:r>
            <w:r w:rsidR="004D4857" w:rsidRPr="009851E0">
              <w:rPr>
                <w:lang w:val="ru-RU"/>
              </w:rPr>
              <w:t xml:space="preserve"> минимального числа сотрудников, которым поручается выполнять институциональные функции</w:t>
            </w:r>
            <w:r w:rsidR="00B661A2" w:rsidRPr="009851E0">
              <w:rPr>
                <w:lang w:val="ru-RU"/>
              </w:rPr>
              <w:t>; и iv)</w:t>
            </w:r>
            <w:r w:rsidR="004D4857" w:rsidRPr="009851E0">
              <w:rPr>
                <w:lang w:val="ru-RU"/>
              </w:rPr>
              <w:t> критерии внутреннего подбора персонала по сравнению с внешним, а также использование внештатных сотрудников и сотрудников, работающих по краткосрочным контрактам</w:t>
            </w:r>
            <w:r w:rsidR="00B661A2" w:rsidRPr="009851E0">
              <w:rPr>
                <w:lang w:val="ru-RU"/>
              </w:rPr>
              <w:t>.</w:t>
            </w:r>
          </w:p>
        </w:tc>
      </w:tr>
    </w:tbl>
    <w:p w:rsidR="001A6382" w:rsidRPr="009851E0" w:rsidRDefault="001A6382" w:rsidP="001A6382">
      <w:pPr>
        <w:rPr>
          <w:lang w:val="ru-RU"/>
        </w:rPr>
      </w:pPr>
    </w:p>
    <w:tbl>
      <w:tblPr>
        <w:tblStyle w:val="TableGrid2"/>
        <w:tblW w:w="0" w:type="auto"/>
        <w:tblInd w:w="-5" w:type="dxa"/>
        <w:tblLook w:val="04A0" w:firstRow="1" w:lastRow="0" w:firstColumn="1" w:lastColumn="0" w:noHBand="0" w:noVBand="1"/>
      </w:tblPr>
      <w:tblGrid>
        <w:gridCol w:w="9634"/>
      </w:tblGrid>
      <w:tr w:rsidR="001A6382" w:rsidRPr="009851E0" w:rsidTr="001A6382">
        <w:trPr>
          <w:cantSplit/>
        </w:trPr>
        <w:tc>
          <w:tcPr>
            <w:tcW w:w="9634" w:type="dxa"/>
          </w:tcPr>
          <w:p w:rsidR="001A6382" w:rsidRPr="009851E0" w:rsidRDefault="001A6382" w:rsidP="001A6382">
            <w:pPr>
              <w:rPr>
                <w:b/>
                <w:bCs/>
                <w:i/>
                <w:iCs/>
                <w:u w:val="single"/>
                <w:lang w:val="ru-RU"/>
              </w:rPr>
            </w:pPr>
            <w:r w:rsidRPr="009851E0">
              <w:rPr>
                <w:b/>
                <w:bCs/>
                <w:i/>
                <w:iCs/>
                <w:u w:val="single"/>
                <w:lang w:val="ru-RU"/>
              </w:rPr>
              <w:t>Комментарии Генерального секретаря</w:t>
            </w:r>
          </w:p>
          <w:p w:rsidR="001A6382" w:rsidRPr="009851E0" w:rsidRDefault="00DA0DF0" w:rsidP="007048E5">
            <w:pPr>
              <w:spacing w:after="120"/>
              <w:rPr>
                <w:lang w:val="ru-RU"/>
              </w:rPr>
            </w:pPr>
            <w:r w:rsidRPr="009851E0">
              <w:rPr>
                <w:lang w:val="ru-RU"/>
              </w:rPr>
              <w:t>Мы поддерживаем эту рекомендацию</w:t>
            </w:r>
            <w:r w:rsidR="00B661A2" w:rsidRPr="009851E0">
              <w:rPr>
                <w:lang w:val="ru-RU"/>
              </w:rPr>
              <w:t xml:space="preserve">. </w:t>
            </w:r>
            <w:r w:rsidRPr="009851E0">
              <w:rPr>
                <w:lang w:val="ru-RU"/>
              </w:rPr>
              <w:t>Элементы, перечисленные в подпунктах</w:t>
            </w:r>
            <w:r w:rsidR="00B661A2" w:rsidRPr="009851E0">
              <w:rPr>
                <w:lang w:val="ru-RU"/>
              </w:rPr>
              <w:t xml:space="preserve"> i)−iv)</w:t>
            </w:r>
            <w:r w:rsidRPr="009851E0">
              <w:rPr>
                <w:lang w:val="ru-RU"/>
              </w:rPr>
              <w:t>, являются неотъемлемой частью разработки Стратегического плана в области людских ресурсов, который будет представлен</w:t>
            </w:r>
            <w:r w:rsidR="007048E5" w:rsidRPr="009851E0">
              <w:rPr>
                <w:lang w:val="ru-RU"/>
              </w:rPr>
              <w:t xml:space="preserve"> на утверждение сессии Совета 2019 года, на основании Стратегического плана и Финансового плана МСЭ, которые подлежат утверждению</w:t>
            </w:r>
            <w:r w:rsidR="00B661A2" w:rsidRPr="009851E0">
              <w:rPr>
                <w:lang w:val="ru-RU"/>
              </w:rPr>
              <w:t xml:space="preserve"> </w:t>
            </w:r>
            <w:r w:rsidR="00A62AD4" w:rsidRPr="009851E0">
              <w:rPr>
                <w:lang w:val="ru-RU"/>
              </w:rPr>
              <w:t>Полномочной конференцией</w:t>
            </w:r>
            <w:r w:rsidR="00B661A2" w:rsidRPr="009851E0">
              <w:rPr>
                <w:lang w:val="ru-RU"/>
              </w:rPr>
              <w:t xml:space="preserve"> 2018 года в Дубае.</w:t>
            </w:r>
          </w:p>
        </w:tc>
      </w:tr>
    </w:tbl>
    <w:p w:rsidR="009A6D4B" w:rsidRPr="009851E0" w:rsidRDefault="00A72187" w:rsidP="00170A17">
      <w:pPr>
        <w:pStyle w:val="Heading1"/>
        <w:rPr>
          <w:lang w:val="ru-RU"/>
        </w:rPr>
      </w:pPr>
      <w:bookmarkStart w:id="279" w:name="_Toc478775834"/>
      <w:bookmarkStart w:id="280" w:name="_Toc482176245"/>
      <w:bookmarkStart w:id="281" w:name="_Toc482995198"/>
      <w:bookmarkStart w:id="282" w:name="_Toc522633590"/>
      <w:r w:rsidRPr="009851E0">
        <w:rPr>
          <w:lang w:val="ru-RU"/>
        </w:rPr>
        <w:t>Закупки</w:t>
      </w:r>
      <w:bookmarkEnd w:id="279"/>
      <w:bookmarkEnd w:id="280"/>
      <w:bookmarkEnd w:id="281"/>
      <w:bookmarkEnd w:id="282"/>
    </w:p>
    <w:p w:rsidR="009A6D4B" w:rsidRPr="009851E0" w:rsidRDefault="00170A17" w:rsidP="00A72187">
      <w:pPr>
        <w:rPr>
          <w:lang w:val="ru-RU"/>
        </w:rPr>
      </w:pPr>
      <w:r w:rsidRPr="009851E0">
        <w:rPr>
          <w:lang w:val="ru-RU"/>
        </w:rPr>
        <w:t>86</w:t>
      </w:r>
      <w:r w:rsidR="009A6D4B" w:rsidRPr="009851E0">
        <w:rPr>
          <w:lang w:val="ru-RU"/>
        </w:rPr>
        <w:tab/>
      </w:r>
      <w:r w:rsidR="00A72187" w:rsidRPr="009851E0">
        <w:rPr>
          <w:lang w:val="ru-RU"/>
        </w:rPr>
        <w:t>Закупки составляют часть расходов, анализ которых содержится в пункте выше, которая фиксируется как</w:t>
      </w:r>
      <w:r w:rsidR="009A6D4B" w:rsidRPr="009851E0">
        <w:rPr>
          <w:lang w:val="ru-RU"/>
        </w:rPr>
        <w:t xml:space="preserve"> </w:t>
      </w:r>
      <w:r w:rsidR="000E7382" w:rsidRPr="009851E0">
        <w:rPr>
          <w:lang w:val="ru-RU"/>
        </w:rPr>
        <w:t>"</w:t>
      </w:r>
      <w:r w:rsidR="00A72187" w:rsidRPr="009851E0">
        <w:rPr>
          <w:lang w:val="ru-RU"/>
        </w:rPr>
        <w:t>Контрактные услуги</w:t>
      </w:r>
      <w:r w:rsidR="000E7382" w:rsidRPr="009851E0">
        <w:rPr>
          <w:lang w:val="ru-RU"/>
        </w:rPr>
        <w:t>"</w:t>
      </w:r>
      <w:r w:rsidR="009A6D4B" w:rsidRPr="009851E0">
        <w:rPr>
          <w:lang w:val="ru-RU"/>
        </w:rPr>
        <w:t xml:space="preserve">, </w:t>
      </w:r>
      <w:r w:rsidR="000E7382" w:rsidRPr="009851E0">
        <w:rPr>
          <w:lang w:val="ru-RU"/>
        </w:rPr>
        <w:t>"</w:t>
      </w:r>
      <w:r w:rsidR="00A72187" w:rsidRPr="009851E0">
        <w:rPr>
          <w:lang w:val="ru-RU"/>
        </w:rPr>
        <w:t>Аренда и эксплуатация помещений и оборудования</w:t>
      </w:r>
      <w:r w:rsidR="000E7382" w:rsidRPr="009851E0">
        <w:rPr>
          <w:lang w:val="ru-RU"/>
        </w:rPr>
        <w:t>"</w:t>
      </w:r>
      <w:r w:rsidR="009A6D4B" w:rsidRPr="009851E0">
        <w:rPr>
          <w:lang w:val="ru-RU"/>
        </w:rPr>
        <w:t xml:space="preserve">, </w:t>
      </w:r>
      <w:r w:rsidR="000E7382" w:rsidRPr="009851E0">
        <w:rPr>
          <w:lang w:val="ru-RU"/>
        </w:rPr>
        <w:t>"</w:t>
      </w:r>
      <w:r w:rsidR="00A72187" w:rsidRPr="009851E0">
        <w:rPr>
          <w:lang w:val="ru-RU"/>
        </w:rPr>
        <w:t>Оборудование и предметы снабжения</w:t>
      </w:r>
      <w:r w:rsidR="000E7382" w:rsidRPr="009851E0">
        <w:rPr>
          <w:lang w:val="ru-RU"/>
        </w:rPr>
        <w:t>"</w:t>
      </w:r>
      <w:r w:rsidR="00A72187" w:rsidRPr="009851E0">
        <w:rPr>
          <w:lang w:val="ru-RU"/>
        </w:rPr>
        <w:t xml:space="preserve"> и</w:t>
      </w:r>
      <w:r w:rsidR="009A6D4B" w:rsidRPr="009851E0">
        <w:rPr>
          <w:lang w:val="ru-RU"/>
        </w:rPr>
        <w:t xml:space="preserve"> </w:t>
      </w:r>
      <w:r w:rsidR="000E7382" w:rsidRPr="009851E0">
        <w:rPr>
          <w:lang w:val="ru-RU"/>
        </w:rPr>
        <w:t>"</w:t>
      </w:r>
      <w:r w:rsidR="00A72187" w:rsidRPr="009851E0">
        <w:rPr>
          <w:lang w:val="ru-RU"/>
        </w:rPr>
        <w:t xml:space="preserve">Расходы по перевозке, </w:t>
      </w:r>
      <w:r w:rsidR="004A11D4" w:rsidRPr="009851E0">
        <w:rPr>
          <w:lang w:val="ru-RU"/>
        </w:rPr>
        <w:t>электро</w:t>
      </w:r>
      <w:r w:rsidR="00A72187" w:rsidRPr="009851E0">
        <w:rPr>
          <w:lang w:val="ru-RU"/>
        </w:rPr>
        <w:t>связи и услугам</w:t>
      </w:r>
      <w:r w:rsidR="000E7382" w:rsidRPr="009851E0">
        <w:rPr>
          <w:lang w:val="ru-RU"/>
        </w:rPr>
        <w:t>"</w:t>
      </w:r>
      <w:r w:rsidR="009A6D4B" w:rsidRPr="009851E0">
        <w:rPr>
          <w:lang w:val="ru-RU"/>
        </w:rPr>
        <w:t>.</w:t>
      </w:r>
    </w:p>
    <w:p w:rsidR="00170A17" w:rsidRPr="009851E0" w:rsidRDefault="00D462F5" w:rsidP="00D462F5">
      <w:pPr>
        <w:pStyle w:val="Heading1"/>
        <w:rPr>
          <w:i/>
          <w:iCs/>
          <w:lang w:val="ru-RU"/>
        </w:rPr>
      </w:pPr>
      <w:bookmarkStart w:id="283" w:name="_Toc522633591"/>
      <w:r w:rsidRPr="009851E0">
        <w:rPr>
          <w:i/>
          <w:iCs/>
          <w:lang w:val="ru-RU"/>
        </w:rPr>
        <w:t>Автоматическое продление заключенных контрактов</w:t>
      </w:r>
      <w:bookmarkEnd w:id="283"/>
    </w:p>
    <w:p w:rsidR="00170A17" w:rsidRPr="009851E0" w:rsidRDefault="00170A17" w:rsidP="00C053B4">
      <w:pPr>
        <w:rPr>
          <w:lang w:val="ru-RU"/>
        </w:rPr>
      </w:pPr>
      <w:r w:rsidRPr="009851E0">
        <w:rPr>
          <w:lang w:val="ru-RU"/>
        </w:rPr>
        <w:t>87</w:t>
      </w:r>
      <w:r w:rsidRPr="009851E0">
        <w:rPr>
          <w:lang w:val="ru-RU"/>
        </w:rPr>
        <w:tab/>
      </w:r>
      <w:r w:rsidR="00D462F5" w:rsidRPr="009851E0">
        <w:rPr>
          <w:lang w:val="ru-RU"/>
        </w:rPr>
        <w:t>В ходе аудита мы обнаружили, что существуют контракты, которые остаются в силе более чем через пять лет после их заключения</w:t>
      </w:r>
      <w:r w:rsidRPr="009851E0">
        <w:rPr>
          <w:lang w:val="ru-RU"/>
        </w:rPr>
        <w:t xml:space="preserve">. </w:t>
      </w:r>
      <w:r w:rsidR="00D462F5" w:rsidRPr="009851E0">
        <w:rPr>
          <w:lang w:val="ru-RU"/>
        </w:rPr>
        <w:t>Эти контракты автоматически возобновляются год за годом</w:t>
      </w:r>
      <w:r w:rsidR="00C053B4" w:rsidRPr="009851E0">
        <w:rPr>
          <w:lang w:val="ru-RU"/>
        </w:rPr>
        <w:t>, если одна из сторон не расторгнет контракт, уведомив об этом до даты истечения его срока</w:t>
      </w:r>
      <w:r w:rsidRPr="009851E0">
        <w:rPr>
          <w:lang w:val="ru-RU"/>
        </w:rPr>
        <w:t xml:space="preserve">. </w:t>
      </w:r>
    </w:p>
    <w:p w:rsidR="00170A17" w:rsidRPr="009851E0" w:rsidRDefault="00170A17" w:rsidP="00C053B4">
      <w:pPr>
        <w:spacing w:after="120"/>
        <w:rPr>
          <w:lang w:val="ru-RU"/>
        </w:rPr>
      </w:pPr>
      <w:r w:rsidRPr="009851E0">
        <w:rPr>
          <w:lang w:val="ru-RU"/>
        </w:rPr>
        <w:t>88</w:t>
      </w:r>
      <w:r w:rsidRPr="009851E0">
        <w:rPr>
          <w:lang w:val="ru-RU"/>
        </w:rPr>
        <w:tab/>
      </w:r>
      <w:r w:rsidR="00C053B4" w:rsidRPr="009851E0">
        <w:rPr>
          <w:lang w:val="ru-RU"/>
        </w:rPr>
        <w:t>В любом случае мы полагаем, что руководство должно выполнять оценку поставщика и рыночных цен до истечения срока первоначального контракта, для принятия решения о продлении контрактов</w:t>
      </w:r>
      <w:r w:rsidRPr="009851E0">
        <w:rPr>
          <w:lang w:val="ru-RU"/>
        </w:rPr>
        <w:t>.</w:t>
      </w:r>
    </w:p>
    <w:tbl>
      <w:tblPr>
        <w:tblStyle w:val="TableGrid2"/>
        <w:tblW w:w="0" w:type="auto"/>
        <w:tblInd w:w="-5" w:type="dxa"/>
        <w:tblLook w:val="04A0" w:firstRow="1" w:lastRow="0" w:firstColumn="1" w:lastColumn="0" w:noHBand="0" w:noVBand="1"/>
      </w:tblPr>
      <w:tblGrid>
        <w:gridCol w:w="9634"/>
      </w:tblGrid>
      <w:tr w:rsidR="00170A17" w:rsidRPr="00E65E97" w:rsidTr="0079174F">
        <w:tc>
          <w:tcPr>
            <w:tcW w:w="9634" w:type="dxa"/>
          </w:tcPr>
          <w:p w:rsidR="00170A17" w:rsidRPr="009851E0" w:rsidRDefault="00170A17" w:rsidP="00170A17">
            <w:pPr>
              <w:keepNext/>
              <w:rPr>
                <w:b/>
                <w:bCs/>
                <w:i/>
                <w:iCs/>
                <w:lang w:val="ru-RU"/>
              </w:rPr>
            </w:pPr>
            <w:r w:rsidRPr="009851E0">
              <w:rPr>
                <w:b/>
                <w:bCs/>
                <w:i/>
                <w:iCs/>
                <w:lang w:val="ru-RU"/>
              </w:rPr>
              <w:t>Рекомендация 4</w:t>
            </w:r>
          </w:p>
          <w:p w:rsidR="00170A17" w:rsidRPr="009851E0" w:rsidRDefault="00170A17" w:rsidP="00AB0A38">
            <w:pPr>
              <w:spacing w:after="120"/>
              <w:rPr>
                <w:lang w:val="ru-RU"/>
              </w:rPr>
            </w:pPr>
            <w:r w:rsidRPr="009851E0">
              <w:rPr>
                <w:lang w:val="ru-RU"/>
              </w:rPr>
              <w:t>89</w:t>
            </w:r>
            <w:r w:rsidRPr="009851E0">
              <w:rPr>
                <w:lang w:val="ru-RU"/>
              </w:rPr>
              <w:tab/>
            </w:r>
            <w:r w:rsidR="00C053B4" w:rsidRPr="009851E0">
              <w:rPr>
                <w:u w:val="single"/>
                <w:lang w:val="ru-RU"/>
              </w:rPr>
              <w:t>Мы рекомендуем</w:t>
            </w:r>
            <w:r w:rsidRPr="009851E0">
              <w:rPr>
                <w:lang w:val="ru-RU"/>
              </w:rPr>
              <w:t xml:space="preserve"> </w:t>
            </w:r>
            <w:r w:rsidR="00C053B4" w:rsidRPr="009851E0">
              <w:rPr>
                <w:lang w:val="ru-RU"/>
              </w:rPr>
              <w:t xml:space="preserve">ввести политику/руководящие указания, </w:t>
            </w:r>
            <w:r w:rsidR="00AB0A38" w:rsidRPr="009851E0">
              <w:rPr>
                <w:lang w:val="ru-RU"/>
              </w:rPr>
              <w:t xml:space="preserve">благодаря </w:t>
            </w:r>
            <w:r w:rsidR="00C053B4" w:rsidRPr="009851E0">
              <w:rPr>
                <w:lang w:val="ru-RU"/>
              </w:rPr>
              <w:t>которы</w:t>
            </w:r>
            <w:r w:rsidR="00AB0A38" w:rsidRPr="009851E0">
              <w:rPr>
                <w:lang w:val="ru-RU"/>
              </w:rPr>
              <w:t>м</w:t>
            </w:r>
            <w:r w:rsidR="00C053B4" w:rsidRPr="009851E0">
              <w:rPr>
                <w:lang w:val="ru-RU"/>
              </w:rPr>
              <w:t xml:space="preserve"> </w:t>
            </w:r>
            <w:r w:rsidRPr="009851E0">
              <w:rPr>
                <w:lang w:val="ru-RU"/>
              </w:rPr>
              <w:t>1)</w:t>
            </w:r>
            <w:r w:rsidR="00C053B4" w:rsidRPr="009851E0">
              <w:rPr>
                <w:lang w:val="ru-RU"/>
              </w:rPr>
              <w:t> </w:t>
            </w:r>
            <w:r w:rsidR="00AB0A38" w:rsidRPr="009851E0">
              <w:rPr>
                <w:lang w:val="ru-RU"/>
              </w:rPr>
              <w:t>избегалось бы</w:t>
            </w:r>
            <w:r w:rsidR="00C053B4" w:rsidRPr="009851E0">
              <w:rPr>
                <w:lang w:val="ru-RU"/>
              </w:rPr>
              <w:t xml:space="preserve"> автоматическо</w:t>
            </w:r>
            <w:r w:rsidR="00AB0A38" w:rsidRPr="009851E0">
              <w:rPr>
                <w:lang w:val="ru-RU"/>
              </w:rPr>
              <w:t>е</w:t>
            </w:r>
            <w:r w:rsidR="00C053B4" w:rsidRPr="009851E0">
              <w:rPr>
                <w:lang w:val="ru-RU"/>
              </w:rPr>
              <w:t xml:space="preserve"> продлени</w:t>
            </w:r>
            <w:r w:rsidR="00AB0A38" w:rsidRPr="009851E0">
              <w:rPr>
                <w:lang w:val="ru-RU"/>
              </w:rPr>
              <w:t>е</w:t>
            </w:r>
            <w:r w:rsidR="00C053B4" w:rsidRPr="009851E0">
              <w:rPr>
                <w:lang w:val="ru-RU"/>
              </w:rPr>
              <w:t xml:space="preserve"> действующих контрактов</w:t>
            </w:r>
            <w:r w:rsidRPr="009851E0">
              <w:rPr>
                <w:lang w:val="ru-RU"/>
              </w:rPr>
              <w:t>; 2)</w:t>
            </w:r>
            <w:r w:rsidR="00AB0A38" w:rsidRPr="009851E0">
              <w:rPr>
                <w:lang w:val="ru-RU"/>
              </w:rPr>
              <w:t> считалось бы необходимым проведение оценки поставщиков/рынка до принятия руководством решения о продлении контракта</w:t>
            </w:r>
            <w:r w:rsidRPr="009851E0">
              <w:rPr>
                <w:lang w:val="ru-RU"/>
              </w:rPr>
              <w:t>.</w:t>
            </w:r>
          </w:p>
        </w:tc>
      </w:tr>
    </w:tbl>
    <w:p w:rsidR="00170A17" w:rsidRPr="009851E0" w:rsidRDefault="00170A17" w:rsidP="00170A17">
      <w:pPr>
        <w:rPr>
          <w:lang w:val="ru-RU"/>
        </w:rPr>
      </w:pPr>
    </w:p>
    <w:tbl>
      <w:tblPr>
        <w:tblStyle w:val="TableGrid2"/>
        <w:tblW w:w="0" w:type="auto"/>
        <w:tblInd w:w="-5" w:type="dxa"/>
        <w:tblLook w:val="04A0" w:firstRow="1" w:lastRow="0" w:firstColumn="1" w:lastColumn="0" w:noHBand="0" w:noVBand="1"/>
      </w:tblPr>
      <w:tblGrid>
        <w:gridCol w:w="9634"/>
      </w:tblGrid>
      <w:tr w:rsidR="00170A17" w:rsidRPr="00E65E97" w:rsidTr="0079174F">
        <w:trPr>
          <w:cantSplit/>
        </w:trPr>
        <w:tc>
          <w:tcPr>
            <w:tcW w:w="9634" w:type="dxa"/>
          </w:tcPr>
          <w:p w:rsidR="00170A17" w:rsidRPr="009851E0" w:rsidRDefault="00170A17" w:rsidP="0079174F">
            <w:pPr>
              <w:rPr>
                <w:b/>
                <w:bCs/>
                <w:i/>
                <w:iCs/>
                <w:u w:val="single"/>
                <w:lang w:val="ru-RU"/>
              </w:rPr>
            </w:pPr>
            <w:r w:rsidRPr="009851E0">
              <w:rPr>
                <w:b/>
                <w:bCs/>
                <w:i/>
                <w:iCs/>
                <w:u w:val="single"/>
                <w:lang w:val="ru-RU"/>
              </w:rPr>
              <w:t>Комментарии Генерального секретаря</w:t>
            </w:r>
          </w:p>
          <w:p w:rsidR="00170A17" w:rsidRPr="009851E0" w:rsidRDefault="00AB0A38" w:rsidP="006F7B77">
            <w:pPr>
              <w:spacing w:after="120"/>
              <w:rPr>
                <w:lang w:val="ru-RU"/>
              </w:rPr>
            </w:pPr>
            <w:r w:rsidRPr="009851E0">
              <w:rPr>
                <w:lang w:val="ru-RU"/>
              </w:rPr>
              <w:t>МСЭ согласен с тем, что следует ввести политику</w:t>
            </w:r>
            <w:r w:rsidR="00A771A4" w:rsidRPr="009851E0">
              <w:rPr>
                <w:lang w:val="ru-RU"/>
              </w:rPr>
              <w:t>, которая не предусматривала бы автоматическое продление контрактов</w:t>
            </w:r>
            <w:r w:rsidR="00170A17" w:rsidRPr="009851E0">
              <w:rPr>
                <w:lang w:val="ru-RU"/>
              </w:rPr>
              <w:t xml:space="preserve">. </w:t>
            </w:r>
            <w:r w:rsidR="00A771A4" w:rsidRPr="009851E0">
              <w:rPr>
                <w:lang w:val="ru-RU"/>
              </w:rPr>
              <w:t>МСЭ также согласен, что следует проводить оценку показателей работы поставщиков до продления контракта</w:t>
            </w:r>
            <w:r w:rsidR="00170A17" w:rsidRPr="009851E0">
              <w:rPr>
                <w:lang w:val="ru-RU"/>
              </w:rPr>
              <w:t xml:space="preserve">. </w:t>
            </w:r>
            <w:r w:rsidR="00A771A4" w:rsidRPr="009851E0">
              <w:rPr>
                <w:lang w:val="ru-RU"/>
              </w:rPr>
              <w:t xml:space="preserve">Если контрактом предусмотрены опции продления, </w:t>
            </w:r>
            <w:r w:rsidR="006F7B77" w:rsidRPr="009851E0">
              <w:rPr>
                <w:lang w:val="ru-RU"/>
              </w:rPr>
              <w:t xml:space="preserve">проведение </w:t>
            </w:r>
            <w:r w:rsidR="00A771A4" w:rsidRPr="009851E0">
              <w:rPr>
                <w:lang w:val="ru-RU"/>
              </w:rPr>
              <w:t>рыночн</w:t>
            </w:r>
            <w:r w:rsidR="006F7B77" w:rsidRPr="009851E0">
              <w:rPr>
                <w:lang w:val="ru-RU"/>
              </w:rPr>
              <w:t>ой</w:t>
            </w:r>
            <w:r w:rsidR="00A771A4" w:rsidRPr="009851E0">
              <w:rPr>
                <w:lang w:val="ru-RU"/>
              </w:rPr>
              <w:t xml:space="preserve"> оценк</w:t>
            </w:r>
            <w:r w:rsidR="006F7B77" w:rsidRPr="009851E0">
              <w:rPr>
                <w:lang w:val="ru-RU"/>
              </w:rPr>
              <w:t>и</w:t>
            </w:r>
            <w:r w:rsidR="00A771A4" w:rsidRPr="009851E0">
              <w:rPr>
                <w:lang w:val="ru-RU"/>
              </w:rPr>
              <w:t xml:space="preserve"> не должно быть обязательным</w:t>
            </w:r>
            <w:r w:rsidR="00170A17" w:rsidRPr="009851E0">
              <w:rPr>
                <w:lang w:val="ru-RU"/>
              </w:rPr>
              <w:t xml:space="preserve">. </w:t>
            </w:r>
            <w:r w:rsidR="00A771A4" w:rsidRPr="009851E0">
              <w:rPr>
                <w:lang w:val="ru-RU"/>
              </w:rPr>
              <w:t>В то же время, если контракт продляется на срок, больший</w:t>
            </w:r>
            <w:r w:rsidR="006F7B77" w:rsidRPr="009851E0">
              <w:rPr>
                <w:lang w:val="ru-RU"/>
              </w:rPr>
              <w:t>, чем</w:t>
            </w:r>
            <w:r w:rsidR="00A771A4" w:rsidRPr="009851E0">
              <w:rPr>
                <w:lang w:val="ru-RU"/>
              </w:rPr>
              <w:t xml:space="preserve"> опци</w:t>
            </w:r>
            <w:r w:rsidR="006F7B77" w:rsidRPr="009851E0">
              <w:rPr>
                <w:lang w:val="ru-RU"/>
              </w:rPr>
              <w:t>и</w:t>
            </w:r>
            <w:r w:rsidR="00A771A4" w:rsidRPr="009851E0">
              <w:rPr>
                <w:lang w:val="ru-RU"/>
              </w:rPr>
              <w:t xml:space="preserve"> продления, рыночная оценка может проводиться как часть обоснования такого продления</w:t>
            </w:r>
            <w:r w:rsidR="00170A17" w:rsidRPr="009851E0">
              <w:rPr>
                <w:lang w:val="ru-RU"/>
              </w:rPr>
              <w:t>.</w:t>
            </w:r>
          </w:p>
        </w:tc>
      </w:tr>
    </w:tbl>
    <w:p w:rsidR="00170A17" w:rsidRPr="009851E0" w:rsidRDefault="001D0672" w:rsidP="008F7868">
      <w:pPr>
        <w:pStyle w:val="Heading1"/>
        <w:tabs>
          <w:tab w:val="clear" w:pos="794"/>
        </w:tabs>
        <w:ind w:left="0" w:firstLine="0"/>
        <w:rPr>
          <w:i/>
          <w:iCs/>
          <w:lang w:val="ru-RU"/>
        </w:rPr>
      </w:pPr>
      <w:bookmarkStart w:id="284" w:name="_Toc522633592"/>
      <w:r w:rsidRPr="009851E0">
        <w:rPr>
          <w:i/>
          <w:iCs/>
          <w:lang w:val="ru-RU"/>
        </w:rPr>
        <w:t>Заключение контрактов, предусматривающих сметные расходы на сумму менее</w:t>
      </w:r>
      <w:r w:rsidR="00A95743" w:rsidRPr="009851E0">
        <w:rPr>
          <w:i/>
          <w:iCs/>
          <w:lang w:val="ru-RU"/>
        </w:rPr>
        <w:t xml:space="preserve"> 20 тыс. швейцарских франков</w:t>
      </w:r>
      <w:bookmarkEnd w:id="284"/>
    </w:p>
    <w:p w:rsidR="00170A17" w:rsidRPr="009851E0" w:rsidRDefault="00170A17" w:rsidP="00EE6007">
      <w:pPr>
        <w:rPr>
          <w:lang w:val="ru-RU"/>
        </w:rPr>
      </w:pPr>
      <w:r w:rsidRPr="009851E0">
        <w:rPr>
          <w:lang w:val="ru-RU"/>
        </w:rPr>
        <w:t>90</w:t>
      </w:r>
      <w:r w:rsidRPr="009851E0">
        <w:rPr>
          <w:lang w:val="ru-RU"/>
        </w:rPr>
        <w:tab/>
      </w:r>
      <w:r w:rsidR="001D0672" w:rsidRPr="009851E0">
        <w:rPr>
          <w:lang w:val="ru-RU"/>
        </w:rPr>
        <w:t xml:space="preserve">В настоящее время заключение контрактов, предусматривающих сметные расходы на сумму менее </w:t>
      </w:r>
      <w:r w:rsidR="00A95743" w:rsidRPr="009851E0">
        <w:rPr>
          <w:lang w:val="ru-RU"/>
        </w:rPr>
        <w:t>20 тыс. швейцарских франков</w:t>
      </w:r>
      <w:r w:rsidR="001D0672" w:rsidRPr="009851E0">
        <w:rPr>
          <w:lang w:val="ru-RU"/>
        </w:rPr>
        <w:t>, регулируется служебным приказом (</w:t>
      </w:r>
      <w:r w:rsidRPr="009851E0">
        <w:rPr>
          <w:lang w:val="ru-RU"/>
        </w:rPr>
        <w:t>SO</w:t>
      </w:r>
      <w:r w:rsidR="001D0672" w:rsidRPr="009851E0">
        <w:rPr>
          <w:lang w:val="ru-RU"/>
        </w:rPr>
        <w:t>)</w:t>
      </w:r>
      <w:r w:rsidRPr="009851E0">
        <w:rPr>
          <w:lang w:val="ru-RU"/>
        </w:rPr>
        <w:t xml:space="preserve"> 14/06, </w:t>
      </w:r>
      <w:r w:rsidR="001D0672" w:rsidRPr="009851E0">
        <w:rPr>
          <w:lang w:val="ru-RU"/>
        </w:rPr>
        <w:t>часть </w:t>
      </w:r>
      <w:r w:rsidRPr="009851E0">
        <w:rPr>
          <w:lang w:val="ru-RU"/>
        </w:rPr>
        <w:t xml:space="preserve">2, </w:t>
      </w:r>
      <w:r w:rsidR="001D0672" w:rsidRPr="009851E0">
        <w:rPr>
          <w:lang w:val="ru-RU"/>
        </w:rPr>
        <w:t>пункт</w:t>
      </w:r>
      <w:r w:rsidRPr="009851E0">
        <w:rPr>
          <w:lang w:val="ru-RU"/>
        </w:rPr>
        <w:t xml:space="preserve"> C, </w:t>
      </w:r>
      <w:r w:rsidR="001D0672" w:rsidRPr="009851E0">
        <w:rPr>
          <w:lang w:val="ru-RU"/>
        </w:rPr>
        <w:t>подпункт </w:t>
      </w:r>
      <w:r w:rsidRPr="009851E0">
        <w:rPr>
          <w:lang w:val="ru-RU"/>
        </w:rPr>
        <w:t xml:space="preserve">2.1.1. </w:t>
      </w:r>
      <w:r w:rsidR="001D0672" w:rsidRPr="009851E0">
        <w:rPr>
          <w:lang w:val="ru-RU"/>
        </w:rPr>
        <w:t xml:space="preserve">Согласно </w:t>
      </w:r>
      <w:r w:rsidRPr="009851E0">
        <w:rPr>
          <w:lang w:val="ru-RU"/>
        </w:rPr>
        <w:t xml:space="preserve">SO 14/06, </w:t>
      </w:r>
      <w:r w:rsidR="001D0672" w:rsidRPr="009851E0">
        <w:rPr>
          <w:lang w:val="ru-RU"/>
        </w:rPr>
        <w:t>часть </w:t>
      </w:r>
      <w:r w:rsidRPr="009851E0">
        <w:rPr>
          <w:lang w:val="ru-RU"/>
        </w:rPr>
        <w:t xml:space="preserve">2, </w:t>
      </w:r>
      <w:r w:rsidR="001D0672" w:rsidRPr="009851E0">
        <w:rPr>
          <w:lang w:val="ru-RU"/>
        </w:rPr>
        <w:t>пункт </w:t>
      </w:r>
      <w:r w:rsidRPr="009851E0">
        <w:rPr>
          <w:lang w:val="ru-RU"/>
        </w:rPr>
        <w:t xml:space="preserve">C, </w:t>
      </w:r>
      <w:r w:rsidR="001D0672" w:rsidRPr="009851E0">
        <w:rPr>
          <w:lang w:val="ru-RU"/>
        </w:rPr>
        <w:t>подпункт </w:t>
      </w:r>
      <w:r w:rsidRPr="009851E0">
        <w:rPr>
          <w:lang w:val="ru-RU"/>
        </w:rPr>
        <w:t xml:space="preserve">2.2 b), </w:t>
      </w:r>
      <w:r w:rsidR="001D0672" w:rsidRPr="009851E0">
        <w:rPr>
          <w:lang w:val="ru-RU"/>
        </w:rPr>
        <w:t>контракты, предусматривающие сметные расходы в сумме, равной или превышающей</w:t>
      </w:r>
      <w:r w:rsidR="00A95743" w:rsidRPr="009851E0">
        <w:rPr>
          <w:lang w:val="ru-RU"/>
        </w:rPr>
        <w:t xml:space="preserve"> 50 тыс. швейцарских франков</w:t>
      </w:r>
      <w:r w:rsidR="001D0672" w:rsidRPr="009851E0">
        <w:rPr>
          <w:lang w:val="ru-RU"/>
        </w:rPr>
        <w:t xml:space="preserve">, </w:t>
      </w:r>
      <w:r w:rsidR="00EE6007" w:rsidRPr="009851E0">
        <w:rPr>
          <w:lang w:val="ru-RU"/>
        </w:rPr>
        <w:t xml:space="preserve">Отделу закупок </w:t>
      </w:r>
      <w:r w:rsidR="001D0672" w:rsidRPr="009851E0">
        <w:rPr>
          <w:lang w:val="ru-RU"/>
        </w:rPr>
        <w:t xml:space="preserve">следует представлять в </w:t>
      </w:r>
      <w:r w:rsidR="00EE6007" w:rsidRPr="009851E0">
        <w:rPr>
          <w:lang w:val="ru-RU"/>
        </w:rPr>
        <w:t>Комитет по контрактам после проведения конкурса</w:t>
      </w:r>
      <w:r w:rsidRPr="009851E0">
        <w:rPr>
          <w:lang w:val="ru-RU"/>
        </w:rPr>
        <w:t>.</w:t>
      </w:r>
    </w:p>
    <w:p w:rsidR="00170A17" w:rsidRPr="009851E0" w:rsidRDefault="00170A17" w:rsidP="00EE6007">
      <w:pPr>
        <w:rPr>
          <w:lang w:val="ru-RU"/>
        </w:rPr>
      </w:pPr>
      <w:r w:rsidRPr="009851E0">
        <w:rPr>
          <w:lang w:val="ru-RU"/>
        </w:rPr>
        <w:t>91</w:t>
      </w:r>
      <w:r w:rsidRPr="009851E0">
        <w:rPr>
          <w:lang w:val="ru-RU"/>
        </w:rPr>
        <w:tab/>
      </w:r>
      <w:r w:rsidR="00EE6007" w:rsidRPr="009851E0">
        <w:rPr>
          <w:lang w:val="ru-RU"/>
        </w:rPr>
        <w:t xml:space="preserve">Наряду с этим, согласно </w:t>
      </w:r>
      <w:r w:rsidRPr="009851E0">
        <w:rPr>
          <w:lang w:val="ru-RU"/>
        </w:rPr>
        <w:t xml:space="preserve">SO 14/06, </w:t>
      </w:r>
      <w:r w:rsidR="00EE6007" w:rsidRPr="009851E0">
        <w:rPr>
          <w:lang w:val="ru-RU"/>
        </w:rPr>
        <w:t>часть 2, пункт C, подпункт </w:t>
      </w:r>
      <w:r w:rsidRPr="009851E0">
        <w:rPr>
          <w:lang w:val="ru-RU"/>
        </w:rPr>
        <w:t>2.</w:t>
      </w:r>
      <w:r w:rsidR="00A95743" w:rsidRPr="009851E0">
        <w:rPr>
          <w:lang w:val="ru-RU"/>
        </w:rPr>
        <w:t>2 e)</w:t>
      </w:r>
      <w:r w:rsidR="00EE6007" w:rsidRPr="009851E0">
        <w:rPr>
          <w:lang w:val="ru-RU"/>
        </w:rPr>
        <w:t xml:space="preserve">, существует пороговая сумма – </w:t>
      </w:r>
      <w:r w:rsidR="00A95743" w:rsidRPr="009851E0">
        <w:rPr>
          <w:lang w:val="ru-RU"/>
        </w:rPr>
        <w:t>50 тыс. швейцарских франков</w:t>
      </w:r>
      <w:r w:rsidR="00EE6007" w:rsidRPr="009851E0">
        <w:rPr>
          <w:lang w:val="ru-RU"/>
        </w:rPr>
        <w:t>, превышающие которую новые контракты, предложенные в течение двенадцати месяцев после даты заключения первого контракта, должны рассматриваться Комитетом по контрактам</w:t>
      </w:r>
      <w:r w:rsidRPr="009851E0">
        <w:rPr>
          <w:lang w:val="ru-RU"/>
        </w:rPr>
        <w:t>.</w:t>
      </w:r>
    </w:p>
    <w:p w:rsidR="00170A17" w:rsidRPr="009851E0" w:rsidRDefault="00170A17" w:rsidP="00EE6007">
      <w:pPr>
        <w:rPr>
          <w:lang w:val="ru-RU"/>
        </w:rPr>
      </w:pPr>
      <w:r w:rsidRPr="009851E0">
        <w:rPr>
          <w:lang w:val="ru-RU"/>
        </w:rPr>
        <w:t>92</w:t>
      </w:r>
      <w:r w:rsidRPr="009851E0">
        <w:rPr>
          <w:lang w:val="ru-RU"/>
        </w:rPr>
        <w:tab/>
      </w:r>
      <w:r w:rsidR="00EE6007" w:rsidRPr="009851E0">
        <w:rPr>
          <w:lang w:val="ru-RU"/>
        </w:rPr>
        <w:t>В ходе аудита мы обнаружили, что в ряде случаев поставщики получали сотни заказов на закупки на сумму менее</w:t>
      </w:r>
      <w:r w:rsidR="00A95743" w:rsidRPr="009851E0">
        <w:rPr>
          <w:lang w:val="ru-RU"/>
        </w:rPr>
        <w:t xml:space="preserve"> 20 тыс. швейцарских франков </w:t>
      </w:r>
      <w:r w:rsidR="00EE6007" w:rsidRPr="009851E0">
        <w:rPr>
          <w:lang w:val="ru-RU"/>
        </w:rPr>
        <w:t>за последние пять лет</w:t>
      </w:r>
      <w:r w:rsidRPr="009851E0">
        <w:rPr>
          <w:lang w:val="ru-RU"/>
        </w:rPr>
        <w:t>.</w:t>
      </w:r>
    </w:p>
    <w:p w:rsidR="00170A17" w:rsidRPr="009851E0" w:rsidRDefault="00170A17" w:rsidP="00446B70">
      <w:pPr>
        <w:rPr>
          <w:lang w:val="ru-RU"/>
        </w:rPr>
      </w:pPr>
      <w:r w:rsidRPr="009851E0">
        <w:rPr>
          <w:lang w:val="ru-RU"/>
        </w:rPr>
        <w:t>93</w:t>
      </w:r>
      <w:r w:rsidRPr="009851E0">
        <w:rPr>
          <w:lang w:val="ru-RU"/>
        </w:rPr>
        <w:tab/>
      </w:r>
      <w:r w:rsidR="00446B70" w:rsidRPr="009851E0">
        <w:rPr>
          <w:lang w:val="ru-RU"/>
        </w:rPr>
        <w:t>По меньшей мере в одном случае общая сумма этих заказов на закупки за один год составляла даже более</w:t>
      </w:r>
      <w:r w:rsidR="00A95743" w:rsidRPr="009851E0">
        <w:rPr>
          <w:lang w:val="ru-RU"/>
        </w:rPr>
        <w:t xml:space="preserve"> 100 тыс. швейцарских франков</w:t>
      </w:r>
      <w:r w:rsidRPr="009851E0">
        <w:rPr>
          <w:lang w:val="ru-RU"/>
        </w:rPr>
        <w:t xml:space="preserve">, </w:t>
      </w:r>
      <w:r w:rsidR="00446B70" w:rsidRPr="009851E0">
        <w:rPr>
          <w:lang w:val="ru-RU"/>
        </w:rPr>
        <w:t>что означает, что, согласно действующей в настоящее время процедуре</w:t>
      </w:r>
      <w:r w:rsidR="00A95743" w:rsidRPr="009851E0">
        <w:rPr>
          <w:lang w:val="ru-RU"/>
        </w:rPr>
        <w:t xml:space="preserve"> (SO </w:t>
      </w:r>
      <w:r w:rsidRPr="009851E0">
        <w:rPr>
          <w:lang w:val="ru-RU"/>
        </w:rPr>
        <w:t>14/06</w:t>
      </w:r>
      <w:r w:rsidR="00446B70" w:rsidRPr="009851E0">
        <w:rPr>
          <w:lang w:val="ru-RU"/>
        </w:rPr>
        <w:t>,</w:t>
      </w:r>
      <w:r w:rsidRPr="009851E0">
        <w:rPr>
          <w:lang w:val="ru-RU"/>
        </w:rPr>
        <w:t xml:space="preserve"> </w:t>
      </w:r>
      <w:r w:rsidR="00446B70" w:rsidRPr="009851E0">
        <w:rPr>
          <w:lang w:val="ru-RU"/>
        </w:rPr>
        <w:t>часть 2, пункт C, подпункт </w:t>
      </w:r>
      <w:r w:rsidRPr="009851E0">
        <w:rPr>
          <w:lang w:val="ru-RU"/>
        </w:rPr>
        <w:t>2.2.2)</w:t>
      </w:r>
      <w:r w:rsidR="00446B70" w:rsidRPr="009851E0">
        <w:rPr>
          <w:lang w:val="ru-RU"/>
        </w:rPr>
        <w:t>,</w:t>
      </w:r>
      <w:r w:rsidRPr="009851E0">
        <w:rPr>
          <w:lang w:val="ru-RU"/>
        </w:rPr>
        <w:t xml:space="preserve"> </w:t>
      </w:r>
      <w:r w:rsidR="00446B70" w:rsidRPr="009851E0">
        <w:rPr>
          <w:lang w:val="ru-RU"/>
        </w:rPr>
        <w:t xml:space="preserve">следовало провести </w:t>
      </w:r>
      <w:r w:rsidR="00A95743" w:rsidRPr="009851E0">
        <w:rPr>
          <w:lang w:val="ru-RU"/>
        </w:rPr>
        <w:t>"</w:t>
      </w:r>
      <w:r w:rsidR="00446B70" w:rsidRPr="009851E0">
        <w:rPr>
          <w:lang w:val="ru-RU"/>
        </w:rPr>
        <w:t>международный конкурсный процесс на получение контракта" и получить рекомендацию Комитета по закупкам</w:t>
      </w:r>
      <w:r w:rsidRPr="009851E0">
        <w:rPr>
          <w:lang w:val="ru-RU"/>
        </w:rPr>
        <w:t>.</w:t>
      </w:r>
    </w:p>
    <w:p w:rsidR="00170A17" w:rsidRPr="009851E0" w:rsidRDefault="00170A17" w:rsidP="00DB6328">
      <w:pPr>
        <w:spacing w:after="120"/>
        <w:rPr>
          <w:lang w:val="ru-RU"/>
        </w:rPr>
      </w:pPr>
      <w:r w:rsidRPr="009851E0">
        <w:rPr>
          <w:lang w:val="ru-RU"/>
        </w:rPr>
        <w:t>94</w:t>
      </w:r>
      <w:r w:rsidRPr="009851E0">
        <w:rPr>
          <w:lang w:val="ru-RU"/>
        </w:rPr>
        <w:tab/>
      </w:r>
      <w:r w:rsidR="0013497A" w:rsidRPr="009851E0">
        <w:rPr>
          <w:lang w:val="ru-RU"/>
        </w:rPr>
        <w:t xml:space="preserve">Таким образом, действующие в настоящее время правила и процедуры МСЭ в области закупок не применялись должным образом или обходились, что создавало риск того, что запрашивающие подразделения/Бюро будут разбивать требования заказов на закупки/контрактов и соответствующие финансовые суммы, чтобы избежать надлежащего применения правил и процедур </w:t>
      </w:r>
      <w:r w:rsidR="00DB6328" w:rsidRPr="009851E0">
        <w:rPr>
          <w:lang w:val="ru-RU"/>
        </w:rPr>
        <w:t xml:space="preserve">МСЭ в области </w:t>
      </w:r>
      <w:r w:rsidR="0013497A" w:rsidRPr="009851E0">
        <w:rPr>
          <w:lang w:val="ru-RU"/>
        </w:rPr>
        <w:t>закупок</w:t>
      </w:r>
      <w:r w:rsidRPr="009851E0">
        <w:rPr>
          <w:lang w:val="ru-RU"/>
        </w:rPr>
        <w:t>.</w:t>
      </w:r>
    </w:p>
    <w:tbl>
      <w:tblPr>
        <w:tblStyle w:val="TableGrid2"/>
        <w:tblW w:w="0" w:type="auto"/>
        <w:tblInd w:w="-5" w:type="dxa"/>
        <w:tblLook w:val="04A0" w:firstRow="1" w:lastRow="0" w:firstColumn="1" w:lastColumn="0" w:noHBand="0" w:noVBand="1"/>
      </w:tblPr>
      <w:tblGrid>
        <w:gridCol w:w="9634"/>
      </w:tblGrid>
      <w:tr w:rsidR="000458A4" w:rsidRPr="00E65E97" w:rsidTr="0079174F">
        <w:tc>
          <w:tcPr>
            <w:tcW w:w="9634" w:type="dxa"/>
          </w:tcPr>
          <w:p w:rsidR="000458A4" w:rsidRPr="009851E0" w:rsidRDefault="000458A4" w:rsidP="000458A4">
            <w:pPr>
              <w:keepNext/>
              <w:rPr>
                <w:b/>
                <w:bCs/>
                <w:i/>
                <w:iCs/>
                <w:lang w:val="ru-RU"/>
              </w:rPr>
            </w:pPr>
            <w:r w:rsidRPr="009851E0">
              <w:rPr>
                <w:b/>
                <w:bCs/>
                <w:i/>
                <w:iCs/>
                <w:lang w:val="ru-RU"/>
              </w:rPr>
              <w:t>Рекомендация 5</w:t>
            </w:r>
          </w:p>
          <w:p w:rsidR="000458A4" w:rsidRPr="009851E0" w:rsidRDefault="000458A4" w:rsidP="006F7B77">
            <w:pPr>
              <w:spacing w:after="120"/>
              <w:rPr>
                <w:lang w:val="ru-RU"/>
              </w:rPr>
            </w:pPr>
            <w:r w:rsidRPr="009851E0">
              <w:rPr>
                <w:lang w:val="ru-RU"/>
              </w:rPr>
              <w:t>95</w:t>
            </w:r>
            <w:r w:rsidRPr="009851E0">
              <w:rPr>
                <w:lang w:val="ru-RU"/>
              </w:rPr>
              <w:tab/>
            </w:r>
            <w:r w:rsidR="0013497A" w:rsidRPr="009851E0">
              <w:rPr>
                <w:u w:val="single"/>
                <w:lang w:val="ru-RU"/>
              </w:rPr>
              <w:t>Мы рекомендуем</w:t>
            </w:r>
            <w:r w:rsidRPr="009851E0">
              <w:rPr>
                <w:lang w:val="ru-RU"/>
              </w:rPr>
              <w:t xml:space="preserve"> </w:t>
            </w:r>
            <w:r w:rsidR="0013497A" w:rsidRPr="009851E0">
              <w:rPr>
                <w:lang w:val="ru-RU"/>
              </w:rPr>
              <w:t>руководству усилить контроль за многократным заключением заказов на закупки/контрактов</w:t>
            </w:r>
            <w:r w:rsidR="00DB6328" w:rsidRPr="009851E0">
              <w:rPr>
                <w:lang w:val="ru-RU"/>
              </w:rPr>
              <w:t xml:space="preserve"> с одним и тем же поставщиком для сокращения риска того, что правила и процедуры МСЭ в области закупок </w:t>
            </w:r>
            <w:r w:rsidR="006F7B77" w:rsidRPr="009851E0">
              <w:rPr>
                <w:lang w:val="ru-RU"/>
              </w:rPr>
              <w:t>избегаются</w:t>
            </w:r>
            <w:r w:rsidR="00DB6328" w:rsidRPr="009851E0">
              <w:rPr>
                <w:lang w:val="ru-RU"/>
              </w:rPr>
              <w:t xml:space="preserve"> или не применяются должным образом</w:t>
            </w:r>
            <w:r w:rsidRPr="009851E0">
              <w:rPr>
                <w:lang w:val="ru-RU"/>
              </w:rPr>
              <w:t>.</w:t>
            </w:r>
          </w:p>
        </w:tc>
      </w:tr>
    </w:tbl>
    <w:p w:rsidR="000458A4" w:rsidRPr="009851E0" w:rsidRDefault="000458A4" w:rsidP="000458A4">
      <w:pPr>
        <w:rPr>
          <w:lang w:val="ru-RU"/>
        </w:rPr>
      </w:pPr>
    </w:p>
    <w:tbl>
      <w:tblPr>
        <w:tblStyle w:val="TableGrid2"/>
        <w:tblW w:w="0" w:type="auto"/>
        <w:tblInd w:w="-5" w:type="dxa"/>
        <w:tblLook w:val="04A0" w:firstRow="1" w:lastRow="0" w:firstColumn="1" w:lastColumn="0" w:noHBand="0" w:noVBand="1"/>
      </w:tblPr>
      <w:tblGrid>
        <w:gridCol w:w="9634"/>
      </w:tblGrid>
      <w:tr w:rsidR="000458A4" w:rsidRPr="00E65E97" w:rsidTr="0079174F">
        <w:trPr>
          <w:cantSplit/>
        </w:trPr>
        <w:tc>
          <w:tcPr>
            <w:tcW w:w="9634" w:type="dxa"/>
          </w:tcPr>
          <w:p w:rsidR="000458A4" w:rsidRPr="009851E0" w:rsidRDefault="000458A4" w:rsidP="0079174F">
            <w:pPr>
              <w:rPr>
                <w:b/>
                <w:bCs/>
                <w:i/>
                <w:iCs/>
                <w:u w:val="single"/>
                <w:lang w:val="ru-RU"/>
              </w:rPr>
            </w:pPr>
            <w:r w:rsidRPr="009851E0">
              <w:rPr>
                <w:b/>
                <w:bCs/>
                <w:i/>
                <w:iCs/>
                <w:u w:val="single"/>
                <w:lang w:val="ru-RU"/>
              </w:rPr>
              <w:t>Комментарии Генерального секретаря</w:t>
            </w:r>
          </w:p>
          <w:p w:rsidR="000458A4" w:rsidRPr="009851E0" w:rsidRDefault="00DB6328" w:rsidP="00DB6328">
            <w:pPr>
              <w:spacing w:after="120"/>
              <w:rPr>
                <w:lang w:val="ru-RU"/>
              </w:rPr>
            </w:pPr>
            <w:r w:rsidRPr="009851E0">
              <w:rPr>
                <w:lang w:val="ru-RU"/>
              </w:rPr>
              <w:t xml:space="preserve">МСЭ согласен, что следует ввести меры контроля для сокращения риска того, что правила и процедуры МСЭ в области закупок </w:t>
            </w:r>
            <w:r w:rsidR="006F7B77" w:rsidRPr="009851E0">
              <w:rPr>
                <w:lang w:val="ru-RU"/>
              </w:rPr>
              <w:t>избегаются</w:t>
            </w:r>
            <w:r w:rsidR="000458A4" w:rsidRPr="009851E0">
              <w:rPr>
                <w:lang w:val="ru-RU"/>
              </w:rPr>
              <w:t>.</w:t>
            </w:r>
          </w:p>
        </w:tc>
      </w:tr>
    </w:tbl>
    <w:p w:rsidR="000458A4" w:rsidRPr="009851E0" w:rsidRDefault="00DB6328" w:rsidP="008F7868">
      <w:pPr>
        <w:pStyle w:val="Heading1"/>
        <w:tabs>
          <w:tab w:val="clear" w:pos="794"/>
        </w:tabs>
        <w:ind w:left="0" w:firstLine="0"/>
        <w:rPr>
          <w:i/>
          <w:iCs/>
          <w:lang w:val="ru-RU"/>
        </w:rPr>
      </w:pPr>
      <w:bookmarkStart w:id="285" w:name="_Toc522633593"/>
      <w:r w:rsidRPr="009851E0">
        <w:rPr>
          <w:i/>
          <w:iCs/>
          <w:lang w:val="ru-RU"/>
        </w:rPr>
        <w:t>Контроль заказов на закупки/контрактов, заключаемых в случае отказа от проведения конкурса</w:t>
      </w:r>
      <w:bookmarkEnd w:id="285"/>
    </w:p>
    <w:p w:rsidR="000458A4" w:rsidRPr="009851E0" w:rsidRDefault="000458A4" w:rsidP="00DB6328">
      <w:pPr>
        <w:spacing w:after="120"/>
        <w:rPr>
          <w:lang w:val="ru-RU"/>
        </w:rPr>
      </w:pPr>
      <w:r w:rsidRPr="009851E0">
        <w:rPr>
          <w:lang w:val="ru-RU"/>
        </w:rPr>
        <w:t>96</w:t>
      </w:r>
      <w:r w:rsidRPr="009851E0">
        <w:rPr>
          <w:lang w:val="ru-RU"/>
        </w:rPr>
        <w:tab/>
      </w:r>
      <w:r w:rsidR="00DB6328" w:rsidRPr="009851E0">
        <w:rPr>
          <w:lang w:val="ru-RU"/>
        </w:rPr>
        <w:t>В ходе аудита мы обнаружили, что Отдел закупок не контролирует (вручную или автоматически) заказы на закупки/контракты</w:t>
      </w:r>
      <w:r w:rsidRPr="009851E0">
        <w:rPr>
          <w:lang w:val="ru-RU"/>
        </w:rPr>
        <w:t xml:space="preserve"> (</w:t>
      </w:r>
      <w:r w:rsidR="00DB6328" w:rsidRPr="009851E0">
        <w:rPr>
          <w:lang w:val="ru-RU"/>
        </w:rPr>
        <w:t>номер и соответствующая общая сумма</w:t>
      </w:r>
      <w:r w:rsidRPr="009851E0">
        <w:rPr>
          <w:lang w:val="ru-RU"/>
        </w:rPr>
        <w:t>)</w:t>
      </w:r>
      <w:r w:rsidR="00DB6328" w:rsidRPr="009851E0">
        <w:rPr>
          <w:lang w:val="ru-RU"/>
        </w:rPr>
        <w:t>,</w:t>
      </w:r>
      <w:r w:rsidRPr="009851E0">
        <w:rPr>
          <w:lang w:val="ru-RU"/>
        </w:rPr>
        <w:t xml:space="preserve"> </w:t>
      </w:r>
      <w:r w:rsidR="00DB6328" w:rsidRPr="009851E0">
        <w:rPr>
          <w:lang w:val="ru-RU"/>
        </w:rPr>
        <w:t>заключаемые в случае отказа от проведения конкурса</w:t>
      </w:r>
      <w:r w:rsidRPr="009851E0">
        <w:rPr>
          <w:lang w:val="ru-RU"/>
        </w:rPr>
        <w:t>.</w:t>
      </w:r>
    </w:p>
    <w:tbl>
      <w:tblPr>
        <w:tblStyle w:val="TableGrid2"/>
        <w:tblW w:w="0" w:type="auto"/>
        <w:tblInd w:w="-5" w:type="dxa"/>
        <w:tblLook w:val="04A0" w:firstRow="1" w:lastRow="0" w:firstColumn="1" w:lastColumn="0" w:noHBand="0" w:noVBand="1"/>
      </w:tblPr>
      <w:tblGrid>
        <w:gridCol w:w="9634"/>
      </w:tblGrid>
      <w:tr w:rsidR="0079174F" w:rsidRPr="00E65E97" w:rsidTr="0079174F">
        <w:tc>
          <w:tcPr>
            <w:tcW w:w="9634" w:type="dxa"/>
          </w:tcPr>
          <w:p w:rsidR="0079174F" w:rsidRPr="009851E0" w:rsidRDefault="0079174F" w:rsidP="0079174F">
            <w:pPr>
              <w:keepNext/>
              <w:rPr>
                <w:b/>
                <w:bCs/>
                <w:i/>
                <w:iCs/>
                <w:lang w:val="ru-RU"/>
              </w:rPr>
            </w:pPr>
            <w:r w:rsidRPr="009851E0">
              <w:rPr>
                <w:b/>
                <w:bCs/>
                <w:i/>
                <w:iCs/>
                <w:lang w:val="ru-RU"/>
              </w:rPr>
              <w:t>Рекомендация 6</w:t>
            </w:r>
          </w:p>
          <w:p w:rsidR="0079174F" w:rsidRPr="009851E0" w:rsidRDefault="0079174F" w:rsidP="007C6DD4">
            <w:pPr>
              <w:spacing w:after="120"/>
              <w:rPr>
                <w:lang w:val="ru-RU"/>
              </w:rPr>
            </w:pPr>
            <w:r w:rsidRPr="009851E0">
              <w:rPr>
                <w:lang w:val="ru-RU"/>
              </w:rPr>
              <w:t>97</w:t>
            </w:r>
            <w:r w:rsidRPr="009851E0">
              <w:rPr>
                <w:lang w:val="ru-RU"/>
              </w:rPr>
              <w:tab/>
            </w:r>
            <w:r w:rsidR="00DB6328" w:rsidRPr="009851E0">
              <w:rPr>
                <w:u w:val="single"/>
                <w:lang w:val="ru-RU"/>
              </w:rPr>
              <w:t>Мы рекомендуем</w:t>
            </w:r>
            <w:r w:rsidR="00DB6328" w:rsidRPr="009851E0">
              <w:rPr>
                <w:lang w:val="ru-RU"/>
              </w:rPr>
              <w:t xml:space="preserve"> руководству </w:t>
            </w:r>
            <w:r w:rsidR="007C6DD4" w:rsidRPr="009851E0">
              <w:rPr>
                <w:lang w:val="ru-RU"/>
              </w:rPr>
              <w:t xml:space="preserve">обновить программное обеспечение </w:t>
            </w:r>
            <w:r w:rsidR="00B750A1" w:rsidRPr="009851E0">
              <w:rPr>
                <w:lang w:val="ru-RU"/>
              </w:rPr>
              <w:t>SRM</w:t>
            </w:r>
            <w:r w:rsidR="007C6DD4" w:rsidRPr="009851E0">
              <w:rPr>
                <w:lang w:val="ru-RU"/>
              </w:rPr>
              <w:t>, чтобы обеспечить возможность осуществления контроля заказов на закупки/контрактов, заключаемых в случае отказа от проведения конкурса</w:t>
            </w:r>
            <w:r w:rsidRPr="009851E0">
              <w:rPr>
                <w:lang w:val="ru-RU"/>
              </w:rPr>
              <w:t>.</w:t>
            </w:r>
          </w:p>
        </w:tc>
      </w:tr>
    </w:tbl>
    <w:p w:rsidR="0079174F" w:rsidRPr="009851E0" w:rsidRDefault="0079174F" w:rsidP="0079174F">
      <w:pPr>
        <w:rPr>
          <w:lang w:val="ru-RU"/>
        </w:rPr>
      </w:pPr>
    </w:p>
    <w:tbl>
      <w:tblPr>
        <w:tblStyle w:val="TableGrid2"/>
        <w:tblW w:w="0" w:type="auto"/>
        <w:tblInd w:w="-5" w:type="dxa"/>
        <w:tblLook w:val="04A0" w:firstRow="1" w:lastRow="0" w:firstColumn="1" w:lastColumn="0" w:noHBand="0" w:noVBand="1"/>
      </w:tblPr>
      <w:tblGrid>
        <w:gridCol w:w="9634"/>
      </w:tblGrid>
      <w:tr w:rsidR="0079174F" w:rsidRPr="00E65E97" w:rsidTr="0079174F">
        <w:trPr>
          <w:cantSplit/>
        </w:trPr>
        <w:tc>
          <w:tcPr>
            <w:tcW w:w="9634" w:type="dxa"/>
          </w:tcPr>
          <w:p w:rsidR="0079174F" w:rsidRPr="009851E0" w:rsidRDefault="0079174F" w:rsidP="0079174F">
            <w:pPr>
              <w:rPr>
                <w:b/>
                <w:bCs/>
                <w:i/>
                <w:iCs/>
                <w:u w:val="single"/>
                <w:lang w:val="ru-RU"/>
              </w:rPr>
            </w:pPr>
            <w:r w:rsidRPr="009851E0">
              <w:rPr>
                <w:b/>
                <w:bCs/>
                <w:i/>
                <w:iCs/>
                <w:u w:val="single"/>
                <w:lang w:val="ru-RU"/>
              </w:rPr>
              <w:t>Комментарии Генерального секретаря</w:t>
            </w:r>
          </w:p>
          <w:p w:rsidR="0079174F" w:rsidRPr="009851E0" w:rsidRDefault="00671590" w:rsidP="00B750A1">
            <w:pPr>
              <w:spacing w:after="120"/>
              <w:rPr>
                <w:lang w:val="ru-RU"/>
              </w:rPr>
            </w:pPr>
            <w:r w:rsidRPr="009851E0">
              <w:rPr>
                <w:lang w:val="ru-RU"/>
              </w:rPr>
              <w:t xml:space="preserve">МСЭ согласен, </w:t>
            </w:r>
            <w:r w:rsidR="006F7B77" w:rsidRPr="009851E0">
              <w:rPr>
                <w:lang w:val="ru-RU"/>
              </w:rPr>
              <w:t xml:space="preserve">что, </w:t>
            </w:r>
            <w:r w:rsidRPr="009851E0">
              <w:rPr>
                <w:lang w:val="ru-RU"/>
              </w:rPr>
              <w:t xml:space="preserve">если это технически осуществимо, основание для заключения (отказ от проведения конкурса) следует заносить в систему </w:t>
            </w:r>
            <w:r w:rsidR="00B750A1" w:rsidRPr="009851E0">
              <w:rPr>
                <w:lang w:val="ru-RU"/>
              </w:rPr>
              <w:t>SRM</w:t>
            </w:r>
            <w:r w:rsidR="0079174F" w:rsidRPr="009851E0">
              <w:rPr>
                <w:lang w:val="ru-RU"/>
              </w:rPr>
              <w:t>.</w:t>
            </w:r>
          </w:p>
        </w:tc>
      </w:tr>
    </w:tbl>
    <w:p w:rsidR="004A430C" w:rsidRPr="009851E0" w:rsidRDefault="004A430C" w:rsidP="00A86B08">
      <w:pPr>
        <w:pStyle w:val="Heading1"/>
        <w:rPr>
          <w:i/>
          <w:iCs/>
          <w:lang w:val="ru-RU"/>
        </w:rPr>
      </w:pPr>
      <w:bookmarkStart w:id="286" w:name="_Toc482176249"/>
      <w:bookmarkStart w:id="287" w:name="_Toc482995202"/>
      <w:bookmarkStart w:id="288" w:name="_Toc522633594"/>
      <w:bookmarkEnd w:id="277"/>
      <w:r w:rsidRPr="009851E0">
        <w:rPr>
          <w:i/>
          <w:iCs/>
          <w:lang w:val="ru-RU"/>
        </w:rPr>
        <w:t>Повышение прозрачности процесса закупок</w:t>
      </w:r>
      <w:bookmarkEnd w:id="286"/>
      <w:bookmarkEnd w:id="287"/>
      <w:r w:rsidR="00B750A1" w:rsidRPr="009851E0">
        <w:rPr>
          <w:i/>
          <w:iCs/>
          <w:lang w:val="ru-RU"/>
        </w:rPr>
        <w:t xml:space="preserve"> на небольшие суммы</w:t>
      </w:r>
      <w:bookmarkEnd w:id="288"/>
    </w:p>
    <w:p w:rsidR="008151EE" w:rsidRPr="009851E0" w:rsidRDefault="008151EE" w:rsidP="006F7B77">
      <w:pPr>
        <w:rPr>
          <w:lang w:val="ru-RU"/>
        </w:rPr>
      </w:pPr>
      <w:r w:rsidRPr="009851E0">
        <w:rPr>
          <w:lang w:val="ru-RU"/>
        </w:rPr>
        <w:t>98</w:t>
      </w:r>
      <w:r w:rsidR="004A430C" w:rsidRPr="009851E0">
        <w:rPr>
          <w:lang w:val="ru-RU"/>
        </w:rPr>
        <w:tab/>
        <w:t xml:space="preserve">В ходе нашей аудиторской проверки мы обнаружили, что </w:t>
      </w:r>
      <w:r w:rsidR="00B750A1" w:rsidRPr="009851E0">
        <w:rPr>
          <w:lang w:val="ru-RU"/>
        </w:rPr>
        <w:t>руководящие указания, которые охватывали бы все аспекты закупок на сумму мен</w:t>
      </w:r>
      <w:r w:rsidR="006F7B77" w:rsidRPr="009851E0">
        <w:rPr>
          <w:lang w:val="ru-RU"/>
        </w:rPr>
        <w:t>ее</w:t>
      </w:r>
      <w:r w:rsidRPr="009851E0">
        <w:rPr>
          <w:lang w:val="ru-RU"/>
        </w:rPr>
        <w:t xml:space="preserve"> 20 тыс. швейцарских франков</w:t>
      </w:r>
      <w:r w:rsidR="00B750A1" w:rsidRPr="009851E0">
        <w:rPr>
          <w:lang w:val="ru-RU"/>
        </w:rPr>
        <w:t>, отсутствуют</w:t>
      </w:r>
      <w:r w:rsidRPr="009851E0">
        <w:rPr>
          <w:lang w:val="ru-RU"/>
        </w:rPr>
        <w:t>.</w:t>
      </w:r>
    </w:p>
    <w:p w:rsidR="008151EE" w:rsidRPr="009851E0" w:rsidRDefault="008151EE" w:rsidP="00B750A1">
      <w:pPr>
        <w:spacing w:after="120"/>
        <w:rPr>
          <w:lang w:val="ru-RU"/>
        </w:rPr>
      </w:pPr>
      <w:r w:rsidRPr="009851E0">
        <w:rPr>
          <w:lang w:val="ru-RU"/>
        </w:rPr>
        <w:t>99</w:t>
      </w:r>
      <w:r w:rsidRPr="009851E0">
        <w:rPr>
          <w:lang w:val="ru-RU"/>
        </w:rPr>
        <w:tab/>
      </w:r>
      <w:r w:rsidR="00B750A1" w:rsidRPr="009851E0">
        <w:rPr>
          <w:lang w:val="ru-RU"/>
        </w:rPr>
        <w:t>В ряде случаев мы также обнаружили, что только одному поставщику было предложено представить предложение и что отсутствуют данные о том, какие меры принимали сотрудники МСЭ для выбора лучшего предложения</w:t>
      </w:r>
      <w:r w:rsidRPr="009851E0">
        <w:rPr>
          <w:lang w:val="ru-RU"/>
        </w:rPr>
        <w:t>.</w:t>
      </w:r>
    </w:p>
    <w:tbl>
      <w:tblPr>
        <w:tblStyle w:val="TableGrid2"/>
        <w:tblW w:w="0" w:type="auto"/>
        <w:tblInd w:w="-5" w:type="dxa"/>
        <w:tblLook w:val="04A0" w:firstRow="1" w:lastRow="0" w:firstColumn="1" w:lastColumn="0" w:noHBand="0" w:noVBand="1"/>
      </w:tblPr>
      <w:tblGrid>
        <w:gridCol w:w="9634"/>
      </w:tblGrid>
      <w:tr w:rsidR="008151EE" w:rsidRPr="00E65E97" w:rsidTr="005A7222">
        <w:tc>
          <w:tcPr>
            <w:tcW w:w="9634" w:type="dxa"/>
          </w:tcPr>
          <w:p w:rsidR="008151EE" w:rsidRPr="009851E0" w:rsidRDefault="008151EE" w:rsidP="008151EE">
            <w:pPr>
              <w:keepNext/>
              <w:rPr>
                <w:b/>
                <w:bCs/>
                <w:i/>
                <w:iCs/>
                <w:lang w:val="ru-RU"/>
              </w:rPr>
            </w:pPr>
            <w:r w:rsidRPr="009851E0">
              <w:rPr>
                <w:b/>
                <w:bCs/>
                <w:i/>
                <w:iCs/>
                <w:lang w:val="ru-RU"/>
              </w:rPr>
              <w:t>Рекомендация 7</w:t>
            </w:r>
          </w:p>
          <w:p w:rsidR="008151EE" w:rsidRPr="009851E0" w:rsidRDefault="008151EE" w:rsidP="006F7B77">
            <w:pPr>
              <w:spacing w:after="120"/>
              <w:rPr>
                <w:lang w:val="ru-RU"/>
              </w:rPr>
            </w:pPr>
            <w:r w:rsidRPr="009851E0">
              <w:rPr>
                <w:lang w:val="ru-RU"/>
              </w:rPr>
              <w:t>100</w:t>
            </w:r>
            <w:r w:rsidRPr="009851E0">
              <w:rPr>
                <w:lang w:val="ru-RU"/>
              </w:rPr>
              <w:tab/>
            </w:r>
            <w:r w:rsidR="00977183" w:rsidRPr="009851E0">
              <w:rPr>
                <w:u w:val="single"/>
                <w:lang w:val="ru-RU"/>
              </w:rPr>
              <w:t>Мы рекомендуем</w:t>
            </w:r>
            <w:r w:rsidR="00977183" w:rsidRPr="009851E0">
              <w:rPr>
                <w:lang w:val="ru-RU"/>
              </w:rPr>
              <w:t xml:space="preserve"> </w:t>
            </w:r>
            <w:r w:rsidR="000104DF" w:rsidRPr="009851E0">
              <w:rPr>
                <w:lang w:val="ru-RU"/>
              </w:rPr>
              <w:t>Отделу закупок подготовить руководящие указания, которые охватывали бы все аспекты закупок на сумму мен</w:t>
            </w:r>
            <w:r w:rsidR="006F7B77" w:rsidRPr="009851E0">
              <w:rPr>
                <w:lang w:val="ru-RU"/>
              </w:rPr>
              <w:t>ее</w:t>
            </w:r>
            <w:r w:rsidR="000104DF" w:rsidRPr="009851E0">
              <w:rPr>
                <w:lang w:val="ru-RU"/>
              </w:rPr>
              <w:t xml:space="preserve"> 20 тыс. швейцарских франков, и ознакомить с ними соответствующих сотрудников</w:t>
            </w:r>
            <w:r w:rsidRPr="009851E0">
              <w:rPr>
                <w:lang w:val="ru-RU"/>
              </w:rPr>
              <w:t xml:space="preserve">. </w:t>
            </w:r>
            <w:r w:rsidR="000104DF" w:rsidRPr="009851E0">
              <w:rPr>
                <w:lang w:val="ru-RU"/>
              </w:rPr>
              <w:t>Так, в руководящих указаниях следует рассмотреть следующее</w:t>
            </w:r>
            <w:r w:rsidRPr="009851E0">
              <w:rPr>
                <w:lang w:val="ru-RU"/>
              </w:rPr>
              <w:t>: 1)</w:t>
            </w:r>
            <w:r w:rsidR="000104DF" w:rsidRPr="009851E0">
              <w:rPr>
                <w:lang w:val="ru-RU"/>
              </w:rPr>
              <w:t> каковы минимальные элементы заявок</w:t>
            </w:r>
            <w:r w:rsidRPr="009851E0">
              <w:rPr>
                <w:lang w:val="ru-RU"/>
              </w:rPr>
              <w:t>; 2) </w:t>
            </w:r>
            <w:r w:rsidR="000104DF" w:rsidRPr="009851E0">
              <w:rPr>
                <w:lang w:val="ru-RU"/>
              </w:rPr>
              <w:t>как должны определяться потенциальные поставщики; 3) что требуется проведение конкурса и необходимо минимальное число предложений, если иное должным образом не обосновано клиентом/заказчиком и не утверждено предварительно Отделом закупок</w:t>
            </w:r>
            <w:r w:rsidRPr="009851E0">
              <w:rPr>
                <w:lang w:val="ru-RU"/>
              </w:rPr>
              <w:t>; 4)</w:t>
            </w:r>
            <w:r w:rsidR="000104DF" w:rsidRPr="009851E0">
              <w:rPr>
                <w:lang w:val="ru-RU"/>
              </w:rPr>
              <w:t> как выполняется оценка предложений</w:t>
            </w:r>
            <w:r w:rsidRPr="009851E0">
              <w:rPr>
                <w:lang w:val="ru-RU"/>
              </w:rPr>
              <w:t>; 5)</w:t>
            </w:r>
            <w:r w:rsidR="000104DF" w:rsidRPr="009851E0">
              <w:rPr>
                <w:lang w:val="ru-RU"/>
              </w:rPr>
              <w:t> как заключается заказ на закупки/контракт</w:t>
            </w:r>
            <w:r w:rsidRPr="009851E0">
              <w:rPr>
                <w:lang w:val="ru-RU"/>
              </w:rPr>
              <w:t>.</w:t>
            </w:r>
          </w:p>
        </w:tc>
      </w:tr>
    </w:tbl>
    <w:p w:rsidR="008151EE" w:rsidRPr="009851E0" w:rsidRDefault="008151EE" w:rsidP="008151EE">
      <w:pPr>
        <w:rPr>
          <w:lang w:val="ru-RU"/>
        </w:rPr>
      </w:pPr>
    </w:p>
    <w:tbl>
      <w:tblPr>
        <w:tblStyle w:val="TableGrid2"/>
        <w:tblW w:w="0" w:type="auto"/>
        <w:tblInd w:w="-5" w:type="dxa"/>
        <w:tblLook w:val="04A0" w:firstRow="1" w:lastRow="0" w:firstColumn="1" w:lastColumn="0" w:noHBand="0" w:noVBand="1"/>
      </w:tblPr>
      <w:tblGrid>
        <w:gridCol w:w="9634"/>
      </w:tblGrid>
      <w:tr w:rsidR="008151EE" w:rsidRPr="00E65E97" w:rsidTr="005A7222">
        <w:trPr>
          <w:cantSplit/>
        </w:trPr>
        <w:tc>
          <w:tcPr>
            <w:tcW w:w="9634" w:type="dxa"/>
          </w:tcPr>
          <w:p w:rsidR="008151EE" w:rsidRPr="009851E0" w:rsidRDefault="008151EE" w:rsidP="005A7222">
            <w:pPr>
              <w:rPr>
                <w:b/>
                <w:bCs/>
                <w:i/>
                <w:iCs/>
                <w:u w:val="single"/>
                <w:lang w:val="ru-RU"/>
              </w:rPr>
            </w:pPr>
            <w:r w:rsidRPr="009851E0">
              <w:rPr>
                <w:b/>
                <w:bCs/>
                <w:i/>
                <w:iCs/>
                <w:u w:val="single"/>
                <w:lang w:val="ru-RU"/>
              </w:rPr>
              <w:t>Комментарии Генерального секретаря</w:t>
            </w:r>
          </w:p>
          <w:p w:rsidR="008151EE" w:rsidRPr="009851E0" w:rsidRDefault="000104DF" w:rsidP="006F7B77">
            <w:pPr>
              <w:spacing w:after="120"/>
              <w:rPr>
                <w:lang w:val="ru-RU"/>
              </w:rPr>
            </w:pPr>
            <w:r w:rsidRPr="009851E0">
              <w:rPr>
                <w:lang w:val="ru-RU"/>
              </w:rPr>
              <w:t xml:space="preserve">МСЭ согласен, что следует ввести политику, </w:t>
            </w:r>
            <w:r w:rsidR="004A4733" w:rsidRPr="009851E0">
              <w:rPr>
                <w:lang w:val="ru-RU"/>
              </w:rPr>
              <w:t>которая охватывала бы все аспекты закупок на сумму мен</w:t>
            </w:r>
            <w:r w:rsidR="006F7B77" w:rsidRPr="009851E0">
              <w:rPr>
                <w:lang w:val="ru-RU"/>
              </w:rPr>
              <w:t>ее</w:t>
            </w:r>
            <w:r w:rsidR="004A4733" w:rsidRPr="009851E0">
              <w:rPr>
                <w:lang w:val="ru-RU"/>
              </w:rPr>
              <w:t xml:space="preserve"> 20 тыс. швейцарских франков</w:t>
            </w:r>
            <w:r w:rsidR="005A7222" w:rsidRPr="009851E0">
              <w:rPr>
                <w:lang w:val="ru-RU"/>
              </w:rPr>
              <w:t xml:space="preserve">. </w:t>
            </w:r>
            <w:r w:rsidR="004A4733" w:rsidRPr="009851E0">
              <w:rPr>
                <w:lang w:val="ru-RU"/>
              </w:rPr>
              <w:t xml:space="preserve">МСЭ согласен, что конкурс </w:t>
            </w:r>
            <w:r w:rsidR="00A242FA" w:rsidRPr="009851E0">
              <w:rPr>
                <w:lang w:val="ru-RU"/>
              </w:rPr>
              <w:t>(если иное должным образом не обосновано) должен обычно проводиться по суммам выше определенного минимального порогового значения, которое предстоит установить</w:t>
            </w:r>
            <w:r w:rsidR="005A7222" w:rsidRPr="009851E0">
              <w:rPr>
                <w:lang w:val="ru-RU"/>
              </w:rPr>
              <w:t>.</w:t>
            </w:r>
          </w:p>
        </w:tc>
      </w:tr>
    </w:tbl>
    <w:p w:rsidR="008151EE" w:rsidRPr="009851E0" w:rsidRDefault="005A7222" w:rsidP="00643814">
      <w:pPr>
        <w:spacing w:after="120"/>
        <w:rPr>
          <w:lang w:val="ru-RU"/>
        </w:rPr>
      </w:pPr>
      <w:r w:rsidRPr="009851E0">
        <w:rPr>
          <w:lang w:val="ru-RU"/>
        </w:rPr>
        <w:t>101</w:t>
      </w:r>
      <w:r w:rsidRPr="009851E0">
        <w:rPr>
          <w:lang w:val="ru-RU"/>
        </w:rPr>
        <w:tab/>
      </w:r>
      <w:r w:rsidR="00A242FA" w:rsidRPr="009851E0">
        <w:rPr>
          <w:lang w:val="ru-RU"/>
        </w:rPr>
        <w:t>Мы также заметили, что процесс закупок на сумму менее</w:t>
      </w:r>
      <w:r w:rsidR="00C8181B" w:rsidRPr="009851E0">
        <w:rPr>
          <w:lang w:val="ru-RU"/>
        </w:rPr>
        <w:t xml:space="preserve"> 20 тыс. швейцарских франков </w:t>
      </w:r>
      <w:r w:rsidR="00A242FA" w:rsidRPr="009851E0">
        <w:rPr>
          <w:lang w:val="ru-RU"/>
        </w:rPr>
        <w:t>не всегда удовлетворительно отражается в документах</w:t>
      </w:r>
      <w:r w:rsidRPr="009851E0">
        <w:rPr>
          <w:lang w:val="ru-RU"/>
        </w:rPr>
        <w:t xml:space="preserve">. </w:t>
      </w:r>
      <w:r w:rsidR="00A242FA" w:rsidRPr="009851E0">
        <w:rPr>
          <w:lang w:val="ru-RU"/>
        </w:rPr>
        <w:t>Так, не всегда можно понять, как отбирались потенциальные поставщики</w:t>
      </w:r>
      <w:r w:rsidRPr="009851E0">
        <w:rPr>
          <w:lang w:val="ru-RU"/>
        </w:rPr>
        <w:t xml:space="preserve">. </w:t>
      </w:r>
      <w:r w:rsidR="00A242FA" w:rsidRPr="009851E0">
        <w:rPr>
          <w:lang w:val="ru-RU"/>
        </w:rPr>
        <w:t>Также нельзя понять, как посылался запрос на предложение, были ли предложения (если таковые имелись)</w:t>
      </w:r>
      <w:r w:rsidR="00643814" w:rsidRPr="009851E0">
        <w:rPr>
          <w:lang w:val="ru-RU"/>
        </w:rPr>
        <w:t xml:space="preserve"> получены до предельного срока и велась ли переписка по электронной почте</w:t>
      </w:r>
      <w:r w:rsidRPr="009851E0">
        <w:rPr>
          <w:lang w:val="ru-RU"/>
        </w:rPr>
        <w:t>.</w:t>
      </w:r>
    </w:p>
    <w:tbl>
      <w:tblPr>
        <w:tblStyle w:val="TableGrid2"/>
        <w:tblW w:w="0" w:type="auto"/>
        <w:tblInd w:w="-5" w:type="dxa"/>
        <w:tblLook w:val="04A0" w:firstRow="1" w:lastRow="0" w:firstColumn="1" w:lastColumn="0" w:noHBand="0" w:noVBand="1"/>
      </w:tblPr>
      <w:tblGrid>
        <w:gridCol w:w="9634"/>
      </w:tblGrid>
      <w:tr w:rsidR="00C8181B" w:rsidRPr="00E65E97" w:rsidTr="007A1B7B">
        <w:tc>
          <w:tcPr>
            <w:tcW w:w="9634" w:type="dxa"/>
          </w:tcPr>
          <w:p w:rsidR="00C8181B" w:rsidRPr="009851E0" w:rsidRDefault="00C8181B" w:rsidP="007A1B7B">
            <w:pPr>
              <w:keepNext/>
              <w:rPr>
                <w:b/>
                <w:bCs/>
                <w:i/>
                <w:iCs/>
                <w:lang w:val="ru-RU"/>
              </w:rPr>
            </w:pPr>
            <w:r w:rsidRPr="009851E0">
              <w:rPr>
                <w:b/>
                <w:bCs/>
                <w:i/>
                <w:iCs/>
                <w:lang w:val="ru-RU"/>
              </w:rPr>
              <w:t>Рекомендация 8</w:t>
            </w:r>
          </w:p>
          <w:p w:rsidR="00C8181B" w:rsidRPr="009851E0" w:rsidRDefault="00C8181B" w:rsidP="00643814">
            <w:pPr>
              <w:spacing w:after="120"/>
              <w:rPr>
                <w:lang w:val="ru-RU"/>
              </w:rPr>
            </w:pPr>
            <w:r w:rsidRPr="009851E0">
              <w:rPr>
                <w:lang w:val="ru-RU"/>
              </w:rPr>
              <w:t>102</w:t>
            </w:r>
            <w:r w:rsidRPr="009851E0">
              <w:rPr>
                <w:lang w:val="ru-RU"/>
              </w:rPr>
              <w:tab/>
            </w:r>
            <w:r w:rsidR="00643814" w:rsidRPr="009851E0">
              <w:rPr>
                <w:u w:val="single"/>
                <w:lang w:val="ru-RU"/>
              </w:rPr>
              <w:t>Мы рекомендуем</w:t>
            </w:r>
            <w:r w:rsidR="00643814" w:rsidRPr="009851E0">
              <w:rPr>
                <w:lang w:val="ru-RU"/>
              </w:rPr>
              <w:t xml:space="preserve"> должным образом отражать в документации весь процесс закупок</w:t>
            </w:r>
            <w:r w:rsidRPr="009851E0">
              <w:rPr>
                <w:lang w:val="ru-RU"/>
              </w:rPr>
              <w:t xml:space="preserve"> (</w:t>
            </w:r>
            <w:r w:rsidR="00643814" w:rsidRPr="009851E0">
              <w:rPr>
                <w:lang w:val="ru-RU"/>
              </w:rPr>
              <w:t>от досье тендера до заключенного контракта) для обеспечения подотчетности, прозрачности и возможности проведения аудиторской проверки</w:t>
            </w:r>
            <w:r w:rsidRPr="009851E0">
              <w:rPr>
                <w:lang w:val="ru-RU"/>
              </w:rPr>
              <w:t>.</w:t>
            </w:r>
          </w:p>
        </w:tc>
      </w:tr>
    </w:tbl>
    <w:p w:rsidR="00C8181B" w:rsidRPr="009851E0" w:rsidRDefault="00C8181B" w:rsidP="00C8181B">
      <w:pPr>
        <w:rPr>
          <w:lang w:val="ru-RU"/>
        </w:rPr>
      </w:pPr>
    </w:p>
    <w:tbl>
      <w:tblPr>
        <w:tblStyle w:val="TableGrid2"/>
        <w:tblW w:w="0" w:type="auto"/>
        <w:tblInd w:w="-5" w:type="dxa"/>
        <w:tblLook w:val="04A0" w:firstRow="1" w:lastRow="0" w:firstColumn="1" w:lastColumn="0" w:noHBand="0" w:noVBand="1"/>
      </w:tblPr>
      <w:tblGrid>
        <w:gridCol w:w="9634"/>
      </w:tblGrid>
      <w:tr w:rsidR="00C8181B" w:rsidRPr="00E65E97" w:rsidTr="007A1B7B">
        <w:trPr>
          <w:cantSplit/>
        </w:trPr>
        <w:tc>
          <w:tcPr>
            <w:tcW w:w="9634" w:type="dxa"/>
          </w:tcPr>
          <w:p w:rsidR="00C8181B" w:rsidRPr="009851E0" w:rsidRDefault="00C8181B" w:rsidP="007A1B7B">
            <w:pPr>
              <w:rPr>
                <w:b/>
                <w:bCs/>
                <w:i/>
                <w:iCs/>
                <w:u w:val="single"/>
                <w:lang w:val="ru-RU"/>
              </w:rPr>
            </w:pPr>
            <w:r w:rsidRPr="009851E0">
              <w:rPr>
                <w:b/>
                <w:bCs/>
                <w:i/>
                <w:iCs/>
                <w:u w:val="single"/>
                <w:lang w:val="ru-RU"/>
              </w:rPr>
              <w:t>Комментарии Генерального секретаря</w:t>
            </w:r>
          </w:p>
          <w:p w:rsidR="00C8181B" w:rsidRPr="009851E0" w:rsidRDefault="00643814" w:rsidP="00643814">
            <w:pPr>
              <w:spacing w:after="120"/>
              <w:rPr>
                <w:lang w:val="ru-RU"/>
              </w:rPr>
            </w:pPr>
            <w:r w:rsidRPr="009851E0">
              <w:rPr>
                <w:lang w:val="ru-RU"/>
              </w:rPr>
              <w:t>МСЭ согласен с тем, что все процессы закупок должны надлежащим образом отражаться в документации</w:t>
            </w:r>
            <w:r w:rsidR="00C8181B" w:rsidRPr="009851E0">
              <w:rPr>
                <w:lang w:val="ru-RU"/>
              </w:rPr>
              <w:t>.</w:t>
            </w:r>
          </w:p>
        </w:tc>
      </w:tr>
    </w:tbl>
    <w:p w:rsidR="00C8181B" w:rsidRPr="009851E0" w:rsidRDefault="00643814" w:rsidP="00643814">
      <w:pPr>
        <w:pStyle w:val="Heading1"/>
        <w:rPr>
          <w:i/>
          <w:iCs/>
          <w:lang w:val="ru-RU"/>
        </w:rPr>
      </w:pPr>
      <w:bookmarkStart w:id="289" w:name="_Toc522633595"/>
      <w:r w:rsidRPr="009851E0">
        <w:rPr>
          <w:i/>
          <w:iCs/>
          <w:color w:val="000000"/>
          <w:lang w:val="ru-RU"/>
        </w:rPr>
        <w:t>Декларация об отсутствии конфликта интересов по процедуре закупок на небольшую сумму</w:t>
      </w:r>
      <w:bookmarkEnd w:id="289"/>
    </w:p>
    <w:p w:rsidR="005A7222" w:rsidRPr="009851E0" w:rsidRDefault="00C8181B" w:rsidP="00442A9C">
      <w:pPr>
        <w:spacing w:after="120"/>
        <w:rPr>
          <w:lang w:val="ru-RU"/>
        </w:rPr>
      </w:pPr>
      <w:r w:rsidRPr="009851E0">
        <w:rPr>
          <w:lang w:val="ru-RU"/>
        </w:rPr>
        <w:t>103</w:t>
      </w:r>
      <w:r w:rsidRPr="009851E0">
        <w:rPr>
          <w:lang w:val="ru-RU"/>
        </w:rPr>
        <w:tab/>
      </w:r>
      <w:r w:rsidR="00643814" w:rsidRPr="009851E0">
        <w:rPr>
          <w:lang w:val="ru-RU"/>
        </w:rPr>
        <w:t>В ходе нашего аудита мы обнаружили, что в случае закупок на сумму менее</w:t>
      </w:r>
      <w:r w:rsidRPr="009851E0">
        <w:rPr>
          <w:lang w:val="ru-RU"/>
        </w:rPr>
        <w:t xml:space="preserve"> 20 тыс. швейцарских франков </w:t>
      </w:r>
      <w:r w:rsidR="00442A9C" w:rsidRPr="009851E0">
        <w:rPr>
          <w:lang w:val="ru-RU"/>
        </w:rPr>
        <w:t>сотрудники</w:t>
      </w:r>
      <w:r w:rsidRPr="009851E0">
        <w:rPr>
          <w:lang w:val="ru-RU"/>
        </w:rPr>
        <w:t xml:space="preserve"> (</w:t>
      </w:r>
      <w:r w:rsidR="00442A9C" w:rsidRPr="009851E0">
        <w:rPr>
          <w:lang w:val="ru-RU"/>
        </w:rPr>
        <w:t>клиент/заказчик), участвующие в процессе закупок, не представляют Декларацию об отсутствии конфликта интересов</w:t>
      </w:r>
      <w:r w:rsidRPr="009851E0">
        <w:rPr>
          <w:lang w:val="ru-RU"/>
        </w:rPr>
        <w:t xml:space="preserve"> (DACI).</w:t>
      </w:r>
    </w:p>
    <w:tbl>
      <w:tblPr>
        <w:tblStyle w:val="TableGrid2"/>
        <w:tblW w:w="0" w:type="auto"/>
        <w:tblInd w:w="-5" w:type="dxa"/>
        <w:tblLook w:val="04A0" w:firstRow="1" w:lastRow="0" w:firstColumn="1" w:lastColumn="0" w:noHBand="0" w:noVBand="1"/>
      </w:tblPr>
      <w:tblGrid>
        <w:gridCol w:w="9634"/>
      </w:tblGrid>
      <w:tr w:rsidR="00C8181B" w:rsidRPr="00E65E97" w:rsidTr="007A1B7B">
        <w:tc>
          <w:tcPr>
            <w:tcW w:w="9634" w:type="dxa"/>
          </w:tcPr>
          <w:p w:rsidR="00C8181B" w:rsidRPr="009851E0" w:rsidRDefault="00C8181B" w:rsidP="007A1B7B">
            <w:pPr>
              <w:keepNext/>
              <w:rPr>
                <w:b/>
                <w:bCs/>
                <w:i/>
                <w:iCs/>
                <w:lang w:val="ru-RU"/>
              </w:rPr>
            </w:pPr>
            <w:r w:rsidRPr="009851E0">
              <w:rPr>
                <w:b/>
                <w:bCs/>
                <w:i/>
                <w:iCs/>
                <w:lang w:val="ru-RU"/>
              </w:rPr>
              <w:t>Рекомендация 9</w:t>
            </w:r>
          </w:p>
          <w:p w:rsidR="00C8181B" w:rsidRPr="009851E0" w:rsidRDefault="00C8181B" w:rsidP="00442A9C">
            <w:pPr>
              <w:spacing w:after="120"/>
              <w:rPr>
                <w:lang w:val="ru-RU"/>
              </w:rPr>
            </w:pPr>
            <w:r w:rsidRPr="009851E0">
              <w:rPr>
                <w:lang w:val="ru-RU"/>
              </w:rPr>
              <w:t>104</w:t>
            </w:r>
            <w:r w:rsidRPr="009851E0">
              <w:rPr>
                <w:lang w:val="ru-RU"/>
              </w:rPr>
              <w:tab/>
            </w:r>
            <w:r w:rsidR="00442A9C" w:rsidRPr="009851E0">
              <w:rPr>
                <w:u w:val="single"/>
                <w:lang w:val="ru-RU"/>
              </w:rPr>
              <w:t>Мы рекомендуем</w:t>
            </w:r>
            <w:r w:rsidR="00442A9C" w:rsidRPr="009851E0">
              <w:rPr>
                <w:lang w:val="ru-RU"/>
              </w:rPr>
              <w:t>, чтобы сотрудники, участвующие в процессе закупок, подписывали Декларацию об отсутствии конфликта интересов (DACI), заявляя, что у них нет конфликта интересов, который мог бы сказаться на процессе закупок</w:t>
            </w:r>
            <w:r w:rsidRPr="009851E0">
              <w:rPr>
                <w:lang w:val="ru-RU"/>
              </w:rPr>
              <w:t>.</w:t>
            </w:r>
          </w:p>
        </w:tc>
      </w:tr>
    </w:tbl>
    <w:p w:rsidR="00C8181B" w:rsidRPr="009851E0" w:rsidRDefault="00C8181B" w:rsidP="00C8181B">
      <w:pPr>
        <w:rPr>
          <w:lang w:val="ru-RU"/>
        </w:rPr>
      </w:pPr>
    </w:p>
    <w:tbl>
      <w:tblPr>
        <w:tblStyle w:val="TableGrid2"/>
        <w:tblW w:w="0" w:type="auto"/>
        <w:tblInd w:w="-5" w:type="dxa"/>
        <w:tblLook w:val="04A0" w:firstRow="1" w:lastRow="0" w:firstColumn="1" w:lastColumn="0" w:noHBand="0" w:noVBand="1"/>
      </w:tblPr>
      <w:tblGrid>
        <w:gridCol w:w="9634"/>
      </w:tblGrid>
      <w:tr w:rsidR="00C8181B" w:rsidRPr="00E65E97" w:rsidTr="007A1B7B">
        <w:trPr>
          <w:cantSplit/>
        </w:trPr>
        <w:tc>
          <w:tcPr>
            <w:tcW w:w="9634" w:type="dxa"/>
          </w:tcPr>
          <w:p w:rsidR="00C8181B" w:rsidRPr="009851E0" w:rsidRDefault="00C8181B" w:rsidP="007A1B7B">
            <w:pPr>
              <w:rPr>
                <w:b/>
                <w:bCs/>
                <w:i/>
                <w:iCs/>
                <w:u w:val="single"/>
                <w:lang w:val="ru-RU"/>
              </w:rPr>
            </w:pPr>
            <w:r w:rsidRPr="009851E0">
              <w:rPr>
                <w:b/>
                <w:bCs/>
                <w:i/>
                <w:iCs/>
                <w:u w:val="single"/>
                <w:lang w:val="ru-RU"/>
              </w:rPr>
              <w:t>Комментарии Генерального секретаря</w:t>
            </w:r>
          </w:p>
          <w:p w:rsidR="00C8181B" w:rsidRPr="009851E0" w:rsidRDefault="00442A9C" w:rsidP="00442A9C">
            <w:pPr>
              <w:spacing w:after="120"/>
              <w:rPr>
                <w:lang w:val="ru-RU"/>
              </w:rPr>
            </w:pPr>
            <w:r w:rsidRPr="009851E0">
              <w:rPr>
                <w:lang w:val="ru-RU"/>
              </w:rPr>
              <w:t>МСЭ согласен, что некоторые ключевые сотрудники, участвующие в процессе закупок, должны подписывать</w:t>
            </w:r>
            <w:r w:rsidR="00C8181B" w:rsidRPr="009851E0">
              <w:rPr>
                <w:lang w:val="ru-RU"/>
              </w:rPr>
              <w:t xml:space="preserve"> DACI.</w:t>
            </w:r>
          </w:p>
        </w:tc>
      </w:tr>
    </w:tbl>
    <w:p w:rsidR="0072386F" w:rsidRPr="009851E0" w:rsidRDefault="00442A9C" w:rsidP="00442A9C">
      <w:pPr>
        <w:pStyle w:val="Heading1"/>
        <w:rPr>
          <w:i/>
          <w:iCs/>
          <w:lang w:val="ru-RU"/>
        </w:rPr>
      </w:pPr>
      <w:bookmarkStart w:id="290" w:name="_Toc522633596"/>
      <w:r w:rsidRPr="009851E0">
        <w:rPr>
          <w:i/>
          <w:iCs/>
          <w:lang w:val="ru-RU"/>
        </w:rPr>
        <w:t>Кодекс поведения поставщика Организации Объединенных Наций</w:t>
      </w:r>
      <w:bookmarkEnd w:id="290"/>
    </w:p>
    <w:p w:rsidR="0072386F" w:rsidRPr="009851E0" w:rsidRDefault="0072386F" w:rsidP="00CE7346">
      <w:pPr>
        <w:rPr>
          <w:lang w:val="ru-RU"/>
        </w:rPr>
      </w:pPr>
      <w:r w:rsidRPr="009851E0">
        <w:rPr>
          <w:lang w:val="ru-RU"/>
        </w:rPr>
        <w:t>105</w:t>
      </w:r>
      <w:r w:rsidRPr="009851E0">
        <w:rPr>
          <w:lang w:val="ru-RU"/>
        </w:rPr>
        <w:tab/>
      </w:r>
      <w:r w:rsidR="000D78BD" w:rsidRPr="009851E0">
        <w:rPr>
          <w:lang w:val="ru-RU"/>
        </w:rPr>
        <w:t xml:space="preserve">В </w:t>
      </w:r>
      <w:r w:rsidRPr="009851E0">
        <w:rPr>
          <w:lang w:val="ru-RU"/>
        </w:rPr>
        <w:t xml:space="preserve">SO 14/06 </w:t>
      </w:r>
      <w:r w:rsidR="000D78BD" w:rsidRPr="009851E0">
        <w:rPr>
          <w:lang w:val="ru-RU"/>
        </w:rPr>
        <w:t>не упоминается, что в тендерной документации следует ссылаться на Кодекс поведения поставщика ООН</w:t>
      </w:r>
      <w:r w:rsidRPr="009851E0">
        <w:rPr>
          <w:lang w:val="ru-RU"/>
        </w:rPr>
        <w:t>.</w:t>
      </w:r>
      <w:r w:rsidR="00CE7346" w:rsidRPr="009851E0">
        <w:rPr>
          <w:lang w:val="ru-RU"/>
        </w:rPr>
        <w:t xml:space="preserve"> Вместе с тем, когда МСЭ начинает процесс закупок, имеется досье тендера, где упоминается Кодекс поведения поставщика ООН и объясняется, что потенциальные поставщики осведомлены о том, что любое присланное в МСЭ представление означает согласие соблюдать Кодекс поведения поставщика ООН</w:t>
      </w:r>
      <w:r w:rsidRPr="009851E0">
        <w:rPr>
          <w:lang w:val="ru-RU"/>
        </w:rPr>
        <w:t>.</w:t>
      </w:r>
    </w:p>
    <w:p w:rsidR="005A7222" w:rsidRPr="009851E0" w:rsidRDefault="0072386F" w:rsidP="00CE7346">
      <w:pPr>
        <w:spacing w:after="120"/>
        <w:rPr>
          <w:lang w:val="ru-RU"/>
        </w:rPr>
      </w:pPr>
      <w:r w:rsidRPr="009851E0">
        <w:rPr>
          <w:lang w:val="ru-RU"/>
        </w:rPr>
        <w:t>106</w:t>
      </w:r>
      <w:r w:rsidRPr="009851E0">
        <w:rPr>
          <w:lang w:val="ru-RU"/>
        </w:rPr>
        <w:tab/>
      </w:r>
      <w:r w:rsidR="00CE7346" w:rsidRPr="009851E0">
        <w:rPr>
          <w:lang w:val="ru-RU"/>
        </w:rPr>
        <w:t>Вместо этого по заказам на закупки/контракты, выдаваемые в ходе процедуры закупок, от поставщиков не требуется подтверждения согласия соблюдать Кодекс поведения поставщика ООН</w:t>
      </w:r>
      <w:r w:rsidRPr="009851E0">
        <w:rPr>
          <w:lang w:val="ru-RU"/>
        </w:rPr>
        <w:t>.</w:t>
      </w:r>
    </w:p>
    <w:tbl>
      <w:tblPr>
        <w:tblStyle w:val="TableGrid2"/>
        <w:tblW w:w="0" w:type="auto"/>
        <w:tblInd w:w="-5" w:type="dxa"/>
        <w:tblLook w:val="04A0" w:firstRow="1" w:lastRow="0" w:firstColumn="1" w:lastColumn="0" w:noHBand="0" w:noVBand="1"/>
      </w:tblPr>
      <w:tblGrid>
        <w:gridCol w:w="9634"/>
      </w:tblGrid>
      <w:tr w:rsidR="0072386F" w:rsidRPr="00E65E97" w:rsidTr="007A1B7B">
        <w:tc>
          <w:tcPr>
            <w:tcW w:w="9634" w:type="dxa"/>
          </w:tcPr>
          <w:p w:rsidR="0072386F" w:rsidRPr="009851E0" w:rsidRDefault="0072386F" w:rsidP="0072386F">
            <w:pPr>
              <w:keepNext/>
              <w:rPr>
                <w:b/>
                <w:bCs/>
                <w:i/>
                <w:iCs/>
                <w:lang w:val="ru-RU"/>
              </w:rPr>
            </w:pPr>
            <w:r w:rsidRPr="009851E0">
              <w:rPr>
                <w:b/>
                <w:bCs/>
                <w:i/>
                <w:iCs/>
                <w:lang w:val="ru-RU"/>
              </w:rPr>
              <w:t>Рекомендация 10</w:t>
            </w:r>
          </w:p>
          <w:p w:rsidR="0072386F" w:rsidRPr="009851E0" w:rsidRDefault="00FF22FC" w:rsidP="007A1B7B">
            <w:pPr>
              <w:spacing w:after="120"/>
              <w:rPr>
                <w:lang w:val="ru-RU"/>
              </w:rPr>
            </w:pPr>
            <w:r w:rsidRPr="009851E0">
              <w:rPr>
                <w:lang w:val="ru-RU"/>
              </w:rPr>
              <w:t>107</w:t>
            </w:r>
            <w:r w:rsidRPr="009851E0">
              <w:rPr>
                <w:lang w:val="ru-RU"/>
              </w:rPr>
              <w:tab/>
            </w:r>
            <w:r w:rsidR="00CE7346" w:rsidRPr="009851E0">
              <w:rPr>
                <w:u w:val="single"/>
                <w:lang w:val="ru-RU"/>
              </w:rPr>
              <w:t>Мы рекомендуем</w:t>
            </w:r>
            <w:r w:rsidR="00CE7346" w:rsidRPr="009851E0">
              <w:rPr>
                <w:lang w:val="ru-RU"/>
              </w:rPr>
              <w:t xml:space="preserve"> по любым закупкам получать от поставщика письменное подтверждение того, что компания соблюдает Кодекс поведения поставщика ООН</w:t>
            </w:r>
            <w:r w:rsidRPr="009851E0">
              <w:rPr>
                <w:lang w:val="ru-RU"/>
              </w:rPr>
              <w:t>.</w:t>
            </w:r>
          </w:p>
        </w:tc>
      </w:tr>
    </w:tbl>
    <w:p w:rsidR="0072386F" w:rsidRPr="009851E0" w:rsidRDefault="0072386F" w:rsidP="0072386F">
      <w:pPr>
        <w:rPr>
          <w:lang w:val="ru-RU"/>
        </w:rPr>
      </w:pPr>
    </w:p>
    <w:tbl>
      <w:tblPr>
        <w:tblStyle w:val="TableGrid2"/>
        <w:tblW w:w="0" w:type="auto"/>
        <w:tblInd w:w="-5" w:type="dxa"/>
        <w:tblLook w:val="04A0" w:firstRow="1" w:lastRow="0" w:firstColumn="1" w:lastColumn="0" w:noHBand="0" w:noVBand="1"/>
      </w:tblPr>
      <w:tblGrid>
        <w:gridCol w:w="9634"/>
      </w:tblGrid>
      <w:tr w:rsidR="0072386F" w:rsidRPr="00E65E97" w:rsidTr="007A1B7B">
        <w:trPr>
          <w:cantSplit/>
        </w:trPr>
        <w:tc>
          <w:tcPr>
            <w:tcW w:w="9634" w:type="dxa"/>
          </w:tcPr>
          <w:p w:rsidR="0072386F" w:rsidRPr="009851E0" w:rsidRDefault="0072386F" w:rsidP="007A1B7B">
            <w:pPr>
              <w:rPr>
                <w:b/>
                <w:bCs/>
                <w:i/>
                <w:iCs/>
                <w:u w:val="single"/>
                <w:lang w:val="ru-RU"/>
              </w:rPr>
            </w:pPr>
            <w:r w:rsidRPr="009851E0">
              <w:rPr>
                <w:b/>
                <w:bCs/>
                <w:i/>
                <w:iCs/>
                <w:u w:val="single"/>
                <w:lang w:val="ru-RU"/>
              </w:rPr>
              <w:t>Комментарии Генерального секретаря</w:t>
            </w:r>
          </w:p>
          <w:p w:rsidR="0072386F" w:rsidRPr="009851E0" w:rsidRDefault="000555E4" w:rsidP="000555E4">
            <w:pPr>
              <w:spacing w:after="120"/>
              <w:rPr>
                <w:lang w:val="ru-RU"/>
              </w:rPr>
            </w:pPr>
            <w:r w:rsidRPr="009851E0">
              <w:rPr>
                <w:lang w:val="ru-RU"/>
              </w:rPr>
              <w:t xml:space="preserve">МСЭ согласен с этой рекомендацией и намеревается зарегистрировать всех поставщиков на </w:t>
            </w:r>
            <w:r w:rsidRPr="009851E0">
              <w:rPr>
                <w:color w:val="000000"/>
                <w:lang w:val="ru-RU"/>
              </w:rPr>
              <w:t>Глобальном рынке Организации Объединенных Наций (ГРООН</w:t>
            </w:r>
            <w:r w:rsidR="00FF22FC" w:rsidRPr="009851E0">
              <w:rPr>
                <w:lang w:val="ru-RU"/>
              </w:rPr>
              <w:t xml:space="preserve">). </w:t>
            </w:r>
            <w:r w:rsidRPr="009851E0">
              <w:rPr>
                <w:lang w:val="ru-RU"/>
              </w:rPr>
              <w:t>В рамках этого процесса регистрации поставщик подтверждает, что прочел и понял Кодекс поведения поставщика ООН</w:t>
            </w:r>
            <w:r w:rsidR="00FF22FC" w:rsidRPr="009851E0">
              <w:rPr>
                <w:lang w:val="ru-RU"/>
              </w:rPr>
              <w:t>.</w:t>
            </w:r>
          </w:p>
        </w:tc>
      </w:tr>
    </w:tbl>
    <w:p w:rsidR="00A86B08" w:rsidRPr="009851E0" w:rsidRDefault="00A86B08" w:rsidP="00A86B08">
      <w:pPr>
        <w:pStyle w:val="Heading1"/>
        <w:rPr>
          <w:lang w:val="ru-RU"/>
        </w:rPr>
      </w:pPr>
      <w:bookmarkStart w:id="291" w:name="_Toc482995208"/>
      <w:bookmarkStart w:id="292" w:name="_Toc522633597"/>
      <w:r w:rsidRPr="009851E0">
        <w:rPr>
          <w:color w:val="000000"/>
          <w:lang w:val="ru-RU"/>
        </w:rPr>
        <w:t>Стандарты этики</w:t>
      </w:r>
      <w:bookmarkEnd w:id="291"/>
      <w:bookmarkEnd w:id="292"/>
    </w:p>
    <w:p w:rsidR="00674748" w:rsidRPr="009851E0" w:rsidRDefault="007A1B7B" w:rsidP="00C17055">
      <w:pPr>
        <w:rPr>
          <w:lang w:val="ru-RU"/>
        </w:rPr>
      </w:pPr>
      <w:r w:rsidRPr="009851E0">
        <w:rPr>
          <w:lang w:val="ru-RU"/>
        </w:rPr>
        <w:t>108</w:t>
      </w:r>
      <w:r w:rsidR="00A86B08" w:rsidRPr="009851E0">
        <w:rPr>
          <w:lang w:val="ru-RU"/>
        </w:rPr>
        <w:tab/>
        <w:t xml:space="preserve">Должность </w:t>
      </w:r>
      <w:r w:rsidR="00A86B08" w:rsidRPr="009851E0">
        <w:rPr>
          <w:color w:val="000000"/>
          <w:lang w:val="ru-RU"/>
        </w:rPr>
        <w:t xml:space="preserve">сотрудника по вопросам </w:t>
      </w:r>
      <w:r w:rsidR="00A86B08" w:rsidRPr="009851E0">
        <w:rPr>
          <w:lang w:val="ru-RU"/>
        </w:rPr>
        <w:t xml:space="preserve">этики была создана </w:t>
      </w:r>
      <w:r w:rsidR="00C17055" w:rsidRPr="009851E0">
        <w:rPr>
          <w:lang w:val="ru-RU"/>
        </w:rPr>
        <w:t>в соответствии с</w:t>
      </w:r>
      <w:r w:rsidR="00A86B08" w:rsidRPr="009851E0">
        <w:rPr>
          <w:lang w:val="ru-RU"/>
        </w:rPr>
        <w:t xml:space="preserve"> Резолюци</w:t>
      </w:r>
      <w:r w:rsidR="00C17055" w:rsidRPr="009851E0">
        <w:rPr>
          <w:lang w:val="ru-RU"/>
        </w:rPr>
        <w:t>ей</w:t>
      </w:r>
      <w:r w:rsidR="00571B7E" w:rsidRPr="009851E0">
        <w:rPr>
          <w:lang w:val="ru-RU"/>
        </w:rPr>
        <w:t> </w:t>
      </w:r>
      <w:r w:rsidR="00A86B08" w:rsidRPr="009851E0">
        <w:rPr>
          <w:lang w:val="ru-RU"/>
        </w:rPr>
        <w:t xml:space="preserve">1308, которая была утверждена Советом (C09/121, пункт 3.21) в декабре 2009 года. </w:t>
      </w:r>
      <w:r w:rsidR="00C17055" w:rsidRPr="009851E0">
        <w:rPr>
          <w:lang w:val="ru-RU"/>
        </w:rPr>
        <w:t>Должность сотрудника по вопросам этики, назначение на которую произошло в ноябре 2016 года, с конца апреля 2018 года вновь вакантна</w:t>
      </w:r>
      <w:r w:rsidR="00674748" w:rsidRPr="009851E0">
        <w:rPr>
          <w:lang w:val="ru-RU"/>
        </w:rPr>
        <w:t>.</w:t>
      </w:r>
    </w:p>
    <w:p w:rsidR="00A86B08" w:rsidRPr="009851E0" w:rsidRDefault="00674748" w:rsidP="0065095D">
      <w:pPr>
        <w:rPr>
          <w:lang w:val="ru-RU"/>
        </w:rPr>
      </w:pPr>
      <w:r w:rsidRPr="009851E0">
        <w:rPr>
          <w:lang w:val="ru-RU"/>
        </w:rPr>
        <w:t>109</w:t>
      </w:r>
      <w:r w:rsidRPr="009851E0">
        <w:rPr>
          <w:lang w:val="ru-RU"/>
        </w:rPr>
        <w:tab/>
      </w:r>
      <w:r w:rsidR="004C1A09" w:rsidRPr="009851E0">
        <w:rPr>
          <w:lang w:val="ru-RU"/>
        </w:rPr>
        <w:t>В</w:t>
      </w:r>
      <w:r w:rsidRPr="009851E0">
        <w:rPr>
          <w:lang w:val="ru-RU"/>
        </w:rPr>
        <w:t xml:space="preserve"> 2017</w:t>
      </w:r>
      <w:r w:rsidR="004C1A09" w:rsidRPr="009851E0">
        <w:rPr>
          <w:lang w:val="ru-RU"/>
        </w:rPr>
        <w:t> году сотрудник по вопросам этики выпустил ряд документов</w:t>
      </w:r>
      <w:r w:rsidRPr="009851E0">
        <w:rPr>
          <w:lang w:val="ru-RU"/>
        </w:rPr>
        <w:t xml:space="preserve">: </w:t>
      </w:r>
      <w:r w:rsidR="004C1A09" w:rsidRPr="009851E0">
        <w:rPr>
          <w:lang w:val="ru-RU"/>
        </w:rPr>
        <w:t>Руководящие указания по раскрытию финансовой информации</w:t>
      </w:r>
      <w:r w:rsidRPr="009851E0">
        <w:rPr>
          <w:lang w:val="ru-RU"/>
        </w:rPr>
        <w:t xml:space="preserve">, </w:t>
      </w:r>
      <w:r w:rsidR="004C1A09" w:rsidRPr="009851E0">
        <w:rPr>
          <w:lang w:val="ru-RU"/>
        </w:rPr>
        <w:t>Руководящие указания по подаркам на Всемирном мероприятии</w:t>
      </w:r>
      <w:r w:rsidRPr="009851E0">
        <w:rPr>
          <w:lang w:val="ru-RU"/>
        </w:rPr>
        <w:t xml:space="preserve"> Telecom</w:t>
      </w:r>
      <w:r w:rsidR="004C1A09" w:rsidRPr="009851E0">
        <w:rPr>
          <w:lang w:val="ru-RU"/>
        </w:rPr>
        <w:t>-</w:t>
      </w:r>
      <w:r w:rsidRPr="009851E0">
        <w:rPr>
          <w:lang w:val="ru-RU"/>
        </w:rPr>
        <w:t xml:space="preserve">2017 </w:t>
      </w:r>
      <w:r w:rsidR="004C1A09" w:rsidRPr="009851E0">
        <w:rPr>
          <w:lang w:val="ru-RU"/>
        </w:rPr>
        <w:t xml:space="preserve">и Руководящие указания по этическим аспектам </w:t>
      </w:r>
      <w:r w:rsidR="004C1A09" w:rsidRPr="009851E0">
        <w:rPr>
          <w:color w:val="000000"/>
          <w:lang w:val="ru-RU"/>
        </w:rPr>
        <w:t>определенных предвыборных мероприятий, проводимых перед Полномочной конференцией 2018 года</w:t>
      </w:r>
      <w:r w:rsidRPr="009851E0">
        <w:rPr>
          <w:lang w:val="ru-RU"/>
        </w:rPr>
        <w:t xml:space="preserve">. </w:t>
      </w:r>
      <w:r w:rsidR="004C1A09" w:rsidRPr="009851E0">
        <w:rPr>
          <w:lang w:val="ru-RU"/>
        </w:rPr>
        <w:t xml:space="preserve">С другой стороны, </w:t>
      </w:r>
      <w:r w:rsidR="0065095D" w:rsidRPr="009851E0">
        <w:rPr>
          <w:lang w:val="ru-RU"/>
        </w:rPr>
        <w:t xml:space="preserve">Кодекс этики и </w:t>
      </w:r>
      <w:r w:rsidR="0065095D" w:rsidRPr="009851E0">
        <w:rPr>
          <w:color w:val="000000"/>
          <w:lang w:val="ru-RU"/>
        </w:rPr>
        <w:t>Политика защиты от преследований не обновлялись с 2011 года</w:t>
      </w:r>
      <w:r w:rsidRPr="009851E0">
        <w:rPr>
          <w:lang w:val="ru-RU"/>
        </w:rPr>
        <w:t xml:space="preserve">. </w:t>
      </w:r>
      <w:r w:rsidR="0065095D" w:rsidRPr="009851E0">
        <w:rPr>
          <w:lang w:val="ru-RU"/>
        </w:rPr>
        <w:t>Была введена церемония принятия присяги для сотрудников</w:t>
      </w:r>
      <w:r w:rsidRPr="009851E0">
        <w:rPr>
          <w:lang w:val="ru-RU"/>
        </w:rPr>
        <w:t>.</w:t>
      </w:r>
    </w:p>
    <w:p w:rsidR="00A86B08" w:rsidRPr="009851E0" w:rsidRDefault="00A86B08" w:rsidP="0065095D">
      <w:pPr>
        <w:spacing w:after="120"/>
        <w:rPr>
          <w:lang w:val="ru-RU"/>
        </w:rPr>
      </w:pPr>
      <w:r w:rsidRPr="009851E0">
        <w:rPr>
          <w:lang w:val="ru-RU"/>
        </w:rPr>
        <w:t>1</w:t>
      </w:r>
      <w:r w:rsidR="00674748" w:rsidRPr="009851E0">
        <w:rPr>
          <w:lang w:val="ru-RU"/>
        </w:rPr>
        <w:t>1</w:t>
      </w:r>
      <w:r w:rsidRPr="009851E0">
        <w:rPr>
          <w:lang w:val="ru-RU"/>
        </w:rPr>
        <w:t>0</w:t>
      </w:r>
      <w:r w:rsidRPr="009851E0">
        <w:rPr>
          <w:lang w:val="ru-RU"/>
        </w:rPr>
        <w:tab/>
        <w:t>С учетом того, что должность оставалась вакантной столь долго (см. также Рекомендацию IMAC 4/2014, в которой указывалось, что "</w:t>
      </w:r>
      <w:r w:rsidRPr="009851E0">
        <w:rPr>
          <w:i/>
          <w:iCs/>
          <w:color w:val="000000"/>
          <w:lang w:val="ru-RU"/>
        </w:rPr>
        <w:t>IMAC рекомендует МСЭ назначить в срочном порядке сотрудника по вопросам этики</w:t>
      </w:r>
      <w:r w:rsidRPr="009851E0">
        <w:rPr>
          <w:color w:val="000000"/>
          <w:lang w:val="ru-RU"/>
        </w:rPr>
        <w:t>")</w:t>
      </w:r>
      <w:r w:rsidR="0065095D" w:rsidRPr="009851E0">
        <w:rPr>
          <w:color w:val="000000"/>
          <w:lang w:val="ru-RU"/>
        </w:rPr>
        <w:t xml:space="preserve"> и что недолгий срок работы сотрудника по вопросам этики не дал возможности полностью проанализировать касающиеся этики положения правовой системы</w:t>
      </w:r>
      <w:r w:rsidRPr="009851E0">
        <w:rPr>
          <w:color w:val="000000"/>
          <w:lang w:val="ru-RU"/>
        </w:rPr>
        <w:t>,</w:t>
      </w:r>
      <w:r w:rsidRPr="009851E0">
        <w:rPr>
          <w:lang w:val="ru-RU"/>
        </w:rPr>
        <w:t xml:space="preserve"> необходимо </w:t>
      </w:r>
      <w:r w:rsidR="0065095D" w:rsidRPr="009851E0">
        <w:rPr>
          <w:lang w:val="ru-RU"/>
        </w:rPr>
        <w:t>принять меры для рассмотрения возможных обновлений и улучшений</w:t>
      </w:r>
      <w:r w:rsidR="00674748" w:rsidRPr="009851E0">
        <w:rPr>
          <w:color w:val="000000"/>
          <w:lang w:val="ru-RU"/>
        </w:rPr>
        <w:t xml:space="preserve"> (см. нашу рекомендацию № 12/2016)</w:t>
      </w:r>
      <w:r w:rsidRPr="009851E0">
        <w:rPr>
          <w:lang w:val="ru-RU"/>
        </w:rPr>
        <w:t>.</w:t>
      </w:r>
      <w:r w:rsidR="00674748" w:rsidRPr="009851E0">
        <w:rPr>
          <w:lang w:val="ru-RU"/>
        </w:rPr>
        <w:t xml:space="preserve"> </w:t>
      </w:r>
    </w:p>
    <w:tbl>
      <w:tblPr>
        <w:tblStyle w:val="TableGrid2"/>
        <w:tblW w:w="0" w:type="auto"/>
        <w:tblInd w:w="-5" w:type="dxa"/>
        <w:tblLook w:val="04A0" w:firstRow="1" w:lastRow="0" w:firstColumn="1" w:lastColumn="0" w:noHBand="0" w:noVBand="1"/>
      </w:tblPr>
      <w:tblGrid>
        <w:gridCol w:w="9634"/>
      </w:tblGrid>
      <w:tr w:rsidR="00851DAE" w:rsidRPr="00E65E97" w:rsidTr="00623125">
        <w:tc>
          <w:tcPr>
            <w:tcW w:w="9634" w:type="dxa"/>
          </w:tcPr>
          <w:p w:rsidR="00851DAE" w:rsidRPr="009851E0" w:rsidRDefault="00851DAE" w:rsidP="00623125">
            <w:pPr>
              <w:keepNext/>
              <w:rPr>
                <w:b/>
                <w:bCs/>
                <w:i/>
                <w:iCs/>
                <w:lang w:val="ru-RU"/>
              </w:rPr>
            </w:pPr>
            <w:r w:rsidRPr="009851E0">
              <w:rPr>
                <w:b/>
                <w:bCs/>
                <w:i/>
                <w:iCs/>
                <w:lang w:val="ru-RU"/>
              </w:rPr>
              <w:t>Предложение 1</w:t>
            </w:r>
          </w:p>
          <w:p w:rsidR="00851DAE" w:rsidRPr="009851E0" w:rsidRDefault="00851DAE" w:rsidP="008A2DD9">
            <w:pPr>
              <w:spacing w:after="120"/>
              <w:rPr>
                <w:lang w:val="ru-RU"/>
              </w:rPr>
            </w:pPr>
            <w:r w:rsidRPr="009851E0">
              <w:rPr>
                <w:lang w:val="ru-RU"/>
              </w:rPr>
              <w:t>111</w:t>
            </w:r>
            <w:r w:rsidRPr="009851E0">
              <w:rPr>
                <w:lang w:val="ru-RU"/>
              </w:rPr>
              <w:tab/>
            </w:r>
            <w:r w:rsidR="0065095D" w:rsidRPr="009851E0">
              <w:rPr>
                <w:u w:val="single"/>
                <w:lang w:val="ru-RU"/>
              </w:rPr>
              <w:t>Мы предлагаем</w:t>
            </w:r>
            <w:r w:rsidR="0065095D" w:rsidRPr="009851E0">
              <w:rPr>
                <w:lang w:val="ru-RU"/>
              </w:rPr>
              <w:t xml:space="preserve"> Секретариату МСЭ безотлагательно начать процедуру отбора кандидатур на должность сотрудника </w:t>
            </w:r>
            <w:r w:rsidR="008A2DD9" w:rsidRPr="009851E0">
              <w:rPr>
                <w:lang w:val="ru-RU"/>
              </w:rPr>
              <w:t>по вопросам этики и на временной и промежуточной основе назначить сотрудника категории</w:t>
            </w:r>
            <w:r w:rsidRPr="009851E0">
              <w:rPr>
                <w:lang w:val="ru-RU"/>
              </w:rPr>
              <w:t xml:space="preserve"> P</w:t>
            </w:r>
            <w:r w:rsidR="008A2DD9" w:rsidRPr="009851E0">
              <w:rPr>
                <w:lang w:val="ru-RU"/>
              </w:rPr>
              <w:t>, обладающего необходимой квалификацией, до завершения процедуры отбора</w:t>
            </w:r>
            <w:r w:rsidRPr="009851E0">
              <w:rPr>
                <w:lang w:val="ru-RU"/>
              </w:rPr>
              <w:t>.</w:t>
            </w:r>
          </w:p>
        </w:tc>
      </w:tr>
    </w:tbl>
    <w:p w:rsidR="00851DAE" w:rsidRPr="009851E0" w:rsidRDefault="00851DAE" w:rsidP="00851DAE">
      <w:pPr>
        <w:rPr>
          <w:lang w:val="ru-RU"/>
        </w:rPr>
      </w:pPr>
    </w:p>
    <w:tbl>
      <w:tblPr>
        <w:tblStyle w:val="TableGrid2"/>
        <w:tblW w:w="0" w:type="auto"/>
        <w:tblInd w:w="-5" w:type="dxa"/>
        <w:tblLook w:val="04A0" w:firstRow="1" w:lastRow="0" w:firstColumn="1" w:lastColumn="0" w:noHBand="0" w:noVBand="1"/>
      </w:tblPr>
      <w:tblGrid>
        <w:gridCol w:w="9634"/>
      </w:tblGrid>
      <w:tr w:rsidR="00851DAE" w:rsidRPr="00E65E97" w:rsidTr="00623125">
        <w:trPr>
          <w:cantSplit/>
        </w:trPr>
        <w:tc>
          <w:tcPr>
            <w:tcW w:w="9634" w:type="dxa"/>
          </w:tcPr>
          <w:p w:rsidR="00851DAE" w:rsidRPr="009851E0" w:rsidRDefault="00851DAE" w:rsidP="00623125">
            <w:pPr>
              <w:rPr>
                <w:b/>
                <w:bCs/>
                <w:i/>
                <w:iCs/>
                <w:u w:val="single"/>
                <w:lang w:val="ru-RU"/>
              </w:rPr>
            </w:pPr>
            <w:r w:rsidRPr="009851E0">
              <w:rPr>
                <w:b/>
                <w:bCs/>
                <w:i/>
                <w:iCs/>
                <w:u w:val="single"/>
                <w:lang w:val="ru-RU"/>
              </w:rPr>
              <w:t>Комментарии Генерального секретаря</w:t>
            </w:r>
          </w:p>
          <w:p w:rsidR="00851DAE" w:rsidRPr="009851E0" w:rsidRDefault="008A2DD9" w:rsidP="006F7B77">
            <w:pPr>
              <w:spacing w:after="120"/>
              <w:rPr>
                <w:lang w:val="ru-RU"/>
              </w:rPr>
            </w:pPr>
            <w:r w:rsidRPr="009851E0">
              <w:rPr>
                <w:lang w:val="ru-RU"/>
              </w:rPr>
              <w:t>Завершена совместно с ВМО работа над объявлением</w:t>
            </w:r>
            <w:r w:rsidR="00851DAE" w:rsidRPr="009851E0">
              <w:rPr>
                <w:lang w:val="ru-RU"/>
              </w:rPr>
              <w:t xml:space="preserve">. </w:t>
            </w:r>
            <w:r w:rsidRPr="009851E0">
              <w:rPr>
                <w:lang w:val="ru-RU"/>
              </w:rPr>
              <w:t>Определены возможные кандидаты на промежуточный период, и проводится их оценка</w:t>
            </w:r>
            <w:r w:rsidR="00851DAE" w:rsidRPr="009851E0">
              <w:rPr>
                <w:lang w:val="ru-RU"/>
              </w:rPr>
              <w:t>.</w:t>
            </w:r>
          </w:p>
        </w:tc>
      </w:tr>
    </w:tbl>
    <w:p w:rsidR="00A86B08" w:rsidRPr="009851E0" w:rsidRDefault="00623125" w:rsidP="00623125">
      <w:pPr>
        <w:pStyle w:val="Heading1"/>
        <w:tabs>
          <w:tab w:val="clear" w:pos="1588"/>
          <w:tab w:val="clear" w:pos="1985"/>
          <w:tab w:val="left" w:pos="2919"/>
        </w:tabs>
        <w:rPr>
          <w:lang w:val="ru-RU"/>
        </w:rPr>
      </w:pPr>
      <w:bookmarkStart w:id="293" w:name="_Toc482995209"/>
      <w:bookmarkStart w:id="294" w:name="_Toc522633598"/>
      <w:r w:rsidRPr="009851E0">
        <w:rPr>
          <w:lang w:val="ru-RU"/>
        </w:rPr>
        <w:t>Продажи п</w:t>
      </w:r>
      <w:r w:rsidR="00A86B08" w:rsidRPr="009851E0">
        <w:rPr>
          <w:lang w:val="ru-RU"/>
        </w:rPr>
        <w:t>убликаци</w:t>
      </w:r>
      <w:bookmarkEnd w:id="293"/>
      <w:r w:rsidRPr="009851E0">
        <w:rPr>
          <w:lang w:val="ru-RU"/>
        </w:rPr>
        <w:t>й</w:t>
      </w:r>
      <w:bookmarkEnd w:id="294"/>
    </w:p>
    <w:p w:rsidR="00A86B08" w:rsidRPr="009851E0" w:rsidRDefault="00CF074E" w:rsidP="006F7B77">
      <w:pPr>
        <w:rPr>
          <w:lang w:val="ru-RU"/>
        </w:rPr>
      </w:pPr>
      <w:r w:rsidRPr="009851E0">
        <w:rPr>
          <w:lang w:val="ru-RU"/>
        </w:rPr>
        <w:t>112</w:t>
      </w:r>
      <w:r w:rsidRPr="009851E0">
        <w:rPr>
          <w:lang w:val="ru-RU"/>
        </w:rPr>
        <w:tab/>
        <w:t>В 2017 году д</w:t>
      </w:r>
      <w:r w:rsidR="00A86B08" w:rsidRPr="009851E0">
        <w:rPr>
          <w:lang w:val="ru-RU"/>
        </w:rPr>
        <w:t>оход от продаж публикаций составил 19</w:t>
      </w:r>
      <w:r w:rsidRPr="009851E0">
        <w:rPr>
          <w:lang w:val="ru-RU"/>
        </w:rPr>
        <w:t>,6</w:t>
      </w:r>
      <w:r w:rsidR="00A86B08" w:rsidRPr="009851E0">
        <w:rPr>
          <w:lang w:val="ru-RU"/>
        </w:rPr>
        <w:t xml:space="preserve"> м</w:t>
      </w:r>
      <w:r w:rsidR="004F71F4" w:rsidRPr="009851E0">
        <w:rPr>
          <w:lang w:val="ru-RU"/>
        </w:rPr>
        <w:t>лн.</w:t>
      </w:r>
      <w:r w:rsidR="00A86B08" w:rsidRPr="009851E0">
        <w:rPr>
          <w:lang w:val="ru-RU"/>
        </w:rPr>
        <w:t xml:space="preserve"> швейцарских франков, </w:t>
      </w:r>
      <w:r w:rsidR="00A86B08" w:rsidRPr="009851E0">
        <w:rPr>
          <w:color w:val="000000"/>
          <w:lang w:val="ru-RU"/>
        </w:rPr>
        <w:t>увелич</w:t>
      </w:r>
      <w:r w:rsidR="00D31A49" w:rsidRPr="009851E0">
        <w:rPr>
          <w:color w:val="000000"/>
          <w:lang w:val="ru-RU"/>
        </w:rPr>
        <w:t>ившись</w:t>
      </w:r>
      <w:r w:rsidR="00A86B08" w:rsidRPr="009851E0">
        <w:rPr>
          <w:color w:val="000000"/>
          <w:lang w:val="ru-RU"/>
        </w:rPr>
        <w:t xml:space="preserve"> по сравнению с прошлым годом</w:t>
      </w:r>
      <w:r w:rsidR="00A86B08" w:rsidRPr="009851E0">
        <w:rPr>
          <w:lang w:val="ru-RU"/>
        </w:rPr>
        <w:t xml:space="preserve"> (1</w:t>
      </w:r>
      <w:r w:rsidRPr="009851E0">
        <w:rPr>
          <w:lang w:val="ru-RU"/>
        </w:rPr>
        <w:t>9</w:t>
      </w:r>
      <w:r w:rsidR="000B4F05" w:rsidRPr="009851E0">
        <w:rPr>
          <w:lang w:val="ru-RU"/>
        </w:rPr>
        <w:t>,</w:t>
      </w:r>
      <w:r w:rsidRPr="009851E0">
        <w:rPr>
          <w:lang w:val="ru-RU"/>
        </w:rPr>
        <w:t>0</w:t>
      </w:r>
      <w:r w:rsidR="00A86B08" w:rsidRPr="009851E0">
        <w:rPr>
          <w:lang w:val="ru-RU"/>
        </w:rPr>
        <w:t xml:space="preserve"> </w:t>
      </w:r>
      <w:r w:rsidR="004F71F4" w:rsidRPr="009851E0">
        <w:rPr>
          <w:lang w:val="ru-RU"/>
        </w:rPr>
        <w:t>млн.</w:t>
      </w:r>
      <w:r w:rsidR="00A86B08" w:rsidRPr="009851E0">
        <w:rPr>
          <w:lang w:val="ru-RU"/>
        </w:rPr>
        <w:t xml:space="preserve"> швейцарских франков), и превысил заложенн</w:t>
      </w:r>
      <w:r w:rsidRPr="009851E0">
        <w:rPr>
          <w:lang w:val="ru-RU"/>
        </w:rPr>
        <w:t xml:space="preserve">ую </w:t>
      </w:r>
      <w:r w:rsidR="00A86B08" w:rsidRPr="009851E0">
        <w:rPr>
          <w:lang w:val="ru-RU"/>
        </w:rPr>
        <w:t xml:space="preserve">в бюджете </w:t>
      </w:r>
      <w:r w:rsidR="008A1FDC" w:rsidRPr="009851E0">
        <w:rPr>
          <w:lang w:val="ru-RU"/>
        </w:rPr>
        <w:t xml:space="preserve">на 2017 год </w:t>
      </w:r>
      <w:r w:rsidR="00A86B08" w:rsidRPr="009851E0">
        <w:rPr>
          <w:lang w:val="ru-RU"/>
        </w:rPr>
        <w:t>сумм</w:t>
      </w:r>
      <w:r w:rsidRPr="009851E0">
        <w:rPr>
          <w:lang w:val="ru-RU"/>
        </w:rPr>
        <w:t>у</w:t>
      </w:r>
      <w:r w:rsidR="00A86B08" w:rsidRPr="009851E0">
        <w:rPr>
          <w:lang w:val="ru-RU"/>
        </w:rPr>
        <w:t xml:space="preserve"> </w:t>
      </w:r>
      <w:r w:rsidRPr="009851E0">
        <w:rPr>
          <w:lang w:val="ru-RU"/>
        </w:rPr>
        <w:t xml:space="preserve">в размере </w:t>
      </w:r>
      <w:r w:rsidR="00A86B08" w:rsidRPr="009851E0">
        <w:rPr>
          <w:lang w:val="ru-RU"/>
        </w:rPr>
        <w:t>18</w:t>
      </w:r>
      <w:r w:rsidR="000B4F05" w:rsidRPr="009851E0">
        <w:rPr>
          <w:lang w:val="ru-RU"/>
        </w:rPr>
        <w:t>,</w:t>
      </w:r>
      <w:r w:rsidR="00A86B08" w:rsidRPr="009851E0">
        <w:rPr>
          <w:lang w:val="ru-RU"/>
        </w:rPr>
        <w:t>5 м</w:t>
      </w:r>
      <w:r w:rsidR="004F71F4" w:rsidRPr="009851E0">
        <w:rPr>
          <w:lang w:val="ru-RU"/>
        </w:rPr>
        <w:t>лн.</w:t>
      </w:r>
      <w:r w:rsidR="00A86B08" w:rsidRPr="009851E0">
        <w:rPr>
          <w:lang w:val="ru-RU"/>
        </w:rPr>
        <w:t xml:space="preserve"> швейцарских франков </w:t>
      </w:r>
      <w:r w:rsidR="006F7B77" w:rsidRPr="009851E0">
        <w:rPr>
          <w:lang w:val="ru-RU"/>
        </w:rPr>
        <w:t xml:space="preserve">более чем </w:t>
      </w:r>
      <w:r w:rsidR="00A86B08" w:rsidRPr="009851E0">
        <w:rPr>
          <w:lang w:val="ru-RU"/>
        </w:rPr>
        <w:t xml:space="preserve">на </w:t>
      </w:r>
      <w:r w:rsidRPr="009851E0">
        <w:rPr>
          <w:lang w:val="ru-RU"/>
        </w:rPr>
        <w:t>1</w:t>
      </w:r>
      <w:r w:rsidR="000B4F05" w:rsidRPr="009851E0">
        <w:rPr>
          <w:lang w:val="ru-RU"/>
        </w:rPr>
        <w:t> </w:t>
      </w:r>
      <w:r w:rsidR="00A86B08" w:rsidRPr="009851E0">
        <w:rPr>
          <w:lang w:val="ru-RU"/>
        </w:rPr>
        <w:t>м</w:t>
      </w:r>
      <w:r w:rsidR="004F71F4" w:rsidRPr="009851E0">
        <w:rPr>
          <w:lang w:val="ru-RU"/>
        </w:rPr>
        <w:t>лн.</w:t>
      </w:r>
      <w:r w:rsidR="00A86B08" w:rsidRPr="009851E0">
        <w:rPr>
          <w:lang w:val="ru-RU"/>
        </w:rPr>
        <w:t xml:space="preserve"> швейцарских франков. </w:t>
      </w:r>
      <w:r w:rsidR="008A2DD9" w:rsidRPr="009851E0">
        <w:rPr>
          <w:lang w:val="ru-RU"/>
        </w:rPr>
        <w:t>Бóльшая часть этого дохода получена от продаж связанных с морск</w:t>
      </w:r>
      <w:r w:rsidR="006F7B77" w:rsidRPr="009851E0">
        <w:rPr>
          <w:lang w:val="ru-RU"/>
        </w:rPr>
        <w:t>ой</w:t>
      </w:r>
      <w:r w:rsidR="008A2DD9" w:rsidRPr="009851E0">
        <w:rPr>
          <w:lang w:val="ru-RU"/>
        </w:rPr>
        <w:t xml:space="preserve"> служб</w:t>
      </w:r>
      <w:r w:rsidR="006F7B77" w:rsidRPr="009851E0">
        <w:rPr>
          <w:lang w:val="ru-RU"/>
        </w:rPr>
        <w:t>ой</w:t>
      </w:r>
      <w:r w:rsidR="008A2DD9" w:rsidRPr="009851E0">
        <w:rPr>
          <w:lang w:val="ru-RU"/>
        </w:rPr>
        <w:t xml:space="preserve"> публикаций</w:t>
      </w:r>
      <w:r w:rsidR="00623125" w:rsidRPr="009851E0">
        <w:rPr>
          <w:lang w:val="ru-RU"/>
        </w:rPr>
        <w:t xml:space="preserve"> (</w:t>
      </w:r>
      <w:r w:rsidR="008A2DD9" w:rsidRPr="009851E0">
        <w:rPr>
          <w:lang w:val="ru-RU"/>
        </w:rPr>
        <w:t>включая судовые станции и береговые станции</w:t>
      </w:r>
      <w:r w:rsidR="00623125" w:rsidRPr="009851E0">
        <w:rPr>
          <w:lang w:val="ru-RU"/>
        </w:rPr>
        <w:t>)</w:t>
      </w:r>
      <w:r w:rsidR="00C0066F" w:rsidRPr="009851E0">
        <w:rPr>
          <w:color w:val="000000"/>
          <w:lang w:val="ru-RU"/>
        </w:rPr>
        <w:t>.</w:t>
      </w:r>
    </w:p>
    <w:p w:rsidR="00A86B08" w:rsidRPr="009851E0" w:rsidRDefault="00623125" w:rsidP="006F7B77">
      <w:pPr>
        <w:rPr>
          <w:lang w:val="ru-RU"/>
        </w:rPr>
      </w:pPr>
      <w:r w:rsidRPr="009851E0">
        <w:rPr>
          <w:lang w:val="ru-RU"/>
        </w:rPr>
        <w:t>113</w:t>
      </w:r>
      <w:r w:rsidRPr="009851E0">
        <w:rPr>
          <w:lang w:val="ru-RU"/>
        </w:rPr>
        <w:tab/>
        <w:t xml:space="preserve">В 2017 году </w:t>
      </w:r>
      <w:r w:rsidR="008A2DD9" w:rsidRPr="009851E0">
        <w:rPr>
          <w:lang w:val="ru-RU"/>
        </w:rPr>
        <w:t>было улучшено распространение публикаций МСЭ</w:t>
      </w:r>
      <w:r w:rsidRPr="009851E0">
        <w:rPr>
          <w:lang w:val="ru-RU"/>
        </w:rPr>
        <w:t xml:space="preserve">. </w:t>
      </w:r>
      <w:r w:rsidR="008A2DD9" w:rsidRPr="009851E0">
        <w:rPr>
          <w:lang w:val="ru-RU"/>
        </w:rPr>
        <w:t xml:space="preserve">МСЭ добавил семь новых торговых посредников </w:t>
      </w:r>
      <w:r w:rsidR="00A863AC" w:rsidRPr="009851E0">
        <w:rPr>
          <w:lang w:val="ru-RU"/>
        </w:rPr>
        <w:t>по публикациям, связанным с морск</w:t>
      </w:r>
      <w:r w:rsidR="006F7B77" w:rsidRPr="009851E0">
        <w:rPr>
          <w:lang w:val="ru-RU"/>
        </w:rPr>
        <w:t>ой</w:t>
      </w:r>
      <w:r w:rsidR="00A863AC" w:rsidRPr="009851E0">
        <w:rPr>
          <w:lang w:val="ru-RU"/>
        </w:rPr>
        <w:t xml:space="preserve"> служб</w:t>
      </w:r>
      <w:r w:rsidR="006F7B77" w:rsidRPr="009851E0">
        <w:rPr>
          <w:lang w:val="ru-RU"/>
        </w:rPr>
        <w:t>ой</w:t>
      </w:r>
      <w:r w:rsidR="00A863AC" w:rsidRPr="009851E0">
        <w:rPr>
          <w:lang w:val="ru-RU"/>
        </w:rPr>
        <w:t xml:space="preserve">, заключил соглашения с подразделениями публикаций ОЭСР и ООН, что позволило обеспечить цифровое присутствие заглавий публикаций МСЭ на </w:t>
      </w:r>
      <w:r w:rsidRPr="009851E0">
        <w:rPr>
          <w:lang w:val="ru-RU"/>
        </w:rPr>
        <w:t xml:space="preserve">Amazon, iBook </w:t>
      </w:r>
      <w:r w:rsidR="00A863AC" w:rsidRPr="009851E0">
        <w:rPr>
          <w:lang w:val="ru-RU"/>
        </w:rPr>
        <w:t>и других платформах</w:t>
      </w:r>
      <w:r w:rsidRPr="009851E0">
        <w:rPr>
          <w:lang w:val="ru-RU"/>
        </w:rPr>
        <w:t xml:space="preserve">. </w:t>
      </w:r>
      <w:r w:rsidR="00A863AC" w:rsidRPr="009851E0">
        <w:rPr>
          <w:lang w:val="ru-RU"/>
        </w:rPr>
        <w:t>Были разработаны и успешно реализованы новые меры по борьбе с контрафактной продукцией</w:t>
      </w:r>
      <w:r w:rsidRPr="009851E0">
        <w:rPr>
          <w:lang w:val="ru-RU"/>
        </w:rPr>
        <w:t>.</w:t>
      </w:r>
    </w:p>
    <w:p w:rsidR="00A86B08" w:rsidRPr="009851E0" w:rsidRDefault="00A86B08" w:rsidP="00A86B08">
      <w:pPr>
        <w:pStyle w:val="Heading1"/>
        <w:ind w:left="0" w:firstLine="0"/>
        <w:rPr>
          <w:lang w:val="ru-RU"/>
        </w:rPr>
      </w:pPr>
      <w:bookmarkStart w:id="295" w:name="_Toc418501341"/>
      <w:bookmarkStart w:id="296" w:name="_Toc358192859"/>
      <w:bookmarkStart w:id="297" w:name="_Toc398125346"/>
      <w:bookmarkStart w:id="298" w:name="_Toc398125825"/>
      <w:bookmarkStart w:id="299" w:name="_Toc418597609"/>
      <w:bookmarkStart w:id="300" w:name="_Toc452157335"/>
      <w:bookmarkStart w:id="301" w:name="_Toc482995211"/>
      <w:bookmarkStart w:id="302" w:name="_Toc522633599"/>
      <w:r w:rsidRPr="009851E0">
        <w:rPr>
          <w:lang w:val="ru-RU"/>
        </w:rPr>
        <w:t>ОТЧЕТ ОБ ИЗМЕНЕНИЯХ В ЧИСТЫХ АКТИВАХ ЗА ФИНАНСОВЫЙ ПЕРИО</w:t>
      </w:r>
      <w:r w:rsidR="00D05732" w:rsidRPr="009851E0">
        <w:rPr>
          <w:lang w:val="ru-RU"/>
        </w:rPr>
        <w:t>Д, ЗАВЕРШИВШИЙСЯ 31 ДЕКАБРЯ 2017</w:t>
      </w:r>
      <w:r w:rsidRPr="009851E0">
        <w:rPr>
          <w:lang w:val="ru-RU"/>
        </w:rPr>
        <w:t> ГОДА</w:t>
      </w:r>
      <w:bookmarkEnd w:id="295"/>
      <w:bookmarkEnd w:id="296"/>
      <w:bookmarkEnd w:id="297"/>
      <w:bookmarkEnd w:id="298"/>
      <w:bookmarkEnd w:id="299"/>
      <w:bookmarkEnd w:id="300"/>
      <w:bookmarkEnd w:id="301"/>
      <w:bookmarkEnd w:id="302"/>
    </w:p>
    <w:p w:rsidR="00A86B08" w:rsidRPr="009851E0" w:rsidRDefault="00A86B08" w:rsidP="00D05732">
      <w:pPr>
        <w:rPr>
          <w:lang w:val="ru-RU"/>
        </w:rPr>
      </w:pPr>
      <w:r w:rsidRPr="009851E0">
        <w:rPr>
          <w:lang w:val="ru-RU"/>
        </w:rPr>
        <w:t>11</w:t>
      </w:r>
      <w:r w:rsidR="00D05732" w:rsidRPr="009851E0">
        <w:rPr>
          <w:lang w:val="ru-RU"/>
        </w:rPr>
        <w:t>4</w:t>
      </w:r>
      <w:r w:rsidRPr="009851E0">
        <w:rPr>
          <w:lang w:val="ru-RU"/>
        </w:rPr>
        <w:tab/>
        <w:t xml:space="preserve">В Таблице III "Отчет об изменениях в чистых активах" представлено не только движение накопленных собственных целевых и нецелевых средств и воздействие перехода к IPSAS, но и движение каждого вида собственных средств, как это отмечается в Примечании 4. </w:t>
      </w:r>
    </w:p>
    <w:p w:rsidR="00A86B08" w:rsidRPr="009851E0" w:rsidRDefault="00A86B08" w:rsidP="00A86B08">
      <w:pPr>
        <w:pStyle w:val="Heading1"/>
        <w:ind w:left="0" w:firstLine="0"/>
        <w:rPr>
          <w:lang w:val="ru-RU"/>
        </w:rPr>
      </w:pPr>
      <w:bookmarkStart w:id="303" w:name="_Toc358192861"/>
      <w:bookmarkStart w:id="304" w:name="_Toc398125348"/>
      <w:bookmarkStart w:id="305" w:name="_Toc398125827"/>
      <w:bookmarkStart w:id="306" w:name="_Toc452157336"/>
      <w:bookmarkStart w:id="307" w:name="_Toc482995212"/>
      <w:bookmarkStart w:id="308" w:name="_Toc522633600"/>
      <w:r w:rsidRPr="009851E0">
        <w:rPr>
          <w:lang w:val="ru-RU"/>
        </w:rPr>
        <w:t>ТАБЛИЦА ДВИЖЕНИЯ ДЕНЕЖНЫХ СРЕДСТВ ЗА ФИНАНСОВЫЙ ПЕРИОД, ЗАВЕРШИВШИЙСЯ 31 ДЕКАБРЯ</w:t>
      </w:r>
      <w:bookmarkEnd w:id="303"/>
      <w:r w:rsidR="00D05732" w:rsidRPr="009851E0">
        <w:rPr>
          <w:lang w:val="ru-RU"/>
        </w:rPr>
        <w:t xml:space="preserve"> 2017</w:t>
      </w:r>
      <w:r w:rsidRPr="009851E0">
        <w:rPr>
          <w:lang w:val="ru-RU"/>
        </w:rPr>
        <w:t> ГОДА</w:t>
      </w:r>
      <w:bookmarkEnd w:id="304"/>
      <w:bookmarkEnd w:id="305"/>
      <w:bookmarkEnd w:id="306"/>
      <w:bookmarkEnd w:id="307"/>
      <w:bookmarkEnd w:id="308"/>
    </w:p>
    <w:p w:rsidR="00A86B08" w:rsidRPr="009851E0" w:rsidRDefault="00D05732" w:rsidP="00A86B08">
      <w:pPr>
        <w:rPr>
          <w:lang w:val="ru-RU"/>
        </w:rPr>
      </w:pPr>
      <w:r w:rsidRPr="009851E0">
        <w:rPr>
          <w:lang w:val="ru-RU"/>
        </w:rPr>
        <w:t>115</w:t>
      </w:r>
      <w:r w:rsidR="00A86B08" w:rsidRPr="009851E0">
        <w:rPr>
          <w:lang w:val="ru-RU"/>
        </w:rPr>
        <w:tab/>
        <w:t>В таблице движения денежных средств определены источники притока средств; статьи, на которые потрачены денежные средства за отчетный период; и остаток денежных средств на дату составления отчета.</w:t>
      </w:r>
    </w:p>
    <w:p w:rsidR="00A86B08" w:rsidRPr="009851E0" w:rsidRDefault="00D05732" w:rsidP="00D05732">
      <w:pPr>
        <w:rPr>
          <w:lang w:val="ru-RU"/>
        </w:rPr>
      </w:pPr>
      <w:r w:rsidRPr="009851E0">
        <w:rPr>
          <w:lang w:val="ru-RU"/>
        </w:rPr>
        <w:t>116</w:t>
      </w:r>
      <w:r w:rsidR="00A86B08" w:rsidRPr="009851E0">
        <w:rPr>
          <w:lang w:val="ru-RU"/>
        </w:rPr>
        <w:tab/>
        <w:t>В 201</w:t>
      </w:r>
      <w:r w:rsidRPr="009851E0">
        <w:rPr>
          <w:lang w:val="ru-RU"/>
        </w:rPr>
        <w:t>7</w:t>
      </w:r>
      <w:r w:rsidR="00A86B08" w:rsidRPr="009851E0">
        <w:rPr>
          <w:lang w:val="ru-RU"/>
        </w:rPr>
        <w:t> году МСЭ сообщил о движении денежных средств в результате опер</w:t>
      </w:r>
      <w:r w:rsidRPr="009851E0">
        <w:rPr>
          <w:lang w:val="ru-RU"/>
        </w:rPr>
        <w:t>ативной деятельности в размере −15</w:t>
      </w:r>
      <w:r w:rsidR="00A86B08" w:rsidRPr="009851E0">
        <w:rPr>
          <w:lang w:val="ru-RU"/>
        </w:rPr>
        <w:t>,</w:t>
      </w:r>
      <w:r w:rsidRPr="009851E0">
        <w:rPr>
          <w:lang w:val="ru-RU"/>
        </w:rPr>
        <w:t>4</w:t>
      </w:r>
      <w:r w:rsidR="00A86B08" w:rsidRPr="009851E0">
        <w:rPr>
          <w:lang w:val="ru-RU"/>
        </w:rPr>
        <w:t xml:space="preserve"> млн. швейцарских франков, что является </w:t>
      </w:r>
      <w:r w:rsidRPr="009851E0">
        <w:rPr>
          <w:lang w:val="ru-RU"/>
        </w:rPr>
        <w:t>отрицательным</w:t>
      </w:r>
      <w:r w:rsidR="00A86B08" w:rsidRPr="009851E0">
        <w:rPr>
          <w:lang w:val="ru-RU"/>
        </w:rPr>
        <w:t xml:space="preserve"> показателем</w:t>
      </w:r>
      <w:r w:rsidRPr="009851E0">
        <w:rPr>
          <w:lang w:val="ru-RU"/>
        </w:rPr>
        <w:t xml:space="preserve"> и</w:t>
      </w:r>
      <w:r w:rsidR="00A86B08" w:rsidRPr="009851E0">
        <w:rPr>
          <w:lang w:val="ru-RU"/>
        </w:rPr>
        <w:t xml:space="preserve"> меньшим по сравнению со знач</w:t>
      </w:r>
      <w:r w:rsidRPr="009851E0">
        <w:rPr>
          <w:lang w:val="ru-RU"/>
        </w:rPr>
        <w:t>ением, зарегистрированным в 2016</w:t>
      </w:r>
      <w:r w:rsidR="00A86B08" w:rsidRPr="009851E0">
        <w:rPr>
          <w:lang w:val="ru-RU"/>
        </w:rPr>
        <w:t> году, к</w:t>
      </w:r>
      <w:r w:rsidRPr="009851E0">
        <w:rPr>
          <w:lang w:val="ru-RU"/>
        </w:rPr>
        <w:t>огда этот показатель составил +0</w:t>
      </w:r>
      <w:r w:rsidR="00A86B08" w:rsidRPr="009851E0">
        <w:rPr>
          <w:lang w:val="ru-RU"/>
        </w:rPr>
        <w:t>,7 млн. швейцарских франков. Отрицательное значение движения денежных средств зарегистрировано также в результате финансовой деятельности (</w:t>
      </w:r>
      <w:r w:rsidRPr="009851E0">
        <w:rPr>
          <w:lang w:val="ru-RU"/>
        </w:rPr>
        <w:t>–0</w:t>
      </w:r>
      <w:r w:rsidR="00A86B08" w:rsidRPr="009851E0">
        <w:rPr>
          <w:lang w:val="ru-RU"/>
        </w:rPr>
        <w:t>,</w:t>
      </w:r>
      <w:r w:rsidRPr="009851E0">
        <w:rPr>
          <w:lang w:val="ru-RU"/>
        </w:rPr>
        <w:t>8</w:t>
      </w:r>
      <w:r w:rsidR="00A86B08" w:rsidRPr="009851E0">
        <w:rPr>
          <w:lang w:val="ru-RU"/>
        </w:rPr>
        <w:t> млн. швейцарских франков), что обусловлено выплатой ссуды ФИПОИ. По чистому движению денежных средств в результат</w:t>
      </w:r>
      <w:r w:rsidR="00943ED6" w:rsidRPr="009851E0">
        <w:rPr>
          <w:lang w:val="ru-RU"/>
        </w:rPr>
        <w:t>е инвестиционной деятельности (</w:t>
      </w:r>
      <w:r w:rsidRPr="009851E0">
        <w:rPr>
          <w:lang w:val="ru-RU"/>
        </w:rPr>
        <w:t>31</w:t>
      </w:r>
      <w:r w:rsidR="00A86B08" w:rsidRPr="009851E0">
        <w:rPr>
          <w:lang w:val="ru-RU"/>
        </w:rPr>
        <w:t>,</w:t>
      </w:r>
      <w:r w:rsidRPr="009851E0">
        <w:rPr>
          <w:lang w:val="ru-RU"/>
        </w:rPr>
        <w:t>8</w:t>
      </w:r>
      <w:r w:rsidR="00A86B08" w:rsidRPr="009851E0">
        <w:rPr>
          <w:lang w:val="ru-RU"/>
        </w:rPr>
        <w:t xml:space="preserve"> млн. швейцарских франков) отмечается </w:t>
      </w:r>
      <w:r w:rsidRPr="009851E0">
        <w:rPr>
          <w:lang w:val="ru-RU"/>
        </w:rPr>
        <w:t>отрицательное изменение по сравнению с 2016</w:t>
      </w:r>
      <w:r w:rsidR="00A86B08" w:rsidRPr="009851E0">
        <w:rPr>
          <w:lang w:val="ru-RU"/>
        </w:rPr>
        <w:t> годом, к</w:t>
      </w:r>
      <w:r w:rsidRPr="009851E0">
        <w:rPr>
          <w:lang w:val="ru-RU"/>
        </w:rPr>
        <w:t>огда этот показатель составил 45</w:t>
      </w:r>
      <w:r w:rsidR="00A86B08" w:rsidRPr="009851E0">
        <w:rPr>
          <w:lang w:val="ru-RU"/>
        </w:rPr>
        <w:t>,</w:t>
      </w:r>
      <w:r w:rsidRPr="009851E0">
        <w:rPr>
          <w:lang w:val="ru-RU"/>
        </w:rPr>
        <w:t>6</w:t>
      </w:r>
      <w:r w:rsidR="00A86B08" w:rsidRPr="009851E0">
        <w:rPr>
          <w:lang w:val="ru-RU"/>
        </w:rPr>
        <w:t> млн. швейцарских франков, которое объясняется в основном уменьшением объема вложенных средств.</w:t>
      </w:r>
    </w:p>
    <w:p w:rsidR="00A86B08" w:rsidRPr="009851E0" w:rsidRDefault="00D05732" w:rsidP="00A863AC">
      <w:pPr>
        <w:rPr>
          <w:lang w:val="ru-RU"/>
        </w:rPr>
      </w:pPr>
      <w:r w:rsidRPr="009851E0">
        <w:rPr>
          <w:lang w:val="ru-RU"/>
        </w:rPr>
        <w:t>117</w:t>
      </w:r>
      <w:r w:rsidR="00A86B08" w:rsidRPr="009851E0">
        <w:rPr>
          <w:lang w:val="ru-RU"/>
        </w:rPr>
        <w:tab/>
        <w:t xml:space="preserve">Чистый результат по денежным средствам и эквивалентам денежных средств показал увеличение на </w:t>
      </w:r>
      <w:r w:rsidRPr="009851E0">
        <w:rPr>
          <w:lang w:val="ru-RU"/>
        </w:rPr>
        <w:t>26</w:t>
      </w:r>
      <w:r w:rsidR="00A86B08" w:rsidRPr="009851E0">
        <w:rPr>
          <w:lang w:val="ru-RU"/>
        </w:rPr>
        <w:t>,9 млн. швейцарских франков в 201</w:t>
      </w:r>
      <w:r w:rsidRPr="009851E0">
        <w:rPr>
          <w:lang w:val="ru-RU"/>
        </w:rPr>
        <w:t>7</w:t>
      </w:r>
      <w:r w:rsidR="00A86B08" w:rsidRPr="009851E0">
        <w:rPr>
          <w:lang w:val="ru-RU"/>
        </w:rPr>
        <w:t> году</w:t>
      </w:r>
      <w:r w:rsidRPr="009851E0">
        <w:rPr>
          <w:lang w:val="ru-RU"/>
        </w:rPr>
        <w:t xml:space="preserve"> (</w:t>
      </w:r>
      <w:r w:rsidR="00A863AC" w:rsidRPr="009851E0">
        <w:rPr>
          <w:lang w:val="ru-RU"/>
        </w:rPr>
        <w:t>с</w:t>
      </w:r>
      <w:r w:rsidRPr="009851E0">
        <w:rPr>
          <w:lang w:val="ru-RU"/>
        </w:rPr>
        <w:t xml:space="preserve"> 108,4 млн. швейцарских франков </w:t>
      </w:r>
      <w:r w:rsidR="00A863AC" w:rsidRPr="009851E0">
        <w:rPr>
          <w:lang w:val="ru-RU"/>
        </w:rPr>
        <w:t xml:space="preserve">на начало года до </w:t>
      </w:r>
      <w:r w:rsidRPr="009851E0">
        <w:rPr>
          <w:lang w:val="ru-RU"/>
        </w:rPr>
        <w:t xml:space="preserve">135,3 млн. швейцарских франков </w:t>
      </w:r>
      <w:r w:rsidR="00A863AC" w:rsidRPr="009851E0">
        <w:rPr>
          <w:lang w:val="ru-RU"/>
        </w:rPr>
        <w:t>на конец года</w:t>
      </w:r>
      <w:r w:rsidRPr="009851E0">
        <w:rPr>
          <w:lang w:val="ru-RU"/>
        </w:rPr>
        <w:t>)</w:t>
      </w:r>
      <w:r w:rsidR="00A86B08" w:rsidRPr="009851E0">
        <w:rPr>
          <w:lang w:val="ru-RU"/>
        </w:rPr>
        <w:t>. Мы проверили служившие основой записи путем выборки по некоторым счетам. Как показал результат, все выбранные транзакции были надлежащим образом обоснованы подтверждающими документами. Отчет о движении денежных средств, таким образом, проверен и подтвержден.</w:t>
      </w:r>
    </w:p>
    <w:p w:rsidR="00A86B08" w:rsidRPr="009851E0" w:rsidRDefault="00A86B08" w:rsidP="00A86B08">
      <w:pPr>
        <w:pStyle w:val="Heading1"/>
        <w:ind w:left="0" w:firstLine="0"/>
        <w:rPr>
          <w:lang w:val="ru-RU"/>
        </w:rPr>
      </w:pPr>
      <w:bookmarkStart w:id="309" w:name="_Toc358192860"/>
      <w:bookmarkStart w:id="310" w:name="_Toc398125347"/>
      <w:bookmarkStart w:id="311" w:name="_Toc398125826"/>
      <w:bookmarkStart w:id="312" w:name="_Toc452157337"/>
      <w:bookmarkStart w:id="313" w:name="_Toc482995213"/>
      <w:bookmarkStart w:id="314" w:name="_Toc522633601"/>
      <w:r w:rsidRPr="009851E0">
        <w:rPr>
          <w:lang w:val="ru-RU"/>
        </w:rPr>
        <w:t>СРАВНЕНИЕ ПРЕДУСМОТРЕННЫХ В БЮДЖЕТЕ</w:t>
      </w:r>
      <w:r w:rsidR="00D05732" w:rsidRPr="009851E0">
        <w:rPr>
          <w:lang w:val="ru-RU"/>
        </w:rPr>
        <w:t xml:space="preserve"> СУММ И ФАКТИЧЕСКИХ СУММ ЗА 2017</w:t>
      </w:r>
      <w:r w:rsidRPr="009851E0">
        <w:rPr>
          <w:lang w:val="ru-RU"/>
        </w:rPr>
        <w:t> ФИНАНСОВЫЙ ГОД</w:t>
      </w:r>
      <w:bookmarkEnd w:id="309"/>
      <w:bookmarkEnd w:id="310"/>
      <w:bookmarkEnd w:id="311"/>
      <w:bookmarkEnd w:id="312"/>
      <w:bookmarkEnd w:id="313"/>
      <w:bookmarkEnd w:id="314"/>
    </w:p>
    <w:p w:rsidR="00A86B08" w:rsidRPr="009851E0" w:rsidRDefault="00D05732" w:rsidP="007B257F">
      <w:pPr>
        <w:rPr>
          <w:lang w:val="ru-RU"/>
        </w:rPr>
      </w:pPr>
      <w:r w:rsidRPr="009851E0">
        <w:rPr>
          <w:lang w:val="ru-RU"/>
        </w:rPr>
        <w:t>118</w:t>
      </w:r>
      <w:r w:rsidR="00A86B08" w:rsidRPr="009851E0">
        <w:rPr>
          <w:lang w:val="ru-RU"/>
        </w:rPr>
        <w:tab/>
        <w:t>Таблица V "Сравнительная таблица предусмотренных в бюджете</w:t>
      </w:r>
      <w:r w:rsidRPr="009851E0">
        <w:rPr>
          <w:lang w:val="ru-RU"/>
        </w:rPr>
        <w:t xml:space="preserve"> сумм и фактических сумм за 2017</w:t>
      </w:r>
      <w:r w:rsidR="00A86B08" w:rsidRPr="009851E0">
        <w:rPr>
          <w:lang w:val="ru-RU"/>
        </w:rPr>
        <w:t> финансовый год" составлена в соответстви</w:t>
      </w:r>
      <w:r w:rsidR="00A863AC" w:rsidRPr="009851E0">
        <w:rPr>
          <w:lang w:val="ru-RU"/>
        </w:rPr>
        <w:t>и со</w:t>
      </w:r>
      <w:r w:rsidR="00A86B08" w:rsidRPr="009851E0">
        <w:rPr>
          <w:lang w:val="ru-RU"/>
        </w:rPr>
        <w:t xml:space="preserve"> стандарт</w:t>
      </w:r>
      <w:r w:rsidR="00A863AC" w:rsidRPr="009851E0">
        <w:rPr>
          <w:lang w:val="ru-RU"/>
        </w:rPr>
        <w:t>ом</w:t>
      </w:r>
      <w:r w:rsidR="00A86B08" w:rsidRPr="009851E0">
        <w:rPr>
          <w:lang w:val="ru-RU"/>
        </w:rPr>
        <w:t xml:space="preserve"> IPSAS 24, который требует включения в финансовую отчетность сравнения сумм, полученных в результате исполнения этого бюджета. Данным стандартом также </w:t>
      </w:r>
      <w:r w:rsidR="007B257F" w:rsidRPr="009851E0">
        <w:rPr>
          <w:lang w:val="ru-RU"/>
        </w:rPr>
        <w:t>предусматрива</w:t>
      </w:r>
      <w:r w:rsidR="00A86B08" w:rsidRPr="009851E0">
        <w:rPr>
          <w:lang w:val="ru-RU"/>
        </w:rPr>
        <w:t>ется раскрытие причин существенных расхождений, возникающих между бюджетом и фактическими суммами.</w:t>
      </w:r>
    </w:p>
    <w:p w:rsidR="00A86B08" w:rsidRPr="009851E0" w:rsidRDefault="00D05732" w:rsidP="00A86B08">
      <w:pPr>
        <w:rPr>
          <w:lang w:val="ru-RU"/>
        </w:rPr>
      </w:pPr>
      <w:r w:rsidRPr="009851E0">
        <w:rPr>
          <w:lang w:val="ru-RU"/>
        </w:rPr>
        <w:t>119</w:t>
      </w:r>
      <w:r w:rsidR="00A86B08" w:rsidRPr="009851E0">
        <w:rPr>
          <w:lang w:val="ru-RU"/>
        </w:rPr>
        <w:tab/>
        <w:t>В Таблицу V включена также бухгалтерская выверка расхождений между бюджетными результатами (фактическими суммами) и суммами, учтенными в бухгалтерской отчетности. Более подробная информация представлена в Примечании 25 к Отчету о финансовой деятельности, и мы также ссылаемся на комментарии Генерального секретаря, отраженные в Отчете о финансовой деятельности.</w:t>
      </w:r>
    </w:p>
    <w:p w:rsidR="00A86B08" w:rsidRPr="009851E0" w:rsidRDefault="00A86B08" w:rsidP="00A86B08">
      <w:pPr>
        <w:pStyle w:val="Heading1"/>
        <w:rPr>
          <w:lang w:val="ru-RU"/>
        </w:rPr>
      </w:pPr>
      <w:bookmarkStart w:id="315" w:name="_Toc358192862"/>
      <w:bookmarkStart w:id="316" w:name="_Toc398125349"/>
      <w:bookmarkStart w:id="317" w:name="_Toc398125828"/>
      <w:bookmarkStart w:id="318" w:name="_Toc452157338"/>
      <w:bookmarkStart w:id="319" w:name="_Toc482995214"/>
      <w:bookmarkStart w:id="320" w:name="_Toc522633602"/>
      <w:r w:rsidRPr="009851E0">
        <w:rPr>
          <w:lang w:val="ru-RU"/>
        </w:rPr>
        <w:t>СТРАХОВАЯ КАССА ПЕРСОНАЛА</w:t>
      </w:r>
      <w:bookmarkEnd w:id="315"/>
      <w:bookmarkEnd w:id="316"/>
      <w:bookmarkEnd w:id="317"/>
      <w:bookmarkEnd w:id="318"/>
      <w:bookmarkEnd w:id="319"/>
      <w:bookmarkEnd w:id="320"/>
    </w:p>
    <w:p w:rsidR="00A86B08" w:rsidRPr="009851E0" w:rsidRDefault="00D05732" w:rsidP="007B257F">
      <w:pPr>
        <w:rPr>
          <w:lang w:val="ru-RU"/>
        </w:rPr>
      </w:pPr>
      <w:bookmarkStart w:id="321" w:name="_Ref418164202"/>
      <w:r w:rsidRPr="009851E0">
        <w:rPr>
          <w:lang w:val="ru-RU"/>
        </w:rPr>
        <w:t>120</w:t>
      </w:r>
      <w:r w:rsidR="00A86B08" w:rsidRPr="009851E0">
        <w:rPr>
          <w:lang w:val="ru-RU"/>
        </w:rPr>
        <w:tab/>
        <w:t>В Приложение </w:t>
      </w:r>
      <w:r w:rsidRPr="009851E0">
        <w:rPr>
          <w:lang w:val="ru-RU"/>
        </w:rPr>
        <w:t>А3</w:t>
      </w:r>
      <w:r w:rsidR="00A86B08" w:rsidRPr="009851E0">
        <w:rPr>
          <w:lang w:val="ru-RU"/>
        </w:rPr>
        <w:t xml:space="preserve"> к Отчету о финансовой деятельности включены </w:t>
      </w:r>
      <w:r w:rsidRPr="009851E0">
        <w:rPr>
          <w:lang w:val="ru-RU"/>
        </w:rPr>
        <w:t>два</w:t>
      </w:r>
      <w:r w:rsidR="00A86B08" w:rsidRPr="009851E0">
        <w:rPr>
          <w:lang w:val="ru-RU"/>
        </w:rPr>
        <w:t xml:space="preserve"> фонда: </w:t>
      </w:r>
      <w:r w:rsidR="00A86B08" w:rsidRPr="009851E0">
        <w:rPr>
          <w:i/>
          <w:iCs/>
          <w:lang w:val="ru-RU"/>
        </w:rPr>
        <w:t>Фонд резервных и дополнительных средств</w:t>
      </w:r>
      <w:r w:rsidR="00A86B08" w:rsidRPr="009851E0">
        <w:rPr>
          <w:lang w:val="ru-RU"/>
        </w:rPr>
        <w:t xml:space="preserve"> (общие активы которого составляют 6,3 млн. швейцарских франков без существенных изменений по сравнению с 201</w:t>
      </w:r>
      <w:r w:rsidRPr="009851E0">
        <w:rPr>
          <w:lang w:val="ru-RU"/>
        </w:rPr>
        <w:t>6</w:t>
      </w:r>
      <w:r w:rsidR="00A86B08" w:rsidRPr="009851E0">
        <w:rPr>
          <w:lang w:val="ru-RU"/>
        </w:rPr>
        <w:t xml:space="preserve"> г</w:t>
      </w:r>
      <w:r w:rsidRPr="009851E0">
        <w:rPr>
          <w:lang w:val="ru-RU"/>
        </w:rPr>
        <w:t>.)</w:t>
      </w:r>
      <w:r w:rsidR="00A86B08" w:rsidRPr="009851E0">
        <w:rPr>
          <w:lang w:val="ru-RU"/>
        </w:rPr>
        <w:t xml:space="preserve"> и </w:t>
      </w:r>
      <w:r w:rsidR="00A86B08" w:rsidRPr="009851E0">
        <w:rPr>
          <w:i/>
          <w:iCs/>
          <w:lang w:val="ru-RU"/>
        </w:rPr>
        <w:t>Фонд помощи</w:t>
      </w:r>
      <w:r w:rsidR="00A86B08" w:rsidRPr="009851E0">
        <w:rPr>
          <w:lang w:val="ru-RU"/>
        </w:rPr>
        <w:t xml:space="preserve"> (</w:t>
      </w:r>
      <w:r w:rsidR="002E44D6" w:rsidRPr="009851E0">
        <w:rPr>
          <w:lang w:val="ru-RU"/>
        </w:rPr>
        <w:t xml:space="preserve">общие </w:t>
      </w:r>
      <w:r w:rsidR="00A86B08" w:rsidRPr="009851E0">
        <w:rPr>
          <w:lang w:val="ru-RU"/>
        </w:rPr>
        <w:t>акти</w:t>
      </w:r>
      <w:r w:rsidR="002E44D6" w:rsidRPr="009851E0">
        <w:rPr>
          <w:lang w:val="ru-RU"/>
        </w:rPr>
        <w:t>вы которого</w:t>
      </w:r>
      <w:r w:rsidR="00A86B08" w:rsidRPr="009851E0">
        <w:rPr>
          <w:lang w:val="ru-RU"/>
        </w:rPr>
        <w:t xml:space="preserve"> </w:t>
      </w:r>
      <w:r w:rsidR="00E12F53" w:rsidRPr="009851E0">
        <w:rPr>
          <w:lang w:val="ru-RU"/>
        </w:rPr>
        <w:t xml:space="preserve">в 2017 г. </w:t>
      </w:r>
      <w:r w:rsidR="00A86B08" w:rsidRPr="009851E0">
        <w:rPr>
          <w:lang w:val="ru-RU"/>
        </w:rPr>
        <w:t>составля</w:t>
      </w:r>
      <w:r w:rsidR="002E44D6" w:rsidRPr="009851E0">
        <w:rPr>
          <w:lang w:val="ru-RU"/>
        </w:rPr>
        <w:t>ю</w:t>
      </w:r>
      <w:r w:rsidR="00A86B08" w:rsidRPr="009851E0">
        <w:rPr>
          <w:lang w:val="ru-RU"/>
        </w:rPr>
        <w:t>т около 0,3 млн. швейцарских франков,</w:t>
      </w:r>
      <w:r w:rsidR="00E12F53" w:rsidRPr="009851E0">
        <w:rPr>
          <w:lang w:val="ru-RU"/>
        </w:rPr>
        <w:t xml:space="preserve"> </w:t>
      </w:r>
      <w:r w:rsidR="007B257F" w:rsidRPr="009851E0">
        <w:rPr>
          <w:lang w:val="ru-RU"/>
        </w:rPr>
        <w:t>как и в</w:t>
      </w:r>
      <w:r w:rsidR="00E12F53" w:rsidRPr="009851E0">
        <w:rPr>
          <w:lang w:val="ru-RU"/>
        </w:rPr>
        <w:t xml:space="preserve"> 2016 г.</w:t>
      </w:r>
      <w:r w:rsidR="00A86B08" w:rsidRPr="009851E0">
        <w:rPr>
          <w:lang w:val="ru-RU"/>
        </w:rPr>
        <w:t>).</w:t>
      </w:r>
    </w:p>
    <w:p w:rsidR="00A86B08" w:rsidRPr="009851E0" w:rsidRDefault="00A86B08" w:rsidP="00E12F53">
      <w:pPr>
        <w:rPr>
          <w:lang w:val="ru-RU"/>
        </w:rPr>
      </w:pPr>
      <w:r w:rsidRPr="009851E0">
        <w:rPr>
          <w:lang w:val="ru-RU"/>
        </w:rPr>
        <w:t>12</w:t>
      </w:r>
      <w:r w:rsidR="00E12F53" w:rsidRPr="009851E0">
        <w:rPr>
          <w:lang w:val="ru-RU"/>
        </w:rPr>
        <w:t>1</w:t>
      </w:r>
      <w:r w:rsidRPr="009851E0">
        <w:rPr>
          <w:lang w:val="ru-RU"/>
        </w:rPr>
        <w:tab/>
      </w:r>
      <w:bookmarkEnd w:id="321"/>
      <w:r w:rsidRPr="009851E0">
        <w:rPr>
          <w:lang w:val="ru-RU"/>
        </w:rPr>
        <w:t xml:space="preserve">В отношении обязательств по </w:t>
      </w:r>
      <w:r w:rsidRPr="009851E0">
        <w:rPr>
          <w:i/>
          <w:iCs/>
          <w:lang w:val="ru-RU"/>
        </w:rPr>
        <w:t>Фонду резервных и дополнительных средств</w:t>
      </w:r>
      <w:r w:rsidRPr="009851E0">
        <w:rPr>
          <w:lang w:val="ru-RU"/>
        </w:rPr>
        <w:t xml:space="preserve"> показан актуарный резервный фонд объемом 54 тыс. швейцарских франков по статье "Вознаграждение сотрудников" в соответствии с актуарной оценкой, проведенной в 2010 году. </w:t>
      </w:r>
    </w:p>
    <w:p w:rsidR="00A86B08" w:rsidRPr="009851E0" w:rsidRDefault="00E12F53" w:rsidP="00E12F53">
      <w:pPr>
        <w:rPr>
          <w:lang w:val="ru-RU"/>
        </w:rPr>
      </w:pPr>
      <w:r w:rsidRPr="009851E0">
        <w:rPr>
          <w:lang w:val="ru-RU"/>
        </w:rPr>
        <w:t>122</w:t>
      </w:r>
      <w:r w:rsidR="00A86B08" w:rsidRPr="009851E0">
        <w:rPr>
          <w:lang w:val="ru-RU"/>
        </w:rPr>
        <w:tab/>
        <w:t xml:space="preserve">Как указано в </w:t>
      </w:r>
      <w:r w:rsidR="00F872C0" w:rsidRPr="009851E0">
        <w:rPr>
          <w:lang w:val="ru-RU"/>
        </w:rPr>
        <w:t xml:space="preserve">Примечании </w:t>
      </w:r>
      <w:r w:rsidR="00A86B08" w:rsidRPr="009851E0">
        <w:rPr>
          <w:lang w:val="ru-RU"/>
        </w:rPr>
        <w:t xml:space="preserve">2 </w:t>
      </w:r>
      <w:r w:rsidR="00F872C0" w:rsidRPr="009851E0">
        <w:rPr>
          <w:lang w:val="ru-RU"/>
        </w:rPr>
        <w:t xml:space="preserve">к </w:t>
      </w:r>
      <w:r w:rsidR="00A86B08" w:rsidRPr="009851E0">
        <w:rPr>
          <w:color w:val="000000"/>
          <w:lang w:val="ru-RU"/>
        </w:rPr>
        <w:t>Отчет</w:t>
      </w:r>
      <w:r w:rsidR="00F872C0" w:rsidRPr="009851E0">
        <w:rPr>
          <w:color w:val="000000"/>
          <w:lang w:val="ru-RU"/>
        </w:rPr>
        <w:t>у</w:t>
      </w:r>
      <w:r w:rsidR="00A86B08" w:rsidRPr="009851E0">
        <w:rPr>
          <w:color w:val="000000"/>
          <w:lang w:val="ru-RU"/>
        </w:rPr>
        <w:t xml:space="preserve"> о финансовой деятельности</w:t>
      </w:r>
      <w:r w:rsidR="00A86B08" w:rsidRPr="009851E0">
        <w:rPr>
          <w:lang w:val="ru-RU"/>
        </w:rPr>
        <w:t>, эти фонды представляют собой "совокупность фондов, гарантирующих выплату пенсий сотрудникам, работавшим до 1 января 1960 года, т. е. до даты присоединения МСЭ к Объединенному пенсионному фонду персонала Организации Объединенных Наций</w:t>
      </w:r>
      <w:r w:rsidR="00A86B08" w:rsidRPr="009851E0">
        <w:rPr>
          <w:color w:val="000000"/>
          <w:lang w:val="ru-RU"/>
        </w:rPr>
        <w:t xml:space="preserve">. </w:t>
      </w:r>
      <w:r w:rsidR="00A86B08" w:rsidRPr="009851E0">
        <w:rPr>
          <w:lang w:val="ru-RU"/>
        </w:rPr>
        <w:t>В 201</w:t>
      </w:r>
      <w:r w:rsidRPr="009851E0">
        <w:rPr>
          <w:lang w:val="ru-RU"/>
        </w:rPr>
        <w:t>7</w:t>
      </w:r>
      <w:r w:rsidR="00A86B08" w:rsidRPr="009851E0">
        <w:rPr>
          <w:lang w:val="ru-RU"/>
        </w:rPr>
        <w:t> году из Фонда резервных и дополнительны</w:t>
      </w:r>
      <w:r w:rsidRPr="009851E0">
        <w:rPr>
          <w:lang w:val="ru-RU"/>
        </w:rPr>
        <w:t>х средств произведены выплаты 24</w:t>
      </w:r>
      <w:r w:rsidR="00A86B08" w:rsidRPr="009851E0">
        <w:rPr>
          <w:lang w:val="ru-RU"/>
        </w:rPr>
        <w:t> пенсий по старости и 2</w:t>
      </w:r>
      <w:r w:rsidRPr="009851E0">
        <w:rPr>
          <w:lang w:val="ru-RU"/>
        </w:rPr>
        <w:t>2</w:t>
      </w:r>
      <w:r w:rsidR="00A86B08" w:rsidRPr="009851E0">
        <w:rPr>
          <w:lang w:val="ru-RU"/>
        </w:rPr>
        <w:t xml:space="preserve"> пенсий по случаю потери кормильца; Фонд помощи служил для оказания помощи персоналу и пенсионерам, которые находились в сложном финансовом положении". </w:t>
      </w:r>
    </w:p>
    <w:p w:rsidR="00A86B08" w:rsidRPr="009851E0" w:rsidRDefault="00A86B08" w:rsidP="00A86B08">
      <w:pPr>
        <w:pStyle w:val="Heading1"/>
        <w:ind w:left="0" w:firstLine="0"/>
        <w:rPr>
          <w:lang w:val="ru-RU"/>
        </w:rPr>
      </w:pPr>
      <w:bookmarkStart w:id="322" w:name="_Toc356330915"/>
      <w:bookmarkStart w:id="323" w:name="_Toc358192864"/>
      <w:bookmarkStart w:id="324" w:name="_Toc398125350"/>
      <w:bookmarkStart w:id="325" w:name="_Toc398125829"/>
      <w:bookmarkStart w:id="326" w:name="_Toc452157339"/>
      <w:bookmarkStart w:id="327" w:name="_Toc482995215"/>
      <w:bookmarkStart w:id="328" w:name="_Toc522633603"/>
      <w:r w:rsidRPr="009851E0">
        <w:rPr>
          <w:lang w:val="ru-RU"/>
        </w:rPr>
        <w:t>ПРОГРАММА РАЗВИТИЯ ОРГАНИЗАЦИИ ОБЪЕДИНЕННЫХ НАЦИЙ (ПРООН), ФОНД РАЗВИТИЯ ИНФОРМАЦИОННО-КОММУНИКАЦИОННЫХ ТЕХНОЛОГИЙ (ФРИКТ) И</w:t>
      </w:r>
      <w:bookmarkEnd w:id="322"/>
      <w:r w:rsidRPr="009851E0">
        <w:rPr>
          <w:lang w:val="ru-RU"/>
        </w:rPr>
        <w:t> ЦЕЛЕВЫЕ ФОНДЫ</w:t>
      </w:r>
      <w:bookmarkEnd w:id="323"/>
      <w:bookmarkEnd w:id="324"/>
      <w:bookmarkEnd w:id="325"/>
      <w:bookmarkEnd w:id="326"/>
      <w:bookmarkEnd w:id="327"/>
      <w:bookmarkEnd w:id="328"/>
    </w:p>
    <w:p w:rsidR="00DA5E6B" w:rsidRPr="009851E0" w:rsidRDefault="00DA5E6B" w:rsidP="007B257F">
      <w:pPr>
        <w:rPr>
          <w:lang w:val="ru-RU"/>
        </w:rPr>
      </w:pPr>
      <w:r w:rsidRPr="009851E0">
        <w:rPr>
          <w:lang w:val="ru-RU"/>
        </w:rPr>
        <w:t>123</w:t>
      </w:r>
      <w:r w:rsidRPr="009851E0">
        <w:rPr>
          <w:lang w:val="ru-RU"/>
        </w:rPr>
        <w:tab/>
      </w:r>
      <w:r w:rsidR="007B257F" w:rsidRPr="009851E0">
        <w:rPr>
          <w:lang w:val="ru-RU"/>
        </w:rPr>
        <w:t>В</w:t>
      </w:r>
      <w:r w:rsidRPr="009851E0">
        <w:rPr>
          <w:lang w:val="ru-RU"/>
        </w:rPr>
        <w:t xml:space="preserve"> Примечании 20 </w:t>
      </w:r>
      <w:r w:rsidR="007B257F" w:rsidRPr="009851E0">
        <w:rPr>
          <w:lang w:val="ru-RU"/>
        </w:rPr>
        <w:t xml:space="preserve">к </w:t>
      </w:r>
      <w:r w:rsidR="007B257F" w:rsidRPr="009851E0">
        <w:rPr>
          <w:color w:val="000000"/>
          <w:lang w:val="ru-RU"/>
        </w:rPr>
        <w:t>Отчету о финансовой деятельности</w:t>
      </w:r>
      <w:r w:rsidR="007B257F" w:rsidRPr="009851E0">
        <w:rPr>
          <w:lang w:val="ru-RU"/>
        </w:rPr>
        <w:t xml:space="preserve"> приводится разбивка этих двух категорий нетекущих обязательств</w:t>
      </w:r>
      <w:r w:rsidRPr="009851E0">
        <w:rPr>
          <w:lang w:val="ru-RU"/>
        </w:rPr>
        <w:t>: "</w:t>
      </w:r>
      <w:r w:rsidR="007B257F" w:rsidRPr="009851E0">
        <w:rPr>
          <w:color w:val="000000"/>
          <w:lang w:val="ru-RU"/>
        </w:rPr>
        <w:t>Целевые средства третьих сторон</w:t>
      </w:r>
      <w:r w:rsidRPr="009851E0">
        <w:rPr>
          <w:lang w:val="ru-RU"/>
        </w:rPr>
        <w:t xml:space="preserve">" </w:t>
      </w:r>
      <w:r w:rsidR="007B257F" w:rsidRPr="009851E0">
        <w:rPr>
          <w:lang w:val="ru-RU"/>
        </w:rPr>
        <w:t>и</w:t>
      </w:r>
      <w:r w:rsidRPr="009851E0">
        <w:rPr>
          <w:lang w:val="ru-RU"/>
        </w:rPr>
        <w:t xml:space="preserve"> "</w:t>
      </w:r>
      <w:r w:rsidR="007B257F" w:rsidRPr="009851E0">
        <w:rPr>
          <w:color w:val="000000"/>
          <w:lang w:val="ru-RU"/>
        </w:rPr>
        <w:t>Средства третьих сторон в процессе распределения на конкретные цели</w:t>
      </w:r>
      <w:r w:rsidRPr="009851E0">
        <w:rPr>
          <w:lang w:val="ru-RU"/>
        </w:rPr>
        <w:t xml:space="preserve">". </w:t>
      </w:r>
      <w:r w:rsidR="007B257F" w:rsidRPr="009851E0">
        <w:rPr>
          <w:lang w:val="ru-RU"/>
        </w:rPr>
        <w:t>В таблице показаны также собственные средства МСЭ, распределенные на внебюджетные проекты</w:t>
      </w:r>
      <w:r w:rsidRPr="009851E0">
        <w:rPr>
          <w:lang w:val="ru-RU"/>
        </w:rPr>
        <w:t>.</w:t>
      </w:r>
    </w:p>
    <w:p w:rsidR="00A86B08" w:rsidRPr="009851E0" w:rsidRDefault="00A86B08" w:rsidP="00DA5E6B">
      <w:pPr>
        <w:rPr>
          <w:lang w:val="ru-RU"/>
        </w:rPr>
      </w:pPr>
      <w:r w:rsidRPr="009851E0">
        <w:rPr>
          <w:lang w:val="ru-RU"/>
        </w:rPr>
        <w:t>12</w:t>
      </w:r>
      <w:r w:rsidR="00DA5E6B" w:rsidRPr="009851E0">
        <w:rPr>
          <w:lang w:val="ru-RU"/>
        </w:rPr>
        <w:t>4</w:t>
      </w:r>
      <w:r w:rsidRPr="009851E0">
        <w:rPr>
          <w:lang w:val="ru-RU"/>
        </w:rPr>
        <w:tab/>
        <w:t>В Правиле 5 Приложения 2 к Финансовому регламенту предусмотрено, что "</w:t>
      </w:r>
      <w:r w:rsidRPr="009851E0">
        <w:rPr>
          <w:i/>
          <w:iCs/>
          <w:lang w:val="ru-RU"/>
        </w:rPr>
        <w:t>для каждого добровольного взноса или целевого фонда в рамках специального счета Союза открывается отдельный счет</w:t>
      </w:r>
      <w:r w:rsidRPr="009851E0">
        <w:rPr>
          <w:lang w:val="ru-RU"/>
        </w:rPr>
        <w:t>".</w:t>
      </w:r>
    </w:p>
    <w:p w:rsidR="00A86B08" w:rsidRPr="009851E0" w:rsidRDefault="00A86B08" w:rsidP="007B257F">
      <w:pPr>
        <w:rPr>
          <w:lang w:val="ru-RU"/>
        </w:rPr>
      </w:pPr>
      <w:r w:rsidRPr="009851E0">
        <w:rPr>
          <w:lang w:val="ru-RU"/>
        </w:rPr>
        <w:t>12</w:t>
      </w:r>
      <w:r w:rsidR="00DA5E6B" w:rsidRPr="009851E0">
        <w:rPr>
          <w:lang w:val="ru-RU"/>
        </w:rPr>
        <w:t>5</w:t>
      </w:r>
      <w:r w:rsidRPr="009851E0">
        <w:rPr>
          <w:lang w:val="ru-RU"/>
        </w:rPr>
        <w:tab/>
        <w:t>В Приложении </w:t>
      </w:r>
      <w:r w:rsidR="00DA5E6B" w:rsidRPr="009851E0">
        <w:rPr>
          <w:lang w:val="ru-RU"/>
        </w:rPr>
        <w:t>А4</w:t>
      </w:r>
      <w:r w:rsidRPr="009851E0">
        <w:rPr>
          <w:lang w:val="ru-RU"/>
        </w:rPr>
        <w:t xml:space="preserve"> к Отчету о финансовой деятельности указан </w:t>
      </w:r>
      <w:r w:rsidR="00DA5E6B" w:rsidRPr="009851E0">
        <w:rPr>
          <w:lang w:val="ru-RU"/>
        </w:rPr>
        <w:t>один</w:t>
      </w:r>
      <w:r w:rsidRPr="009851E0">
        <w:rPr>
          <w:lang w:val="ru-RU"/>
        </w:rPr>
        <w:t xml:space="preserve"> проект, относящи</w:t>
      </w:r>
      <w:r w:rsidR="007B257F" w:rsidRPr="009851E0">
        <w:rPr>
          <w:lang w:val="ru-RU"/>
        </w:rPr>
        <w:t>й</w:t>
      </w:r>
      <w:r w:rsidRPr="009851E0">
        <w:rPr>
          <w:lang w:val="ru-RU"/>
        </w:rPr>
        <w:t>ся к деятельности ПРООН. В Приложении </w:t>
      </w:r>
      <w:r w:rsidR="00DA5E6B" w:rsidRPr="009851E0">
        <w:rPr>
          <w:lang w:val="ru-RU"/>
        </w:rPr>
        <w:t>А5</w:t>
      </w:r>
      <w:r w:rsidRPr="009851E0">
        <w:rPr>
          <w:lang w:val="ru-RU"/>
        </w:rPr>
        <w:t xml:space="preserve"> к Отчету о финансовой деятельности показаны проекты, финансируемые по линии целевых фондов. Они</w:t>
      </w:r>
      <w:r w:rsidR="00DA5E6B" w:rsidRPr="009851E0">
        <w:rPr>
          <w:lang w:val="ru-RU"/>
        </w:rPr>
        <w:t xml:space="preserve"> финансируются</w:t>
      </w:r>
      <w:r w:rsidRPr="009851E0">
        <w:rPr>
          <w:lang w:val="ru-RU"/>
        </w:rPr>
        <w:t xml:space="preserve"> </w:t>
      </w:r>
      <w:r w:rsidR="007B257F" w:rsidRPr="009851E0">
        <w:rPr>
          <w:lang w:val="ru-RU"/>
        </w:rPr>
        <w:t xml:space="preserve">из </w:t>
      </w:r>
      <w:r w:rsidR="007B257F" w:rsidRPr="009851E0">
        <w:rPr>
          <w:color w:val="000000"/>
          <w:lang w:val="ru-RU"/>
        </w:rPr>
        <w:t>Специального фонда технического сотрудничества (СФТС)</w:t>
      </w:r>
      <w:r w:rsidR="00DA5E6B" w:rsidRPr="009851E0">
        <w:rPr>
          <w:lang w:val="ru-RU"/>
        </w:rPr>
        <w:t xml:space="preserve"> – </w:t>
      </w:r>
      <w:r w:rsidR="007B257F" w:rsidRPr="009851E0">
        <w:rPr>
          <w:lang w:val="ru-RU"/>
        </w:rPr>
        <w:t xml:space="preserve">предназначенного для удовлетворения потребностей развивающихся стран, запрашивающих экстренную помощь, и основывающегося на добровольных взносах </w:t>
      </w:r>
      <w:r w:rsidR="00DA5E6B" w:rsidRPr="009851E0">
        <w:rPr>
          <w:lang w:val="ru-RU"/>
        </w:rPr>
        <w:t xml:space="preserve">– и </w:t>
      </w:r>
      <w:r w:rsidRPr="009851E0">
        <w:rPr>
          <w:lang w:val="ru-RU"/>
        </w:rPr>
        <w:t xml:space="preserve">частично финансируются путем снятия средств из ФРИКТ, разрешенного решением Руководящего комитета ФРИКТ. Другие проекты финансируются за счет </w:t>
      </w:r>
      <w:r w:rsidR="007B257F" w:rsidRPr="009851E0">
        <w:rPr>
          <w:lang w:val="ru-RU"/>
        </w:rPr>
        <w:t>конкретных добровольных</w:t>
      </w:r>
      <w:r w:rsidRPr="009851E0">
        <w:rPr>
          <w:lang w:val="ru-RU"/>
        </w:rPr>
        <w:t xml:space="preserve"> взносов (показанных в Приложении </w:t>
      </w:r>
      <w:r w:rsidR="00DA5E6B" w:rsidRPr="009851E0">
        <w:rPr>
          <w:lang w:val="ru-RU"/>
        </w:rPr>
        <w:t>А6</w:t>
      </w:r>
      <w:r w:rsidRPr="009851E0">
        <w:rPr>
          <w:lang w:val="ru-RU"/>
        </w:rPr>
        <w:t>) и регулируются соглашениями с донорами. В Приложении </w:t>
      </w:r>
      <w:r w:rsidR="00DA5E6B" w:rsidRPr="009851E0">
        <w:rPr>
          <w:lang w:val="ru-RU"/>
        </w:rPr>
        <w:t>А7</w:t>
      </w:r>
      <w:r w:rsidRPr="009851E0">
        <w:rPr>
          <w:lang w:val="ru-RU"/>
        </w:rPr>
        <w:t xml:space="preserve"> представлены проекты, относящиеся к ФРИКТ. </w:t>
      </w:r>
    </w:p>
    <w:p w:rsidR="00A86B08" w:rsidRPr="009851E0" w:rsidRDefault="00A86B08" w:rsidP="004857C2">
      <w:pPr>
        <w:rPr>
          <w:lang w:val="ru-RU"/>
        </w:rPr>
      </w:pPr>
      <w:r w:rsidRPr="009851E0">
        <w:rPr>
          <w:lang w:val="ru-RU"/>
        </w:rPr>
        <w:t>12</w:t>
      </w:r>
      <w:r w:rsidR="00DA5E6B" w:rsidRPr="009851E0">
        <w:rPr>
          <w:lang w:val="ru-RU"/>
        </w:rPr>
        <w:t>6</w:t>
      </w:r>
      <w:r w:rsidRPr="009851E0">
        <w:rPr>
          <w:lang w:val="ru-RU"/>
        </w:rPr>
        <w:tab/>
      </w:r>
      <w:r w:rsidR="004857C2" w:rsidRPr="009851E0">
        <w:rPr>
          <w:lang w:val="ru-RU"/>
        </w:rPr>
        <w:t xml:space="preserve">Как показано в вышеупомянутой таблице в </w:t>
      </w:r>
      <w:r w:rsidR="00DA5E6B" w:rsidRPr="009851E0">
        <w:rPr>
          <w:lang w:val="ru-RU"/>
        </w:rPr>
        <w:t xml:space="preserve">Примечании 20, собственные </w:t>
      </w:r>
      <w:r w:rsidRPr="009851E0">
        <w:rPr>
          <w:lang w:val="ru-RU"/>
        </w:rPr>
        <w:t xml:space="preserve">средства МСЭ, выделенные на проекты, </w:t>
      </w:r>
      <w:r w:rsidR="00DA5E6B" w:rsidRPr="009851E0">
        <w:rPr>
          <w:lang w:val="ru-RU"/>
        </w:rPr>
        <w:t>уменьшились</w:t>
      </w:r>
      <w:r w:rsidRPr="009851E0">
        <w:rPr>
          <w:lang w:val="ru-RU"/>
        </w:rPr>
        <w:t xml:space="preserve"> в 201</w:t>
      </w:r>
      <w:r w:rsidR="00DA5E6B" w:rsidRPr="009851E0">
        <w:rPr>
          <w:lang w:val="ru-RU"/>
        </w:rPr>
        <w:t>7 году до 7,0</w:t>
      </w:r>
      <w:r w:rsidRPr="009851E0">
        <w:rPr>
          <w:lang w:val="ru-RU"/>
        </w:rPr>
        <w:t> млн. швей</w:t>
      </w:r>
      <w:r w:rsidR="00DA5E6B" w:rsidRPr="009851E0">
        <w:rPr>
          <w:lang w:val="ru-RU"/>
        </w:rPr>
        <w:t>царских франков по сравнению с 7</w:t>
      </w:r>
      <w:r w:rsidRPr="009851E0">
        <w:rPr>
          <w:lang w:val="ru-RU"/>
        </w:rPr>
        <w:t>,</w:t>
      </w:r>
      <w:r w:rsidR="00DA5E6B" w:rsidRPr="009851E0">
        <w:rPr>
          <w:lang w:val="ru-RU"/>
        </w:rPr>
        <w:t>7</w:t>
      </w:r>
      <w:r w:rsidRPr="009851E0">
        <w:rPr>
          <w:lang w:val="ru-RU"/>
        </w:rPr>
        <w:t> млн. швейцарских франков в 201</w:t>
      </w:r>
      <w:r w:rsidR="00DA5E6B" w:rsidRPr="009851E0">
        <w:rPr>
          <w:lang w:val="ru-RU"/>
        </w:rPr>
        <w:t>6</w:t>
      </w:r>
      <w:r w:rsidRPr="009851E0">
        <w:rPr>
          <w:lang w:val="ru-RU"/>
        </w:rPr>
        <w:t> году. С другой стороны, средства третьих сторон, выделяемые на проекты, в 201</w:t>
      </w:r>
      <w:r w:rsidR="00DA5E6B" w:rsidRPr="009851E0">
        <w:rPr>
          <w:lang w:val="ru-RU"/>
        </w:rPr>
        <w:t>7</w:t>
      </w:r>
      <w:r w:rsidRPr="009851E0">
        <w:rPr>
          <w:lang w:val="ru-RU"/>
        </w:rPr>
        <w:t> году сократились до 23,</w:t>
      </w:r>
      <w:r w:rsidR="00DA5E6B" w:rsidRPr="009851E0">
        <w:rPr>
          <w:lang w:val="ru-RU"/>
        </w:rPr>
        <w:t>0</w:t>
      </w:r>
      <w:r w:rsidRPr="009851E0">
        <w:rPr>
          <w:lang w:val="ru-RU"/>
        </w:rPr>
        <w:t xml:space="preserve"> млн. швейцарских франков по сравнению с </w:t>
      </w:r>
      <w:r w:rsidR="00DA5E6B" w:rsidRPr="009851E0">
        <w:rPr>
          <w:lang w:val="ru-RU"/>
        </w:rPr>
        <w:t>23</w:t>
      </w:r>
      <w:r w:rsidRPr="009851E0">
        <w:rPr>
          <w:lang w:val="ru-RU"/>
        </w:rPr>
        <w:t>,</w:t>
      </w:r>
      <w:r w:rsidR="00DA5E6B" w:rsidRPr="009851E0">
        <w:rPr>
          <w:lang w:val="ru-RU"/>
        </w:rPr>
        <w:t>6 млн. швейцарских франков в 2016</w:t>
      </w:r>
      <w:r w:rsidRPr="009851E0">
        <w:rPr>
          <w:lang w:val="ru-RU"/>
        </w:rPr>
        <w:t> году.</w:t>
      </w:r>
    </w:p>
    <w:p w:rsidR="00775252" w:rsidRPr="009851E0" w:rsidRDefault="00775252" w:rsidP="004857C2">
      <w:pPr>
        <w:rPr>
          <w:lang w:val="ru-RU"/>
        </w:rPr>
      </w:pPr>
      <w:r w:rsidRPr="009851E0">
        <w:rPr>
          <w:lang w:val="ru-RU"/>
        </w:rPr>
        <w:t>127</w:t>
      </w:r>
      <w:r w:rsidRPr="009851E0">
        <w:rPr>
          <w:lang w:val="ru-RU"/>
        </w:rPr>
        <w:tab/>
      </w:r>
      <w:r w:rsidR="004857C2" w:rsidRPr="009851E0">
        <w:rPr>
          <w:lang w:val="ru-RU"/>
        </w:rPr>
        <w:t>Средства третьих сторон уменьшились лишь незначительно ввиду двух факторов</w:t>
      </w:r>
      <w:r w:rsidRPr="009851E0">
        <w:rPr>
          <w:lang w:val="ru-RU"/>
        </w:rPr>
        <w:t>: i)</w:t>
      </w:r>
      <w:r w:rsidR="004857C2" w:rsidRPr="009851E0">
        <w:rPr>
          <w:lang w:val="ru-RU"/>
        </w:rPr>
        <w:t> увеличение внешних взносов</w:t>
      </w:r>
      <w:r w:rsidRPr="009851E0">
        <w:rPr>
          <w:lang w:val="ru-RU"/>
        </w:rPr>
        <w:t xml:space="preserve"> (10,2 млн. швейцарских франков в 2017 г.</w:t>
      </w:r>
      <w:r w:rsidR="00555D67" w:rsidRPr="009851E0">
        <w:rPr>
          <w:lang w:val="ru-RU"/>
        </w:rPr>
        <w:t xml:space="preserve"> по сравнению с</w:t>
      </w:r>
      <w:r w:rsidRPr="009851E0">
        <w:rPr>
          <w:lang w:val="ru-RU"/>
        </w:rPr>
        <w:t xml:space="preserve"> 5,4 млн. швейцарских франков в 2016 г.); ii)</w:t>
      </w:r>
      <w:r w:rsidR="004857C2" w:rsidRPr="009851E0">
        <w:rPr>
          <w:lang w:val="ru-RU"/>
        </w:rPr>
        <w:t> реализация целевых проектов достигла уровня, близкого к предыдущим годам</w:t>
      </w:r>
      <w:r w:rsidRPr="009851E0">
        <w:rPr>
          <w:lang w:val="ru-RU"/>
        </w:rPr>
        <w:t xml:space="preserve"> (например, 10,8 млн. швейцарских франков в 2017 г.</w:t>
      </w:r>
      <w:r w:rsidR="00F82D1F" w:rsidRPr="009851E0">
        <w:rPr>
          <w:lang w:val="ru-RU"/>
        </w:rPr>
        <w:t>;</w:t>
      </w:r>
      <w:r w:rsidRPr="009851E0">
        <w:rPr>
          <w:lang w:val="ru-RU"/>
        </w:rPr>
        <w:t xml:space="preserve"> 10,5 млн. швейцарских франков в 2016 г.).</w:t>
      </w:r>
    </w:p>
    <w:p w:rsidR="00A86B08" w:rsidRPr="009851E0" w:rsidRDefault="00F82D1F" w:rsidP="004857C2">
      <w:pPr>
        <w:rPr>
          <w:lang w:val="ru-RU"/>
        </w:rPr>
      </w:pPr>
      <w:r w:rsidRPr="009851E0">
        <w:rPr>
          <w:lang w:val="ru-RU"/>
        </w:rPr>
        <w:t>128</w:t>
      </w:r>
      <w:r w:rsidRPr="009851E0">
        <w:rPr>
          <w:lang w:val="ru-RU"/>
        </w:rPr>
        <w:tab/>
        <w:t>Уменьшение о</w:t>
      </w:r>
      <w:r w:rsidR="00A86B08" w:rsidRPr="009851E0">
        <w:rPr>
          <w:lang w:val="ru-RU"/>
        </w:rPr>
        <w:t>бъем</w:t>
      </w:r>
      <w:r w:rsidRPr="009851E0">
        <w:rPr>
          <w:lang w:val="ru-RU"/>
        </w:rPr>
        <w:t>а</w:t>
      </w:r>
      <w:r w:rsidR="00A86B08" w:rsidRPr="009851E0">
        <w:rPr>
          <w:lang w:val="ru-RU"/>
        </w:rPr>
        <w:t xml:space="preserve"> собственных средств МСЭ, выделенных на проекты,</w:t>
      </w:r>
      <w:r w:rsidR="004857C2" w:rsidRPr="009851E0">
        <w:rPr>
          <w:lang w:val="ru-RU"/>
        </w:rPr>
        <w:t xml:space="preserve"> объяснялось в основном, как пояснило руководство, активизацией усилий по выполнению различных проектов</w:t>
      </w:r>
      <w:r w:rsidRPr="009851E0">
        <w:rPr>
          <w:lang w:val="ru-RU"/>
        </w:rPr>
        <w:t xml:space="preserve"> </w:t>
      </w:r>
      <w:r w:rsidR="00EA3DA9" w:rsidRPr="009851E0">
        <w:rPr>
          <w:lang w:val="ru-RU"/>
        </w:rPr>
        <w:t>в</w:t>
      </w:r>
      <w:r w:rsidRPr="009851E0">
        <w:rPr>
          <w:lang w:val="ru-RU"/>
        </w:rPr>
        <w:t xml:space="preserve"> 2017 году</w:t>
      </w:r>
      <w:r w:rsidR="00A86B08" w:rsidRPr="009851E0">
        <w:rPr>
          <w:lang w:val="ru-RU"/>
        </w:rPr>
        <w:t>. Ожидающие распределени</w:t>
      </w:r>
      <w:r w:rsidRPr="009851E0">
        <w:rPr>
          <w:lang w:val="ru-RU"/>
        </w:rPr>
        <w:t>я средства третьих сторон в 2017</w:t>
      </w:r>
      <w:r w:rsidR="00A86B08" w:rsidRPr="009851E0">
        <w:rPr>
          <w:lang w:val="ru-RU"/>
        </w:rPr>
        <w:t xml:space="preserve"> году </w:t>
      </w:r>
      <w:r w:rsidR="00EA3DA9" w:rsidRPr="009851E0">
        <w:rPr>
          <w:lang w:val="ru-RU"/>
        </w:rPr>
        <w:t>уменьшились</w:t>
      </w:r>
      <w:r w:rsidR="00A86B08" w:rsidRPr="009851E0">
        <w:rPr>
          <w:lang w:val="ru-RU"/>
        </w:rPr>
        <w:t xml:space="preserve"> до 3,</w:t>
      </w:r>
      <w:r w:rsidRPr="009851E0">
        <w:rPr>
          <w:lang w:val="ru-RU"/>
        </w:rPr>
        <w:t>3</w:t>
      </w:r>
      <w:r w:rsidR="00A86B08" w:rsidRPr="009851E0">
        <w:rPr>
          <w:lang w:val="ru-RU"/>
        </w:rPr>
        <w:t> млн. швейцарских франков (в 201</w:t>
      </w:r>
      <w:r w:rsidRPr="009851E0">
        <w:rPr>
          <w:lang w:val="ru-RU"/>
        </w:rPr>
        <w:t>6</w:t>
      </w:r>
      <w:r w:rsidR="00A86B08" w:rsidRPr="009851E0">
        <w:rPr>
          <w:lang w:val="ru-RU"/>
        </w:rPr>
        <w:t xml:space="preserve"> г. они составляли </w:t>
      </w:r>
      <w:r w:rsidRPr="009851E0">
        <w:rPr>
          <w:lang w:val="ru-RU"/>
        </w:rPr>
        <w:t>3</w:t>
      </w:r>
      <w:r w:rsidR="00A86B08" w:rsidRPr="009851E0">
        <w:rPr>
          <w:lang w:val="ru-RU"/>
        </w:rPr>
        <w:t>,</w:t>
      </w:r>
      <w:r w:rsidRPr="009851E0">
        <w:rPr>
          <w:lang w:val="ru-RU"/>
        </w:rPr>
        <w:t>8</w:t>
      </w:r>
      <w:r w:rsidR="00A86B08" w:rsidRPr="009851E0">
        <w:rPr>
          <w:lang w:val="ru-RU"/>
        </w:rPr>
        <w:t> млн. швейцарских франков).</w:t>
      </w:r>
    </w:p>
    <w:p w:rsidR="00A86B08" w:rsidRPr="009851E0" w:rsidRDefault="00A86B08" w:rsidP="00EA3DA9">
      <w:pPr>
        <w:pStyle w:val="Heading1"/>
        <w:rPr>
          <w:lang w:val="ru-RU"/>
        </w:rPr>
      </w:pPr>
      <w:bookmarkStart w:id="329" w:name="_Toc482176263"/>
      <w:bookmarkStart w:id="330" w:name="_Toc482995216"/>
      <w:bookmarkStart w:id="331" w:name="_Toc522633604"/>
      <w:r w:rsidRPr="009851E0">
        <w:rPr>
          <w:lang w:val="ru-RU"/>
        </w:rPr>
        <w:t>Подразделение внутреннего аудита (IAU)</w:t>
      </w:r>
      <w:bookmarkEnd w:id="329"/>
      <w:bookmarkEnd w:id="330"/>
      <w:bookmarkEnd w:id="331"/>
    </w:p>
    <w:p w:rsidR="00A86B08" w:rsidRPr="009851E0" w:rsidRDefault="00EA3DA9" w:rsidP="00A86B08">
      <w:pPr>
        <w:rPr>
          <w:lang w:val="ru-RU"/>
        </w:rPr>
      </w:pPr>
      <w:r w:rsidRPr="009851E0">
        <w:rPr>
          <w:lang w:val="ru-RU"/>
        </w:rPr>
        <w:t>129</w:t>
      </w:r>
      <w:r w:rsidR="00A86B08" w:rsidRPr="009851E0">
        <w:rPr>
          <w:lang w:val="ru-RU"/>
        </w:rPr>
        <w:tab/>
        <w:t>В этой части отчета кратко рассматриваются отношения между Внешним аудитором и подразделением внутреннего аудита.</w:t>
      </w:r>
    </w:p>
    <w:p w:rsidR="00A86B08" w:rsidRPr="009851E0" w:rsidRDefault="00EA3DA9" w:rsidP="004857C2">
      <w:pPr>
        <w:rPr>
          <w:lang w:val="ru-RU"/>
        </w:rPr>
      </w:pPr>
      <w:r w:rsidRPr="009851E0">
        <w:rPr>
          <w:lang w:val="ru-RU"/>
        </w:rPr>
        <w:t>130</w:t>
      </w:r>
      <w:r w:rsidR="00A86B08" w:rsidRPr="009851E0">
        <w:rPr>
          <w:lang w:val="ru-RU"/>
        </w:rPr>
        <w:tab/>
        <w:t xml:space="preserve">Мы признательны за содействие сотрудников подразделения внутреннего аудита, которым также было поручено оказывать </w:t>
      </w:r>
      <w:r w:rsidR="002E44D6" w:rsidRPr="009851E0">
        <w:rPr>
          <w:lang w:val="ru-RU"/>
        </w:rPr>
        <w:t>материально-техническую</w:t>
      </w:r>
      <w:r w:rsidR="00A86B08" w:rsidRPr="009851E0">
        <w:rPr>
          <w:lang w:val="ru-RU"/>
        </w:rPr>
        <w:t xml:space="preserve"> поддержку деятельности Внешнего аудитора. IAU предоставляет </w:t>
      </w:r>
      <w:r w:rsidR="004857C2" w:rsidRPr="009851E0">
        <w:rPr>
          <w:lang w:val="ru-RU"/>
        </w:rPr>
        <w:t xml:space="preserve">Внешнему аудитору </w:t>
      </w:r>
      <w:r w:rsidR="00A86B08" w:rsidRPr="009851E0">
        <w:rPr>
          <w:lang w:val="ru-RU"/>
        </w:rPr>
        <w:t>свои аудиторские отчеты, а также планы проведения аудиторских проверок.</w:t>
      </w:r>
    </w:p>
    <w:p w:rsidR="00A86B08" w:rsidRPr="009851E0" w:rsidRDefault="00A86B08" w:rsidP="00EA3DA9">
      <w:pPr>
        <w:rPr>
          <w:lang w:val="ru-RU"/>
        </w:rPr>
      </w:pPr>
      <w:r w:rsidRPr="009851E0">
        <w:rPr>
          <w:lang w:val="ru-RU"/>
        </w:rPr>
        <w:t>13</w:t>
      </w:r>
      <w:r w:rsidR="00EA3DA9" w:rsidRPr="009851E0">
        <w:rPr>
          <w:lang w:val="ru-RU"/>
        </w:rPr>
        <w:t>1</w:t>
      </w:r>
      <w:r w:rsidRPr="009851E0">
        <w:rPr>
          <w:lang w:val="ru-RU"/>
        </w:rPr>
        <w:tab/>
        <w:t>В соответствии с требованиями передового опыта мы продолжаем следить за деятельностью подразделения внутреннего аудита.</w:t>
      </w:r>
    </w:p>
    <w:p w:rsidR="00A86B08" w:rsidRPr="009851E0" w:rsidRDefault="00A86B08" w:rsidP="00A86B08">
      <w:pPr>
        <w:pStyle w:val="Heading1"/>
        <w:rPr>
          <w:lang w:val="ru-RU"/>
        </w:rPr>
      </w:pPr>
      <w:bookmarkStart w:id="332" w:name="_Toc356330916"/>
      <w:bookmarkStart w:id="333" w:name="_Toc415170524"/>
      <w:bookmarkStart w:id="334" w:name="_Toc415566518"/>
      <w:bookmarkStart w:id="335" w:name="_Toc418501347"/>
      <w:bookmarkStart w:id="336" w:name="_Toc418861208"/>
      <w:bookmarkStart w:id="337" w:name="_Toc452157343"/>
      <w:bookmarkStart w:id="338" w:name="_Toc482995217"/>
      <w:bookmarkStart w:id="339" w:name="_Toc522633605"/>
      <w:r w:rsidRPr="009851E0">
        <w:rPr>
          <w:lang w:val="ru-RU"/>
        </w:rPr>
        <w:t>ПОСЛЕДУЮЩИЕ МЕРЫ В СВЯЗИ С ПРЕДЫДУЩИМИ РЕКОМЕНДАЦИЯМИ И ПРЕДЛОЖЕНИЯМИ</w:t>
      </w:r>
      <w:bookmarkEnd w:id="332"/>
      <w:bookmarkEnd w:id="333"/>
      <w:bookmarkEnd w:id="334"/>
      <w:bookmarkEnd w:id="335"/>
      <w:bookmarkEnd w:id="336"/>
      <w:bookmarkEnd w:id="337"/>
      <w:bookmarkEnd w:id="338"/>
      <w:bookmarkEnd w:id="339"/>
    </w:p>
    <w:p w:rsidR="00A86B08" w:rsidRPr="009851E0" w:rsidRDefault="00A86B08" w:rsidP="004857C2">
      <w:pPr>
        <w:rPr>
          <w:lang w:val="ru-RU"/>
        </w:rPr>
      </w:pPr>
      <w:r w:rsidRPr="009851E0">
        <w:rPr>
          <w:lang w:val="ru-RU"/>
        </w:rPr>
        <w:t>13</w:t>
      </w:r>
      <w:r w:rsidR="00EA3DA9" w:rsidRPr="009851E0">
        <w:rPr>
          <w:lang w:val="ru-RU"/>
        </w:rPr>
        <w:t>2</w:t>
      </w:r>
      <w:r w:rsidRPr="009851E0">
        <w:rPr>
          <w:lang w:val="ru-RU"/>
        </w:rPr>
        <w:tab/>
        <w:t xml:space="preserve">В </w:t>
      </w:r>
      <w:hyperlink w:anchor="_ПРИЛОЖЕНИЕ_I" w:history="1">
        <w:r w:rsidRPr="009851E0">
          <w:rPr>
            <w:rStyle w:val="Hyperlink"/>
            <w:lang w:val="ru-RU"/>
          </w:rPr>
          <w:t>Приложении I</w:t>
        </w:r>
      </w:hyperlink>
      <w:r w:rsidRPr="009851E0">
        <w:rPr>
          <w:lang w:val="ru-RU"/>
        </w:rPr>
        <w:t xml:space="preserve"> представлены все наши предыдущие рекомендации, а также комментарии, полученные от руководства МСЭ </w:t>
      </w:r>
      <w:r w:rsidR="004857C2" w:rsidRPr="009851E0">
        <w:rPr>
          <w:lang w:val="ru-RU"/>
        </w:rPr>
        <w:t>на</w:t>
      </w:r>
      <w:r w:rsidRPr="009851E0">
        <w:rPr>
          <w:lang w:val="ru-RU"/>
        </w:rPr>
        <w:t xml:space="preserve"> время </w:t>
      </w:r>
      <w:r w:rsidR="004857C2" w:rsidRPr="009851E0">
        <w:rPr>
          <w:lang w:val="ru-RU"/>
        </w:rPr>
        <w:t>предоставления</w:t>
      </w:r>
      <w:r w:rsidRPr="009851E0">
        <w:rPr>
          <w:lang w:val="ru-RU"/>
        </w:rPr>
        <w:t xml:space="preserve"> Отчета. В </w:t>
      </w:r>
      <w:hyperlink w:anchor="_Приложение_II" w:history="1">
        <w:r w:rsidRPr="009851E0">
          <w:rPr>
            <w:rStyle w:val="Hyperlink"/>
            <w:lang w:val="ru-RU"/>
          </w:rPr>
          <w:t>Приложении II</w:t>
        </w:r>
      </w:hyperlink>
      <w:r w:rsidRPr="009851E0">
        <w:rPr>
          <w:lang w:val="ru-RU"/>
        </w:rPr>
        <w:t xml:space="preserve"> представлены последующие меры, принятые по всем нашим предложениям.</w:t>
      </w:r>
    </w:p>
    <w:p w:rsidR="00A86B08" w:rsidRPr="009851E0" w:rsidRDefault="00A86B08" w:rsidP="005C47B6">
      <w:pPr>
        <w:rPr>
          <w:lang w:val="ru-RU"/>
        </w:rPr>
      </w:pPr>
      <w:r w:rsidRPr="009851E0">
        <w:rPr>
          <w:lang w:val="ru-RU"/>
        </w:rPr>
        <w:t>13</w:t>
      </w:r>
      <w:r w:rsidR="005C47B6" w:rsidRPr="009851E0">
        <w:rPr>
          <w:lang w:val="ru-RU"/>
        </w:rPr>
        <w:t>3</w:t>
      </w:r>
      <w:r w:rsidRPr="009851E0">
        <w:rPr>
          <w:lang w:val="ru-RU"/>
        </w:rPr>
        <w:tab/>
        <w:t>Рекомендации, получившие оценку "Выполнено", не будут включаться повторно в отчет об аудиторской проверке следующего года, если только они не требуют принятия последующих мер на ежегодной основе.</w:t>
      </w:r>
    </w:p>
    <w:p w:rsidR="00A86B08" w:rsidRPr="009851E0" w:rsidRDefault="00A86B08" w:rsidP="00A86B08">
      <w:pPr>
        <w:rPr>
          <w:lang w:val="ru-RU"/>
        </w:rPr>
      </w:pPr>
    </w:p>
    <w:p w:rsidR="00A86B08" w:rsidRPr="009851E0" w:rsidRDefault="00A86B08" w:rsidP="00A86B08">
      <w:pPr>
        <w:rPr>
          <w:lang w:val="ru-RU"/>
        </w:rPr>
        <w:sectPr w:rsidR="00A86B08" w:rsidRPr="009851E0" w:rsidSect="004E6D3A">
          <w:headerReference w:type="default" r:id="rId11"/>
          <w:footerReference w:type="default" r:id="rId12"/>
          <w:footerReference w:type="first" r:id="rId13"/>
          <w:pgSz w:w="11907" w:h="16834" w:code="9"/>
          <w:pgMar w:top="1418" w:right="1134" w:bottom="1418" w:left="1134" w:header="567" w:footer="567" w:gutter="0"/>
          <w:paperSrc w:first="15" w:other="15"/>
          <w:cols w:space="720"/>
          <w:titlePg/>
          <w:docGrid w:linePitch="299"/>
        </w:sectPr>
      </w:pPr>
    </w:p>
    <w:p w:rsidR="00F727CB" w:rsidRPr="009851E0" w:rsidRDefault="00F727CB" w:rsidP="000633FD">
      <w:pPr>
        <w:pStyle w:val="AnnexNo"/>
        <w:rPr>
          <w:lang w:val="ru-RU"/>
        </w:rPr>
      </w:pPr>
      <w:bookmarkStart w:id="340" w:name="_ПРИЛОЖЕНИЕ_I"/>
      <w:bookmarkStart w:id="341" w:name="_Toc419489441"/>
      <w:bookmarkStart w:id="342" w:name="_Toc452157344"/>
      <w:bookmarkStart w:id="343" w:name="_Toc482995218"/>
      <w:bookmarkStart w:id="344" w:name="_Toc418501348"/>
      <w:bookmarkStart w:id="345" w:name="_Toc418861209"/>
      <w:bookmarkEnd w:id="340"/>
      <w:r w:rsidRPr="009851E0">
        <w:rPr>
          <w:lang w:val="ru-RU"/>
        </w:rPr>
        <w:t>ПРИЛОЖЕНИЕ I</w:t>
      </w:r>
      <w:bookmarkEnd w:id="341"/>
      <w:bookmarkEnd w:id="342"/>
      <w:bookmarkEnd w:id="343"/>
      <w:r w:rsidRPr="009851E0">
        <w:rPr>
          <w:lang w:val="ru-RU"/>
        </w:rPr>
        <w:t xml:space="preserve"> </w:t>
      </w:r>
    </w:p>
    <w:p w:rsidR="00F727CB" w:rsidRPr="009851E0" w:rsidRDefault="00F727CB" w:rsidP="00F727CB">
      <w:pPr>
        <w:pStyle w:val="Annextitle"/>
        <w:rPr>
          <w:lang w:val="ru-RU"/>
        </w:rPr>
      </w:pPr>
      <w:bookmarkStart w:id="346" w:name="_Toc452157345"/>
      <w:bookmarkStart w:id="347" w:name="_Toc482995219"/>
      <w:r w:rsidRPr="009851E0">
        <w:rPr>
          <w:lang w:val="ru-RU"/>
        </w:rPr>
        <w:t>Последующие меры в связи с рекомендациями, представленными в наших предыдущих отчет</w:t>
      </w:r>
      <w:bookmarkEnd w:id="344"/>
      <w:bookmarkEnd w:id="345"/>
      <w:r w:rsidRPr="009851E0">
        <w:rPr>
          <w:lang w:val="ru-RU"/>
        </w:rPr>
        <w:t>ах</w:t>
      </w:r>
      <w:bookmarkEnd w:id="346"/>
      <w:bookmarkEnd w:id="347"/>
    </w:p>
    <w:tbl>
      <w:tblPr>
        <w:tblW w:w="14559" w:type="dxa"/>
        <w:tblLayout w:type="fixed"/>
        <w:tblCellMar>
          <w:left w:w="85" w:type="dxa"/>
          <w:right w:w="85" w:type="dxa"/>
        </w:tblCellMar>
        <w:tblLook w:val="0000" w:firstRow="0" w:lastRow="0" w:firstColumn="0" w:lastColumn="0" w:noHBand="0" w:noVBand="0"/>
      </w:tblPr>
      <w:tblGrid>
        <w:gridCol w:w="1493"/>
        <w:gridCol w:w="3322"/>
        <w:gridCol w:w="3544"/>
        <w:gridCol w:w="3674"/>
        <w:gridCol w:w="2526"/>
      </w:tblGrid>
      <w:tr w:rsidR="00F727CB" w:rsidRPr="00E65E97" w:rsidTr="00A04153">
        <w:trPr>
          <w:cantSplit/>
          <w:tblHeader/>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727CB" w:rsidRPr="009851E0" w:rsidRDefault="00F727CB" w:rsidP="00A04153">
            <w:pPr>
              <w:spacing w:before="40" w:after="40"/>
              <w:jc w:val="center"/>
              <w:rPr>
                <w:b/>
                <w:bCs/>
                <w:sz w:val="18"/>
                <w:szCs w:val="18"/>
                <w:lang w:val="ru-RU"/>
              </w:rPr>
            </w:pP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727CB" w:rsidRPr="009851E0" w:rsidRDefault="00F727CB" w:rsidP="00A04153">
            <w:pPr>
              <w:spacing w:before="40" w:after="40"/>
              <w:jc w:val="center"/>
              <w:rPr>
                <w:b/>
                <w:bCs/>
                <w:sz w:val="18"/>
                <w:szCs w:val="18"/>
                <w:lang w:val="ru-RU"/>
              </w:rPr>
            </w:pPr>
            <w:r w:rsidRPr="009851E0">
              <w:rPr>
                <w:b/>
                <w:bCs/>
                <w:sz w:val="18"/>
                <w:szCs w:val="18"/>
                <w:lang w:val="ru-RU"/>
              </w:rPr>
              <w:t>Рекомендация, представленная Государственной счетной палатой Италии</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727CB" w:rsidRPr="009851E0" w:rsidRDefault="00F727CB" w:rsidP="00A04153">
            <w:pPr>
              <w:spacing w:before="40" w:after="40"/>
              <w:jc w:val="center"/>
              <w:rPr>
                <w:b/>
                <w:bCs/>
                <w:sz w:val="18"/>
                <w:szCs w:val="18"/>
                <w:lang w:val="ru-RU"/>
              </w:rPr>
            </w:pPr>
            <w:r w:rsidRPr="009851E0">
              <w:rPr>
                <w:b/>
                <w:bCs/>
                <w:sz w:val="18"/>
                <w:szCs w:val="18"/>
                <w:lang w:val="ru-RU"/>
              </w:rPr>
              <w:t>Комментарии, полученные от Генерального секретаря во время опубликования отчета</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727CB" w:rsidRPr="009851E0" w:rsidRDefault="00F727CB" w:rsidP="00A04153">
            <w:pPr>
              <w:spacing w:before="40" w:after="40"/>
              <w:jc w:val="center"/>
              <w:rPr>
                <w:b/>
                <w:bCs/>
                <w:sz w:val="18"/>
                <w:szCs w:val="18"/>
                <w:lang w:val="ru-RU"/>
              </w:rPr>
            </w:pPr>
            <w:r w:rsidRPr="009851E0">
              <w:rPr>
                <w:b/>
                <w:bCs/>
                <w:sz w:val="18"/>
                <w:szCs w:val="18"/>
                <w:lang w:val="ru-RU"/>
              </w:rPr>
              <w:t>Статус выполнения по сообщению руководства МСЭ</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727CB" w:rsidRPr="009851E0" w:rsidRDefault="00F727CB" w:rsidP="00A04153">
            <w:pPr>
              <w:spacing w:before="40" w:after="40"/>
              <w:jc w:val="center"/>
              <w:rPr>
                <w:b/>
                <w:bCs/>
                <w:sz w:val="18"/>
                <w:szCs w:val="18"/>
                <w:lang w:val="ru-RU"/>
              </w:rPr>
            </w:pPr>
            <w:r w:rsidRPr="009851E0">
              <w:rPr>
                <w:b/>
                <w:bCs/>
                <w:sz w:val="18"/>
                <w:szCs w:val="18"/>
                <w:lang w:val="ru-RU"/>
              </w:rPr>
              <w:t>Статус мер, принятых руководством, по оценке Государственной счетной палаты Италии</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1/2016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 xml:space="preserve">Учитывая прогнозы в области выхода на пенсию в предстоящие 10 лет и потенциальный риск, связанный с нарушением преемственности, </w:t>
            </w:r>
            <w:r w:rsidRPr="009851E0">
              <w:rPr>
                <w:sz w:val="18"/>
                <w:szCs w:val="18"/>
                <w:u w:val="single"/>
                <w:lang w:val="ru-RU"/>
              </w:rPr>
              <w:t>мы рекомендуем</w:t>
            </w:r>
            <w:r w:rsidRPr="009851E0">
              <w:rPr>
                <w:sz w:val="18"/>
                <w:szCs w:val="18"/>
                <w:lang w:val="ru-RU"/>
              </w:rPr>
              <w:t>, чтобы руководство приняло официальную стратегию планирования преемственности, которая должна войти в Стратегический план в области людских ресурсов. Эта стратегия должна уточнять важнейшие функции и посты, исходя из задач и потребностей МСЭ, и устанавливать планы на ближайшее будущее (передачу знаний) и на более долгосрочный период (на основе, в том числе, перечня квалификационных навыков, содержащегося в принятой недавно Системе компетенций МСЭ, в целях определения внутреннего потенциала для обеспечения преемственности).</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Департамент по управлению людскими ресурсами проведет консультации с Бюро и Департаментами ГС в целях разработки стратегии планирования преемственности, направленной на сохранение институциональных знаний и обеспечение преемственности в осуществлении мандата Союза.</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Ответственная за этот вид деятельности служба HRMD, активно участвующая во внедрении новой системы e-PMDS (</w:t>
            </w:r>
            <w:r w:rsidRPr="009851E0">
              <w:rPr>
                <w:color w:val="000000"/>
                <w:sz w:val="18"/>
                <w:szCs w:val="16"/>
                <w:lang w:val="ru-RU"/>
              </w:rPr>
              <w:t>система управления показателями деятельности и профессионального развития</w:t>
            </w:r>
            <w:r w:rsidRPr="009851E0">
              <w:rPr>
                <w:sz w:val="18"/>
                <w:szCs w:val="18"/>
                <w:lang w:val="ru-RU"/>
              </w:rPr>
              <w:t>), подтверждает, что рекомендация будет выполнена в первом квартале 2018 г.</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2/2016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bookmarkStart w:id="348" w:name="_Toc482176246"/>
            <w:bookmarkStart w:id="349" w:name="_Toc482995199"/>
            <w:r w:rsidRPr="009851E0">
              <w:rPr>
                <w:b/>
                <w:bCs/>
                <w:sz w:val="18"/>
                <w:szCs w:val="18"/>
                <w:lang w:val="ru-RU"/>
              </w:rPr>
              <w:t>Отсутствие "ключевых руководящих указаний" в Финансовом регламенте и Финансовых правилах</w:t>
            </w:r>
            <w:bookmarkEnd w:id="348"/>
            <w:bookmarkEnd w:id="349"/>
          </w:p>
          <w:p w:rsidR="00F727CB" w:rsidRPr="009851E0" w:rsidRDefault="00F727CB" w:rsidP="00A04153">
            <w:pPr>
              <w:spacing w:before="40" w:after="40"/>
              <w:rPr>
                <w:sz w:val="18"/>
                <w:szCs w:val="18"/>
                <w:lang w:val="ru-RU"/>
              </w:rPr>
            </w:pPr>
            <w:r w:rsidRPr="009851E0">
              <w:rPr>
                <w:sz w:val="18"/>
                <w:szCs w:val="18"/>
                <w:lang w:val="ru-RU"/>
              </w:rPr>
              <w:t xml:space="preserve">Поэтому </w:t>
            </w:r>
            <w:r w:rsidRPr="009851E0">
              <w:rPr>
                <w:sz w:val="18"/>
                <w:szCs w:val="18"/>
                <w:u w:val="single"/>
                <w:lang w:val="ru-RU"/>
              </w:rPr>
              <w:t>мы рекомендуем</w:t>
            </w:r>
            <w:r w:rsidRPr="009851E0">
              <w:rPr>
                <w:sz w:val="18"/>
                <w:szCs w:val="18"/>
                <w:lang w:val="ru-RU"/>
              </w:rPr>
              <w:t>, чтобы руководство представило на рассмотрение Совета предложение о внесении поправок в Финансовый регламент и Финансовые правила, чтобы привести их в соответствие с принципами закупок, содержащимися в Служебном приказе, который должен быть согласован.</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МСЭ принимает к сведению эту рекомендацию и рассмотрит вопрос о подготовке предложения для Совета.</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Данной сессии РГС-ФЛР представлена поправка к Финансовому регламенту и Финансовым правилам для отражения этой рекомендации.</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3/2016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bookmarkStart w:id="350" w:name="_Toc478775835"/>
            <w:bookmarkStart w:id="351" w:name="_Toc482176247"/>
            <w:bookmarkStart w:id="352" w:name="_Toc482995200"/>
            <w:r w:rsidRPr="009851E0">
              <w:rPr>
                <w:b/>
                <w:bCs/>
                <w:sz w:val="18"/>
                <w:szCs w:val="18"/>
                <w:lang w:val="ru-RU"/>
              </w:rPr>
              <w:t>Глобальный рынок Организации Объединенных Наций</w:t>
            </w:r>
            <w:bookmarkEnd w:id="350"/>
            <w:bookmarkEnd w:id="351"/>
            <w:bookmarkEnd w:id="352"/>
          </w:p>
          <w:p w:rsidR="00F727CB" w:rsidRPr="009851E0" w:rsidRDefault="00F727CB" w:rsidP="00A04153">
            <w:pPr>
              <w:spacing w:before="40" w:after="40"/>
              <w:rPr>
                <w:sz w:val="18"/>
                <w:szCs w:val="18"/>
                <w:lang w:val="ru-RU"/>
              </w:rPr>
            </w:pPr>
            <w:r w:rsidRPr="009851E0">
              <w:rPr>
                <w:sz w:val="18"/>
                <w:szCs w:val="18"/>
                <w:lang w:val="ru-RU"/>
              </w:rPr>
              <w:t xml:space="preserve">Мы отмечаем, что МСЭ регулярно публикует сведения о всех тендерах на сумму, бóльшую чем 50 000 швейцарских франков, на ГРООН, но для повышения уровня прозрачности процесса закупок и в целом для достижения цели, предусмотренной мандатом Генеральной Ассамблеи Организации Объединенных Наций, </w:t>
            </w:r>
            <w:r w:rsidRPr="009851E0">
              <w:rPr>
                <w:sz w:val="18"/>
                <w:szCs w:val="18"/>
                <w:u w:val="single"/>
                <w:lang w:val="ru-RU"/>
              </w:rPr>
              <w:t>мы рекомендуем</w:t>
            </w:r>
            <w:r w:rsidRPr="009851E0">
              <w:rPr>
                <w:sz w:val="18"/>
                <w:szCs w:val="18"/>
                <w:lang w:val="ru-RU"/>
              </w:rPr>
              <w:t xml:space="preserve"> регулярно публиковать сведения о всех тендерах (на товары и услуги) на сумму меньше 50 000 швейцарских франков.</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МСЭ принимает данную рекомендацию к сведению и подтверждает, что цель опубликования на ГРООН заключается в обеспечении конкуренции на международном уровне, для которой согласно действующему служебному приказу существуют требования по тендерам на сумму, бóльшую чем 100 000 швейцарских франков. В настоящее время практикуется также опубликование сведений о тендерах на сумму, бóльшую чем 50 000 швейцарских франков (и меньшую, чем 100 000 швейцарских франков) на ГРООН. Когда этого требуют обстоятельства, можно обеспечивать международную конкуренцию для тендеров на меньшие суммы.</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sz w:val="18"/>
                <w:szCs w:val="18"/>
                <w:lang w:val="ru-RU"/>
              </w:rPr>
            </w:pPr>
            <w:r w:rsidRPr="009851E0">
              <w:rPr>
                <w:sz w:val="18"/>
                <w:szCs w:val="18"/>
                <w:lang w:val="ru-RU"/>
              </w:rPr>
              <w:t>Составляется инструкция по закупкам.</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4/2016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u w:val="single"/>
                <w:lang w:val="ru-RU"/>
              </w:rPr>
              <w:t>Мы</w:t>
            </w:r>
            <w:r w:rsidRPr="009851E0">
              <w:rPr>
                <w:sz w:val="18"/>
                <w:szCs w:val="18"/>
                <w:lang w:val="ru-RU"/>
              </w:rPr>
              <w:t xml:space="preserve"> разделяем позицию Внутреннего аудитора и </w:t>
            </w:r>
            <w:r w:rsidRPr="009851E0">
              <w:rPr>
                <w:sz w:val="18"/>
                <w:szCs w:val="18"/>
                <w:u w:val="single"/>
                <w:lang w:val="ru-RU"/>
              </w:rPr>
              <w:t>рекомендуем</w:t>
            </w:r>
            <w:r w:rsidRPr="009851E0">
              <w:rPr>
                <w:sz w:val="18"/>
                <w:szCs w:val="18"/>
                <w:lang w:val="ru-RU"/>
              </w:rPr>
              <w:t xml:space="preserve"> принять: </w:t>
            </w:r>
            <w:r w:rsidRPr="009851E0">
              <w:rPr>
                <w:b/>
                <w:bCs/>
                <w:sz w:val="18"/>
                <w:szCs w:val="18"/>
                <w:lang w:val="ru-RU"/>
              </w:rPr>
              <w:t>A</w:t>
            </w:r>
            <w:r w:rsidRPr="009851E0">
              <w:rPr>
                <w:sz w:val="18"/>
                <w:szCs w:val="18"/>
                <w:lang w:val="ru-RU"/>
              </w:rPr>
              <w:t xml:space="preserve">) инструкцию по закупкам, которая охватывала бы все этапы процесса закупок в соответствии с передовым опытом ООН в этой области, а также </w:t>
            </w:r>
            <w:r w:rsidRPr="009851E0">
              <w:rPr>
                <w:b/>
                <w:bCs/>
                <w:sz w:val="18"/>
                <w:szCs w:val="18"/>
                <w:lang w:val="ru-RU"/>
              </w:rPr>
              <w:t>B</w:t>
            </w:r>
            <w:r w:rsidRPr="009851E0">
              <w:rPr>
                <w:sz w:val="18"/>
                <w:szCs w:val="18"/>
                <w:lang w:val="ru-RU"/>
              </w:rPr>
              <w:t>) меры по реализации с направлениями политики и процедурами, которые должны служить руководством для всех сотрудников, задействованных на различных этапах процесса закупок.</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МСЭ принимает эту рекомендацию. В настоящее время готовится инструкция по закупкам, которая охватит все этапы процесса закупок и будет служить руководством по направлениям политики и процедурам для всех сотрудников, задействованных на различных этапах процесса закупок.</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sz w:val="18"/>
                <w:szCs w:val="18"/>
                <w:lang w:val="ru-RU"/>
              </w:rPr>
            </w:pPr>
            <w:r w:rsidRPr="009851E0">
              <w:rPr>
                <w:sz w:val="18"/>
                <w:szCs w:val="18"/>
                <w:lang w:val="ru-RU"/>
              </w:rPr>
              <w:t>Составляется инструкция по закупкам.</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5/2016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 xml:space="preserve">Ввиду этого </w:t>
            </w:r>
            <w:r w:rsidRPr="009851E0">
              <w:rPr>
                <w:sz w:val="18"/>
                <w:szCs w:val="18"/>
                <w:u w:val="single"/>
                <w:lang w:val="ru-RU"/>
              </w:rPr>
              <w:t>мы рекомендуем</w:t>
            </w:r>
            <w:r w:rsidRPr="009851E0">
              <w:rPr>
                <w:sz w:val="18"/>
                <w:szCs w:val="18"/>
                <w:lang w:val="ru-RU"/>
              </w:rPr>
              <w:t xml:space="preserve"> МСЭ ввести письменную процедуру, которой бы следовали сотрудники МСЭ в случаях закупок на сумму менее 20 000 швейцарских франков.</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МСЭ принимает эту рекомендацию. Это будет включено в новую инструкцию по закупкам.</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sz w:val="18"/>
                <w:szCs w:val="18"/>
                <w:lang w:val="ru-RU"/>
              </w:rPr>
            </w:pPr>
            <w:r w:rsidRPr="009851E0">
              <w:rPr>
                <w:sz w:val="18"/>
                <w:szCs w:val="18"/>
                <w:lang w:val="ru-RU"/>
              </w:rPr>
              <w:t>Составляется инструкция по закупкам.</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6/2016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Повышение прозрачности процесса закупок</w:t>
            </w:r>
          </w:p>
          <w:p w:rsidR="00F727CB" w:rsidRPr="009851E0" w:rsidRDefault="00F727CB" w:rsidP="00A04153">
            <w:pPr>
              <w:spacing w:before="40" w:after="40"/>
              <w:rPr>
                <w:sz w:val="18"/>
                <w:szCs w:val="18"/>
                <w:lang w:val="ru-RU"/>
              </w:rPr>
            </w:pPr>
            <w:r w:rsidRPr="009851E0">
              <w:rPr>
                <w:sz w:val="18"/>
                <w:szCs w:val="18"/>
                <w:lang w:val="ru-RU"/>
              </w:rPr>
              <w:t xml:space="preserve">Мы отмечаем, что Управление закупками МСЭ регулярно публикует все решения о присуждении контрактов на ГРООН, но для повышения уровня прозрачности процесса закупок </w:t>
            </w:r>
            <w:r w:rsidRPr="009851E0">
              <w:rPr>
                <w:sz w:val="18"/>
                <w:szCs w:val="18"/>
                <w:u w:val="single"/>
                <w:lang w:val="ru-RU"/>
              </w:rPr>
              <w:t>мы рекомендуем</w:t>
            </w:r>
            <w:r w:rsidRPr="009851E0">
              <w:rPr>
                <w:sz w:val="18"/>
                <w:szCs w:val="18"/>
                <w:lang w:val="ru-RU"/>
              </w:rPr>
              <w:t xml:space="preserve"> МСЭ: </w:t>
            </w:r>
            <w:r w:rsidRPr="009851E0">
              <w:rPr>
                <w:b/>
                <w:bCs/>
                <w:sz w:val="18"/>
                <w:szCs w:val="18"/>
                <w:lang w:val="ru-RU"/>
              </w:rPr>
              <w:t>A</w:t>
            </w:r>
            <w:r w:rsidRPr="009851E0">
              <w:rPr>
                <w:sz w:val="18"/>
                <w:szCs w:val="18"/>
                <w:lang w:val="ru-RU"/>
              </w:rPr>
              <w:t xml:space="preserve">) уведомлять в индивидуальном порядке всех участников тендера о завершении или аннулировании процесса закупок; </w:t>
            </w:r>
            <w:r w:rsidRPr="009851E0">
              <w:rPr>
                <w:b/>
                <w:bCs/>
                <w:sz w:val="18"/>
                <w:szCs w:val="18"/>
                <w:lang w:val="ru-RU"/>
              </w:rPr>
              <w:t>B</w:t>
            </w:r>
            <w:r w:rsidRPr="009851E0">
              <w:rPr>
                <w:sz w:val="18"/>
                <w:szCs w:val="18"/>
                <w:lang w:val="ru-RU"/>
              </w:rPr>
              <w:t xml:space="preserve">) проводить, если поступает запрос, собеседование с проигравшими/исключенными участниками тендера, которые участвовали в процессе закупок, чтобы дать им возможность эффективнее конкурировать при представлении заявок в будущем; </w:t>
            </w:r>
            <w:r w:rsidRPr="009851E0">
              <w:rPr>
                <w:b/>
                <w:bCs/>
                <w:sz w:val="18"/>
                <w:szCs w:val="18"/>
                <w:lang w:val="ru-RU"/>
              </w:rPr>
              <w:t>C</w:t>
            </w:r>
            <w:r w:rsidRPr="009851E0">
              <w:rPr>
                <w:sz w:val="18"/>
                <w:szCs w:val="18"/>
                <w:lang w:val="ru-RU"/>
              </w:rPr>
              <w:t>) информировать в ходе собеседования проигравших поставщиков о причинах отклонения их заявок.</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настоящее время в МСЭ практикуется отправка писем с сожалениями (по электронной почте для сумм менее 50 000 швейцарских франков) всем проигравшим поставщикам, уведомляя их об отклонении их заявок. В документе по представлению заявок поставщикам предлагается запрашивать информацию об оценке их заявки. МСЭ принимает рекомендацию относительно уведомления также поставщиков в письме с сожалениями о том, что они могут запрашивать информацию по оценке своих заявок, и это будет включено в новую инструкцию по закупкам.</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sz w:val="18"/>
                <w:szCs w:val="18"/>
                <w:lang w:val="ru-RU"/>
              </w:rPr>
            </w:pPr>
            <w:r w:rsidRPr="009851E0">
              <w:rPr>
                <w:sz w:val="18"/>
                <w:szCs w:val="18"/>
                <w:lang w:val="ru-RU"/>
              </w:rPr>
              <w:t>Составляется инструкция по закупкам.</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7/2016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u w:val="single"/>
                <w:lang w:val="ru-RU"/>
              </w:rPr>
              <w:t>Мы рекомендуем</w:t>
            </w:r>
            <w:r w:rsidRPr="009851E0">
              <w:rPr>
                <w:sz w:val="18"/>
                <w:szCs w:val="18"/>
                <w:lang w:val="ru-RU"/>
              </w:rPr>
              <w:t xml:space="preserve"> МСЭ обеспечить последовательное применение четких критериев успеха/неуспеха (или соответствия/несоответствия) во всех предложениях представлять заявки.</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настоящее время в МСЭ практикуется применение для всех предложений представлять заявки четких критериев успеха/неуспеха, которые определяются до выпуска предложения представлять заявки. Эта практика будет включена в новую инструкцию по закупкам.</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sz w:val="18"/>
                <w:szCs w:val="18"/>
                <w:lang w:val="ru-RU"/>
              </w:rPr>
            </w:pPr>
            <w:r w:rsidRPr="009851E0">
              <w:rPr>
                <w:sz w:val="18"/>
                <w:szCs w:val="18"/>
                <w:lang w:val="ru-RU"/>
              </w:rPr>
              <w:t>Составляется инструкция по закупкам.</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8/2016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bookmarkStart w:id="353" w:name="_Toc482176250"/>
            <w:bookmarkStart w:id="354" w:name="_Toc482995203"/>
            <w:r w:rsidRPr="009851E0">
              <w:rPr>
                <w:b/>
                <w:bCs/>
                <w:sz w:val="18"/>
                <w:szCs w:val="18"/>
                <w:lang w:val="ru-RU"/>
              </w:rPr>
              <w:t>Активизация роли Комитета по оценке</w:t>
            </w:r>
            <w:bookmarkEnd w:id="353"/>
            <w:bookmarkEnd w:id="354"/>
          </w:p>
          <w:p w:rsidR="00F727CB" w:rsidRPr="009851E0" w:rsidRDefault="00F727CB" w:rsidP="00A04153">
            <w:pPr>
              <w:spacing w:before="40" w:after="40"/>
              <w:rPr>
                <w:sz w:val="18"/>
                <w:szCs w:val="18"/>
                <w:lang w:val="ru-RU"/>
              </w:rPr>
            </w:pPr>
            <w:r w:rsidRPr="009851E0">
              <w:rPr>
                <w:sz w:val="18"/>
                <w:szCs w:val="18"/>
                <w:u w:val="single"/>
                <w:lang w:val="ru-RU"/>
              </w:rPr>
              <w:t>Мы рекомендуем</w:t>
            </w:r>
            <w:r w:rsidRPr="009851E0">
              <w:rPr>
                <w:sz w:val="18"/>
                <w:szCs w:val="18"/>
                <w:lang w:val="ru-RU"/>
              </w:rPr>
              <w:t xml:space="preserve"> для проведения процесса закупок справедливым и прозрачным образом, и учитывая наилучшее соотношение цены и качества, следующее: </w:t>
            </w:r>
            <w:r w:rsidRPr="009851E0">
              <w:rPr>
                <w:b/>
                <w:bCs/>
                <w:sz w:val="18"/>
                <w:szCs w:val="18"/>
                <w:lang w:val="ru-RU"/>
              </w:rPr>
              <w:t>A</w:t>
            </w:r>
            <w:r w:rsidRPr="009851E0">
              <w:rPr>
                <w:sz w:val="18"/>
                <w:szCs w:val="18"/>
                <w:lang w:val="ru-RU"/>
              </w:rPr>
              <w:t>) Комитету по оценке следует в процессе оценки применять критерии и метод оценки, предусмотренные в документе с предложением принять участие в тендере/досье тендера. Наряду с этим мы считаем неподобающими критерии, установленные в приглашении подавать предложения, согласно которым "</w:t>
            </w:r>
            <w:r w:rsidRPr="009851E0">
              <w:rPr>
                <w:i/>
                <w:iCs/>
                <w:sz w:val="18"/>
                <w:szCs w:val="18"/>
                <w:lang w:val="ru-RU"/>
              </w:rPr>
              <w:t>доступность участников тендера в середине ноября (2012 года) будет важным критерием отбора</w:t>
            </w:r>
            <w:r w:rsidRPr="009851E0">
              <w:rPr>
                <w:sz w:val="18"/>
                <w:szCs w:val="18"/>
                <w:lang w:val="ru-RU"/>
              </w:rPr>
              <w:t xml:space="preserve">", потому что они могут сократить конкуренцию, ограничивая участие других поставщиков в процессе закупок (фактически в отношении проверенной закупки контракт был подписан только в феврале 2013 г.); </w:t>
            </w:r>
            <w:r w:rsidRPr="009851E0">
              <w:rPr>
                <w:b/>
                <w:bCs/>
                <w:sz w:val="18"/>
                <w:szCs w:val="18"/>
                <w:lang w:val="ru-RU"/>
              </w:rPr>
              <w:t>B</w:t>
            </w:r>
            <w:r w:rsidRPr="009851E0">
              <w:rPr>
                <w:sz w:val="18"/>
                <w:szCs w:val="18"/>
                <w:lang w:val="ru-RU"/>
              </w:rPr>
              <w:t xml:space="preserve">) Комитету по оценке следует составлять четкие отчеты по оценке, учитывая технические и коммерческие баллы в заявках, чтобы получить четкое ранжирование заявки, рекомендуемой для заключения контракта, в соответствии с критериями, установленными в файле тендера; </w:t>
            </w:r>
            <w:r w:rsidRPr="009851E0">
              <w:rPr>
                <w:b/>
                <w:bCs/>
                <w:sz w:val="18"/>
                <w:szCs w:val="18"/>
                <w:lang w:val="ru-RU"/>
              </w:rPr>
              <w:t>C</w:t>
            </w:r>
            <w:r w:rsidRPr="009851E0">
              <w:rPr>
                <w:sz w:val="18"/>
                <w:szCs w:val="18"/>
                <w:lang w:val="ru-RU"/>
              </w:rPr>
              <w:t>) в случае отступления от принципа автоматического отклонения заявок, полученных с опозданием, в Служебном приказе 14/06 следует четко указать, в каких случаях применимы такие отступления.</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настоящее время в МСЭ практикуется установление критериев и методики оценки до объявления тендера, а в отчетах по оценке четко представляются баллы, выставленные каждому участнику тендера, и их индивидуальное ранжирование. Эта практика будет включена в новую инструкцию по закупкам.</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sz w:val="18"/>
                <w:szCs w:val="18"/>
                <w:lang w:val="ru-RU"/>
              </w:rPr>
            </w:pPr>
            <w:r w:rsidRPr="009851E0">
              <w:rPr>
                <w:sz w:val="18"/>
                <w:szCs w:val="18"/>
                <w:lang w:val="ru-RU"/>
              </w:rPr>
              <w:t>Составляется инструкция по закупкам.</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9/2016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bookmarkStart w:id="355" w:name="_Toc482176251"/>
            <w:bookmarkStart w:id="356" w:name="_Toc482995204"/>
            <w:r w:rsidRPr="009851E0">
              <w:rPr>
                <w:b/>
                <w:bCs/>
                <w:sz w:val="18"/>
                <w:szCs w:val="18"/>
                <w:lang w:val="ru-RU"/>
              </w:rPr>
              <w:t>Совершенствование обязательной технической оценки</w:t>
            </w:r>
            <w:bookmarkEnd w:id="355"/>
            <w:bookmarkEnd w:id="356"/>
          </w:p>
          <w:p w:rsidR="00F727CB" w:rsidRPr="009851E0" w:rsidRDefault="00F727CB" w:rsidP="00A04153">
            <w:pPr>
              <w:spacing w:before="40" w:after="40"/>
              <w:rPr>
                <w:sz w:val="18"/>
                <w:szCs w:val="18"/>
                <w:lang w:val="ru-RU"/>
              </w:rPr>
            </w:pPr>
            <w:r w:rsidRPr="009851E0">
              <w:rPr>
                <w:sz w:val="18"/>
                <w:szCs w:val="18"/>
                <w:u w:val="single"/>
                <w:lang w:val="ru-RU"/>
              </w:rPr>
              <w:t>Мы рекомендуем</w:t>
            </w:r>
            <w:r w:rsidRPr="009851E0">
              <w:rPr>
                <w:sz w:val="18"/>
                <w:szCs w:val="18"/>
                <w:lang w:val="ru-RU"/>
              </w:rPr>
              <w:t>, как это предусматривает передовой опыт ООН, чтобы применительно к приглашениям подавать предложения при коммерческой оценке учитывались только предложения, соответствующие обязательным и минимальным требованиям (или баллам), а коммерческие заявки от поставщиков, которые были признаны технически не соответствующими спецификациям тендера, не оценивались.</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настоящее время в МСЭ практикуется оценка только коммерческих предложений поставщиков, которые технически соответствуют условиям тендера. Эта практика будет включена в новую инструкцию по закупкам.</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sz w:val="18"/>
                <w:szCs w:val="18"/>
                <w:lang w:val="ru-RU"/>
              </w:rPr>
            </w:pPr>
            <w:r w:rsidRPr="009851E0">
              <w:rPr>
                <w:sz w:val="18"/>
                <w:szCs w:val="18"/>
                <w:lang w:val="ru-RU"/>
              </w:rPr>
              <w:t>Составляется инструкция по закупкам.</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10/2016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bookmarkStart w:id="357" w:name="_Toc478775838"/>
            <w:bookmarkStart w:id="358" w:name="_Toc482176253"/>
            <w:bookmarkStart w:id="359" w:name="_Toc482995206"/>
            <w:r w:rsidRPr="009851E0">
              <w:rPr>
                <w:b/>
                <w:bCs/>
                <w:sz w:val="18"/>
                <w:szCs w:val="18"/>
                <w:lang w:val="ru-RU"/>
              </w:rPr>
              <w:t xml:space="preserve">Контроль </w:t>
            </w:r>
            <w:bookmarkEnd w:id="357"/>
            <w:bookmarkEnd w:id="358"/>
            <w:r w:rsidRPr="009851E0">
              <w:rPr>
                <w:b/>
                <w:bCs/>
                <w:sz w:val="18"/>
                <w:szCs w:val="18"/>
                <w:lang w:val="ru-RU"/>
              </w:rPr>
              <w:t>показателей работы поставщиков</w:t>
            </w:r>
            <w:bookmarkEnd w:id="359"/>
          </w:p>
          <w:p w:rsidR="00F727CB" w:rsidRPr="009851E0" w:rsidRDefault="00F727CB" w:rsidP="00A04153">
            <w:pPr>
              <w:spacing w:before="40" w:after="40"/>
              <w:rPr>
                <w:sz w:val="18"/>
                <w:szCs w:val="18"/>
                <w:lang w:val="ru-RU"/>
              </w:rPr>
            </w:pPr>
            <w:r w:rsidRPr="009851E0">
              <w:rPr>
                <w:sz w:val="18"/>
                <w:szCs w:val="18"/>
                <w:u w:val="single"/>
                <w:lang w:val="ru-RU"/>
              </w:rPr>
              <w:t>Мы</w:t>
            </w:r>
            <w:r w:rsidRPr="009851E0">
              <w:rPr>
                <w:sz w:val="18"/>
                <w:szCs w:val="18"/>
                <w:lang w:val="ru-RU"/>
              </w:rPr>
              <w:t xml:space="preserve"> разделяем мнение Внутреннего аудитора и </w:t>
            </w:r>
            <w:r w:rsidRPr="009851E0">
              <w:rPr>
                <w:sz w:val="18"/>
                <w:szCs w:val="18"/>
                <w:u w:val="single"/>
                <w:lang w:val="ru-RU"/>
              </w:rPr>
              <w:t>рекомендуем</w:t>
            </w:r>
            <w:r w:rsidRPr="009851E0">
              <w:rPr>
                <w:sz w:val="18"/>
                <w:szCs w:val="18"/>
                <w:lang w:val="ru-RU"/>
              </w:rPr>
              <w:t xml:space="preserve"> ввести оценку показателей работы поставщика с целью их контроля и оценки фактического исполнения контрактов в отношении таких показателей, как качество, поставка, своевременность, контроль затрат, соответствие кругу ведения или описанию работ (SOW), а также всем остальным установленным в контракте показателям работы.</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МСЭ согласен с этой рекомендацией. Политика управления показателями работы поставщиков будет включена в новую инструкцию по закупкам.</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sz w:val="18"/>
                <w:szCs w:val="18"/>
                <w:lang w:val="ru-RU"/>
              </w:rPr>
            </w:pPr>
            <w:r w:rsidRPr="009851E0">
              <w:rPr>
                <w:sz w:val="18"/>
                <w:szCs w:val="18"/>
                <w:lang w:val="ru-RU"/>
              </w:rPr>
              <w:t>Составляется инструкция по закупкам.</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11/2016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u w:val="single"/>
                <w:lang w:val="ru-RU"/>
              </w:rPr>
              <w:t>Мы рекомендуем</w:t>
            </w:r>
            <w:r w:rsidRPr="009851E0">
              <w:rPr>
                <w:sz w:val="18"/>
                <w:szCs w:val="18"/>
                <w:lang w:val="ru-RU"/>
              </w:rPr>
              <w:t xml:space="preserve"> руководству принять политику МСЭ по вопросам этики, мошенничества и коррупционных действий в области закупок, содержащую определение понятия "конфликт интересов."</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МСЭ согласен с этой рекомендацией и подготовит такую политику для принятия.</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 xml:space="preserve">Разрабатывается </w:t>
            </w:r>
            <w:r w:rsidRPr="009851E0">
              <w:rPr>
                <w:color w:val="000000"/>
                <w:sz w:val="18"/>
                <w:szCs w:val="18"/>
                <w:lang w:val="ru-RU"/>
              </w:rPr>
              <w:t>политика противодействия мошенничеству, коррупции и другой запрещенной деятельности</w:t>
            </w:r>
            <w:r w:rsidR="00F34DB9" w:rsidRPr="009851E0">
              <w:rPr>
                <w:sz w:val="18"/>
                <w:szCs w:val="18"/>
                <w:lang w:val="ru-RU"/>
              </w:rPr>
              <w:t xml:space="preserve">. </w:t>
            </w:r>
            <w:r w:rsidRPr="009851E0">
              <w:rPr>
                <w:sz w:val="18"/>
                <w:szCs w:val="18"/>
                <w:lang w:val="ru-RU"/>
              </w:rPr>
              <w:t>Ожидается, что в этой политике будет содержаться определение конфликта интересов. По проекту политики ведутся внутренние консультации.</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12/2016</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Стандарты этики</w:t>
            </w:r>
          </w:p>
          <w:p w:rsidR="00F727CB" w:rsidRPr="009851E0" w:rsidRDefault="00F727CB" w:rsidP="00A04153">
            <w:pPr>
              <w:spacing w:before="40" w:after="40"/>
              <w:rPr>
                <w:sz w:val="18"/>
                <w:szCs w:val="18"/>
                <w:lang w:val="ru-RU"/>
              </w:rPr>
            </w:pPr>
            <w:r w:rsidRPr="009851E0">
              <w:rPr>
                <w:sz w:val="18"/>
                <w:szCs w:val="18"/>
                <w:lang w:val="ru-RU"/>
              </w:rPr>
              <w:t xml:space="preserve">Управление по вопросам этики проводит всесторонний обзор связанных с вопросами этики положений нормативно-правовой базы. Помимо такого обзора </w:t>
            </w:r>
            <w:r w:rsidRPr="009851E0">
              <w:rPr>
                <w:sz w:val="18"/>
                <w:szCs w:val="18"/>
                <w:u w:val="single"/>
                <w:lang w:val="ru-RU"/>
              </w:rPr>
              <w:t>мы рекомендуем</w:t>
            </w:r>
            <w:r w:rsidRPr="009851E0">
              <w:rPr>
                <w:sz w:val="18"/>
                <w:szCs w:val="18"/>
                <w:lang w:val="ru-RU"/>
              </w:rPr>
              <w:t>, чтобы руководство обновило, улучшило и полностью соблюдало правовые положения по связанным с этикой вопросам, в частности в таких направлениях, как закупки и трудоустройство персонала (см. также рекомендацию 11). В этой работе следует учитывать передовой опыт организаций системы ООН применительно к конкретным потребностям и обстоятельствам МСЭ.</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МСЭ согласен с этой рекомендацией, которая соответствует общей стратегии по вопросам этики, которую проводит руководство МСЭ и Управление по вопросам этики.</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 xml:space="preserve">Ожидается, что в вышеупомянутой </w:t>
            </w:r>
            <w:r w:rsidRPr="009851E0">
              <w:rPr>
                <w:color w:val="000000"/>
                <w:sz w:val="18"/>
                <w:szCs w:val="18"/>
                <w:lang w:val="ru-RU"/>
              </w:rPr>
              <w:t>политике противодействия мошенничеству, коррупции и другой запрещенной деятельности будут рассматриваться некоторые из элементов, определенных в этой рекомендации</w:t>
            </w:r>
            <w:r w:rsidRPr="009851E0">
              <w:rPr>
                <w:sz w:val="18"/>
                <w:szCs w:val="18"/>
                <w:lang w:val="ru-RU"/>
              </w:rPr>
              <w:t xml:space="preserve">. Окончательный проект этой политики был представлен для внесения замечаний </w:t>
            </w:r>
            <w:r w:rsidRPr="009851E0">
              <w:rPr>
                <w:color w:val="000000"/>
                <w:sz w:val="18"/>
                <w:szCs w:val="18"/>
                <w:lang w:val="ru-RU"/>
              </w:rPr>
              <w:t>Независимому консультативному комитету по управлению на его собрании в марте</w:t>
            </w:r>
            <w:r w:rsidRPr="009851E0">
              <w:rPr>
                <w:sz w:val="18"/>
                <w:szCs w:val="18"/>
                <w:lang w:val="ru-RU"/>
              </w:rPr>
              <w:t xml:space="preserve"> 2018 г., и теперь он дорабатывается для опубликования. Кроме того, Управление по вопросам этики выпустило Руководящие указания по применению существующей правовой системы к определенным конкретным ситуациям и работает с другими подразделениями для доработки обязательной программы электронного обучения в области этики</w:t>
            </w:r>
            <w:r w:rsidR="00F34DB9" w:rsidRPr="009851E0">
              <w:rPr>
                <w:sz w:val="18"/>
                <w:szCs w:val="18"/>
                <w:lang w:val="ru-RU"/>
              </w:rPr>
              <w:t>.</w:t>
            </w:r>
            <w:r w:rsidRPr="009851E0">
              <w:rPr>
                <w:sz w:val="18"/>
                <w:szCs w:val="18"/>
                <w:lang w:val="ru-RU"/>
              </w:rPr>
              <w:t xml:space="preserve"> Также рассматриваются с целью совершенствования другие аспекты правовой системы в связи с вопросами, касающимися этики, в особенности после завершения работы над вышеупомянутой политикой.</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1/2015</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Необходимо повысить точность реестра активов</w:t>
            </w:r>
          </w:p>
          <w:p w:rsidR="00F727CB" w:rsidRPr="009851E0" w:rsidRDefault="00F727CB" w:rsidP="00A04153">
            <w:pPr>
              <w:spacing w:before="40" w:after="40"/>
              <w:rPr>
                <w:sz w:val="18"/>
                <w:szCs w:val="18"/>
                <w:lang w:val="ru-RU"/>
              </w:rPr>
            </w:pPr>
            <w:r w:rsidRPr="009851E0">
              <w:rPr>
                <w:sz w:val="18"/>
                <w:szCs w:val="18"/>
                <w:lang w:val="ru-RU"/>
              </w:rPr>
              <w:t xml:space="preserve">В связи с этим </w:t>
            </w:r>
            <w:r w:rsidRPr="009851E0">
              <w:rPr>
                <w:sz w:val="18"/>
                <w:szCs w:val="18"/>
                <w:u w:val="single"/>
                <w:lang w:val="ru-RU"/>
              </w:rPr>
              <w:t>мы рекомендуем</w:t>
            </w:r>
            <w:r w:rsidRPr="009851E0">
              <w:rPr>
                <w:sz w:val="18"/>
                <w:szCs w:val="18"/>
                <w:lang w:val="ru-RU"/>
              </w:rPr>
              <w:t xml:space="preserve"> руководству приложить дополнительные усилия для учета, маркировки и капитализации находящихся в МСЭ материальных активов в целях ведения более точных записей об активах, используя для этого процедуры и процессы, которые усилят координацию между различными Департаментами.</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Секретариат продолжит предпринятые усилия для обеспечения учета всех активов в соответствующих базах данных.</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При тесном сотрудничестве между различными департаментами было обеспечено улучшение в плане согласованности данных двух модулей SAP, предназначенных для учета активов и управления оборудованием в штаб-квартире и региональных отделениях. Коме того, был выпущен служебный приказ о товарно-материальных запасах и защите оборудования МСЭ.</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Различные данные в системе оборудования SAP и в модуле SAP для управления активами теперь синхронизированы. Вместе с тем согласование данных представляет собой постоянный и регулярный вид деятельности, который будут и далее осуществлять соответствующие департаменты.</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Рек. 2/2015</w:t>
            </w:r>
          </w:p>
        </w:tc>
        <w:tc>
          <w:tcPr>
            <w:tcW w:w="332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bookmarkStart w:id="360" w:name="_Toc450991467"/>
            <w:r w:rsidRPr="009851E0">
              <w:rPr>
                <w:b/>
                <w:bCs/>
                <w:sz w:val="18"/>
                <w:szCs w:val="18"/>
                <w:lang w:val="ru-RU"/>
              </w:rPr>
              <w:t>Необходимо пересмотреть коэффициенты амортизации</w:t>
            </w:r>
            <w:bookmarkEnd w:id="360"/>
          </w:p>
          <w:p w:rsidR="00F727CB" w:rsidRPr="009851E0" w:rsidRDefault="00F727CB" w:rsidP="00A04153">
            <w:pPr>
              <w:spacing w:before="40" w:after="40"/>
              <w:rPr>
                <w:sz w:val="18"/>
                <w:szCs w:val="18"/>
                <w:lang w:val="ru-RU"/>
              </w:rPr>
            </w:pPr>
            <w:r w:rsidRPr="009851E0">
              <w:rPr>
                <w:sz w:val="18"/>
                <w:szCs w:val="18"/>
                <w:lang w:val="ru-RU"/>
              </w:rPr>
              <w:t xml:space="preserve">В связи с этим </w:t>
            </w:r>
            <w:r w:rsidRPr="009851E0">
              <w:rPr>
                <w:sz w:val="18"/>
                <w:szCs w:val="18"/>
                <w:u w:val="single"/>
                <w:lang w:val="ru-RU"/>
              </w:rPr>
              <w:t>мы рекомендуем</w:t>
            </w:r>
            <w:r w:rsidRPr="009851E0">
              <w:rPr>
                <w:sz w:val="18"/>
                <w:szCs w:val="18"/>
                <w:lang w:val="ru-RU"/>
              </w:rPr>
              <w:t xml:space="preserve"> руководству пересмотреть сроки использования различных категорий и относящиеся к ним коэффициенты амортизации в соответствии с практикой ООН. В случае уточнения категорий потребуется осуществить корректировку чистой балансовой стоимости.</w:t>
            </w:r>
          </w:p>
        </w:tc>
        <w:tc>
          <w:tcPr>
            <w:tcW w:w="354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Секретариат проведет дополнительный анализ этой рекомендации и ее возможных последствий.</w:t>
            </w:r>
          </w:p>
        </w:tc>
        <w:tc>
          <w:tcPr>
            <w:tcW w:w="367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b/>
                <w:bCs/>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Было проведено изучение вопроса о полезном сроке службы активов в сравнении с другими международными организациями, находящимися в Женеве. Рассматривается вопрос о возможных изменениях в сроках использования некоторых категорий активов, и решение о выполнении этой рекомендации связано со строительством нового здания штаб</w:t>
            </w:r>
            <w:r w:rsidRPr="009851E0">
              <w:rPr>
                <w:sz w:val="18"/>
                <w:szCs w:val="18"/>
                <w:lang w:val="ru-RU"/>
              </w:rPr>
              <w:noBreakHyphen/>
              <w:t>квартиры МСЭ.</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Отсутствует.</w:t>
            </w:r>
          </w:p>
        </w:tc>
        <w:tc>
          <w:tcPr>
            <w:tcW w:w="25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Рек. 3/2015</w:t>
            </w: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bookmarkStart w:id="361" w:name="_Toc452157309"/>
            <w:bookmarkStart w:id="362" w:name="_Toc452158632"/>
            <w:r w:rsidRPr="009851E0">
              <w:rPr>
                <w:b/>
                <w:bCs/>
                <w:sz w:val="18"/>
                <w:szCs w:val="18"/>
                <w:lang w:val="ru-RU"/>
              </w:rPr>
              <w:t>Стоит осуществить дальнейшее внедрение "управления материальными активами"</w:t>
            </w:r>
            <w:bookmarkEnd w:id="361"/>
            <w:bookmarkEnd w:id="362"/>
          </w:p>
          <w:p w:rsidR="00F727CB" w:rsidRPr="009851E0" w:rsidRDefault="00F727CB" w:rsidP="00A04153">
            <w:pPr>
              <w:spacing w:before="40" w:after="40"/>
              <w:rPr>
                <w:sz w:val="18"/>
                <w:szCs w:val="18"/>
                <w:lang w:val="ru-RU"/>
              </w:rPr>
            </w:pPr>
            <w:r w:rsidRPr="009851E0">
              <w:rPr>
                <w:sz w:val="18"/>
                <w:szCs w:val="18"/>
                <w:lang w:val="ru-RU"/>
              </w:rPr>
              <w:t xml:space="preserve">Мы считаем, что необходимо дальнейшее совершенствование системы управления активами, и поэтому </w:t>
            </w:r>
            <w:r w:rsidRPr="009851E0">
              <w:rPr>
                <w:sz w:val="18"/>
                <w:szCs w:val="18"/>
                <w:u w:val="single"/>
                <w:lang w:val="ru-RU"/>
              </w:rPr>
              <w:t>мы рекомендуем</w:t>
            </w:r>
            <w:r w:rsidRPr="009851E0">
              <w:rPr>
                <w:sz w:val="18"/>
                <w:szCs w:val="18"/>
                <w:lang w:val="ru-RU"/>
              </w:rPr>
              <w:t xml:space="preserve"> руководству: i) рассмотреть осуществимость оценки статуса и уровня использования активов; ii) периодически отслеживать моральное устаревание объектов, в том числе для оценки точности реестра активов; iii) распространить эти процессы и процедуры на все департаменты и региональные отделения МСЭ. </w:t>
            </w: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 xml:space="preserve">Секретариат проведет дополнительный анализ этой рекомендации и представит внешним аудиторам отчет о своих выводах и заключениях. </w:t>
            </w: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rFonts w:ascii="Arial Narrow" w:hAnsi="Arial Narrow"/>
                <w:sz w:val="20"/>
                <w:lang w:val="ru-RU" w:eastAsia="it-IT"/>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В 2016 г. в целях обновления учетных записей было проведено подробное изучение уровня использования активов находящихся в распоряжении сотрудников МСЭ, которое позволило выявить в значительных объемах устаревшее оборудование. Готовятся новые процедуры управления оборудованием и его защиты в штаб-квартире и региональных отделениях.</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В 2017 г. Было завершено подробное исследование активов, за которые отвечает персонал МСЭ. В сентябре 2017 г. Был опубликован новый служебный приказ № 17/10, в котором определяются условия закупок, замены и перераспределения оборудования ИТ, а также процесса доставки и восстановления.</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Выполнено.</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Рек. 4/2015</w:t>
            </w: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 xml:space="preserve">С учетом цели оценки в соответствии с требованиями IPSAS 25, а также указаний, приведенных в пунктах 92–94 этого стандарта, </w:t>
            </w:r>
            <w:r w:rsidRPr="009851E0">
              <w:rPr>
                <w:sz w:val="18"/>
                <w:szCs w:val="18"/>
                <w:u w:val="single"/>
                <w:lang w:val="ru-RU"/>
              </w:rPr>
              <w:t>мы рекомендуем</w:t>
            </w:r>
            <w:r w:rsidRPr="009851E0">
              <w:rPr>
                <w:sz w:val="18"/>
                <w:szCs w:val="18"/>
                <w:lang w:val="ru-RU"/>
              </w:rPr>
              <w:t xml:space="preserve"> руководству в будущем просить актуария использовать ставку дисконтирования, равную доходности государственных долгосрочных облигаций Швейцарии.</w:t>
            </w: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 xml:space="preserve">Руководство принимает к сведению данную рекомендацию и обсудит этот вопрос с назначенным актуарием, с тем чтобы определить наиболее целесообразный подход с учетом передового опыта организаций системы ООН. </w:t>
            </w: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В соответствии с предложением о представлении заявок был выбран новый актуарий. Данная тема была обсуждена с ним с учетом рекомендации, разработанной Рабочей группой по вопросам АСХИ и представленной Генеральной Ассамблее в декабре. Эта рекомендация была разработана на основе результатов работы Целевой группы ООН по IPSAS, которая, в принципе, приняла решение о том, что показатели доходности за тридцатилетний период высококачественных корпоративных облигаций будут ежегодно определяться для каждой из трех валют, в которых выплачиваются в подавляющем большинстве случаев пособия по медицинскому страхованию, т. е. для долларов США, евро и швейцарских франков.</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 xml:space="preserve">В соответствии с рекомендацией о согласовании, которая обсуждалась в </w:t>
            </w:r>
            <w:r w:rsidRPr="009851E0">
              <w:rPr>
                <w:color w:val="000000"/>
                <w:sz w:val="18"/>
                <w:szCs w:val="18"/>
                <w:lang w:val="ru-RU"/>
              </w:rPr>
              <w:t>Целевой группе ООН по IPSAS, для оценки в 2017 г. использовались показатели доходности за тридцатилетний период высококачественных корпоративных облигаций в швейцарских франках</w:t>
            </w:r>
            <w:r w:rsidRPr="009851E0">
              <w:rPr>
                <w:sz w:val="18"/>
                <w:szCs w:val="18"/>
                <w:lang w:val="ru-RU"/>
              </w:rPr>
              <w:t>.</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Рек. 3/2014</w:t>
            </w: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u w:val="single"/>
                <w:lang w:val="ru-RU"/>
              </w:rPr>
              <w:t>Мы рекомендуем</w:t>
            </w:r>
            <w:r w:rsidRPr="009851E0">
              <w:rPr>
                <w:sz w:val="18"/>
                <w:szCs w:val="18"/>
                <w:lang w:val="ru-RU"/>
              </w:rPr>
              <w:t xml:space="preserve"> руководству провести полное актуарное экспертное исследование для оценки того, когда, при долгосрочном сценарии, финансовая стабильность МСЭ могла бы быть ослаблена резервными фондами для системы медицинского страхования. Однако, с учетом продолжающегося перехода на новую систему, данное исследование должно быть проведено после выхода из ФМСП и получения в рамках ПКМС данных в достаточном объеме, то есть не раньше конца 2016 года. Данная рекомендация заменяет предыдущие рекомендации 6/2012 и 3/2013, которые считаются выполненными.</w:t>
            </w: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Эта рекомендация принимается к сведению. В соответствии с рекомендацией будет проведено полное актуарное исследование.</w:t>
            </w: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соответствии с рекомендацией в конце 2016 года будет проведено полное актуарное исследование на основе данных и результатов, представленных в "Плане коллективного медицинского страхования (ПКМС)".</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января 2016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Требование о проведении этого исследования будет включено в основное актуарное исследование, касающееся IPSAS 25 (рек. 2/2014).</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Были отобраны новые актуарии для проведения полного актуарного исследования системы медицинского страхования. Результаты полного исследования будут представлены в середине 2017 г.</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декабрь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Обсуждения с актуарием уже начались, и окончательный результат полного актуарного исследования должен быть направлен в МСЭ в начале следующего года для представления следующей сессии Совета посредством документа по обязательствам по медицинскому страхованию после выхода в отставку (АСХИ).</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Заключительное обсуждение для представления результатов по различным сценариям пройдет в мае 2018 г.</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Рек. 4/2014</w:t>
            </w: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sz w:val="18"/>
                <w:szCs w:val="18"/>
                <w:lang w:val="ru-RU"/>
              </w:rPr>
              <w:t xml:space="preserve">В связи с необходимостью принятия корректирующих мер эти факторы могут быть рассмотрены Советом: </w:t>
            </w:r>
            <w:r w:rsidRPr="009851E0">
              <w:rPr>
                <w:sz w:val="18"/>
                <w:szCs w:val="18"/>
                <w:u w:val="single"/>
                <w:lang w:val="ru-RU"/>
              </w:rPr>
              <w:t>мы рекомендуем</w:t>
            </w:r>
            <w:r w:rsidRPr="009851E0">
              <w:rPr>
                <w:sz w:val="18"/>
                <w:szCs w:val="18"/>
                <w:lang w:val="ru-RU"/>
              </w:rPr>
              <w:t xml:space="preserve"> руководству контролировать эти факторы и обеспечить достаточное финансирование на распределительной и долгосрочной основе. </w:t>
            </w: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Финансирование медицинского страхования на распределительной основе, а также финансирование актуарных обязательств по АСХИ имеет важнейшее значение для Союза и тщательно контролируется. Указанные выше факторы были учтены среди прочих факторов при планировании перехода на ПКМС и составлении бюджета на 2014−2015 годы, финансового плана на 2016−2019 годы, а также бюджета на 2016−2017 годы, который будет представлен в ходе сессии Совета 2015 года. Постоянный контроль результатов ПКМС в сочетании с регулярным упреждающим взаимодействием со всеми заинтересованными сторонами и своевременно предлагаемыми корректировками и решениями обеспечит возможность финансирования на распределительной основе.</w:t>
            </w: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Руководство следует этой рекомендации и тщательно контролирует различные факторы для обеспечения прочной финансовой стабильности МСЭ.</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Руководство продолжает тщательно контролировать факторы и проведет их анализ и корректировку на основе результатов глобального актуарного исследования, заершенного в конце 2016 г. Руководство МСЭ ежегодно представляет ситуацию с обязательствами по медицинскому страхованию после выхода в отставку (АСХИ). МСЭ будет продолжать уделять внимание сдерживанию затрат с помощью поставщика услуг и предложил увеличить свою долю взносов и долю взносов членов ПКМС в бюджете 2016−2017 гг., для того чтобы обеспечить финансирование медицинского страхования на распределительной основе. Кроме того, МСЭ, по возможности, продолжит финансирование резерва АСХИ, исходя из превышения доходов над расходами бюджета.</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декабрь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В рамках полного актуарного исследования все факторы тщательно изучаются и контролируются. Их долгосрочное воздействие будет рассчитываться на основе различных допущений. Наряду с этим МСЭ будет и далее финансировать резерв АСХИ в зависимости от итогов выполнения бюджета.</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МСЭ будет и далее финансировать резерв АСХИ в зависимости от итогов выполнения бюджета, а также в рамках утвержденных бюджетных ассигнований.</w:t>
            </w:r>
          </w:p>
          <w:p w:rsidR="00F727CB" w:rsidRPr="009851E0" w:rsidRDefault="00F727CB" w:rsidP="00A04153">
            <w:pPr>
              <w:spacing w:before="40" w:after="40"/>
              <w:rPr>
                <w:sz w:val="18"/>
                <w:szCs w:val="18"/>
                <w:lang w:val="ru-RU"/>
              </w:rPr>
            </w:pPr>
            <w:r w:rsidRPr="009851E0">
              <w:rPr>
                <w:sz w:val="18"/>
                <w:szCs w:val="18"/>
                <w:lang w:val="ru-RU"/>
              </w:rPr>
              <w:t>На основании результатов полного актуарного исследования МСЭ рассмотрит основные факторы для обеспечения устойчивости плана.</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Рек. 3/2012</w:t>
            </w: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"Право суперфиция"</w:t>
            </w:r>
          </w:p>
          <w:p w:rsidR="00F727CB" w:rsidRPr="009851E0" w:rsidRDefault="00F727CB" w:rsidP="00A04153">
            <w:pPr>
              <w:spacing w:before="40" w:after="40"/>
              <w:rPr>
                <w:sz w:val="18"/>
                <w:szCs w:val="18"/>
                <w:lang w:val="ru-RU"/>
              </w:rPr>
            </w:pPr>
            <w:r w:rsidRPr="009851E0">
              <w:rPr>
                <w:sz w:val="18"/>
                <w:szCs w:val="18"/>
                <w:lang w:val="ru-RU"/>
              </w:rPr>
              <w:t>С учетом того, что важно и в интересах МСЭ продлить "право суперфиция", предоставленное МСЭ администрацией Женевы с 1967 года, мы рекомендовали руководству как можно скорее начать переговоры по этому вопросу с компетентными органами власти принимающей страны.</w:t>
            </w: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январе 2013 года Советник по правовым вопросам уже установил контакт с компетентными органами власти принимающей страны в целях начала процесса переговоров.</w:t>
            </w: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 xml:space="preserve">Компетентные органы власти принимающей страны в принципе поддержали просьбу МСЭ и подтвердили свою заинтересованность, а также то, что дальнейшее развитие событий будет зависеть от решений, связанных с заменой здания "Варембе", обсуждение которых в настоящее время продолжается. </w:t>
            </w:r>
          </w:p>
          <w:p w:rsidR="00F727CB" w:rsidRPr="009851E0" w:rsidRDefault="00F727CB" w:rsidP="00A04153">
            <w:pPr>
              <w:spacing w:before="40" w:after="40"/>
              <w:rPr>
                <w:sz w:val="18"/>
                <w:szCs w:val="18"/>
                <w:lang w:val="ru-RU"/>
              </w:rPr>
            </w:pPr>
            <w:r w:rsidRPr="009851E0">
              <w:rPr>
                <w:sz w:val="18"/>
                <w:szCs w:val="18"/>
                <w:lang w:val="ru-RU"/>
              </w:rPr>
              <w:t>ПК-14 приняла решение создать рабочую группу Совета. Эта РГС при поддержке со стороны Секретариата изучит состояние помещений штаб-квартиры Союза и продолжит анализ вариантов, представленных до настоящего времени, и любых других предложений Государств-Членов для обеспечения взвешенного подхода к размещению помещений в долгосрочной перспективе, с тем чтобы подготовить рекомендацию для Совета. Первое собрание РГС состоялось 28 января 2015 г.</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января 2016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Работа РГС по вариантам помещений штаб</w:t>
            </w:r>
            <w:r w:rsidRPr="009851E0">
              <w:rPr>
                <w:sz w:val="18"/>
                <w:szCs w:val="18"/>
                <w:lang w:val="ru-RU"/>
              </w:rPr>
              <w:noBreakHyphen/>
              <w:t xml:space="preserve">квартиры Союза в долгосрочной перспективе все еще продолжается. Второе собрание РГС было проведено 28 сентября 2015 г. </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blPrEx>
          <w:jc w:val="center"/>
        </w:tblPrEx>
        <w:trPr>
          <w:cantSplit/>
          <w:jc w:val="center"/>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Совет в соответствии со своим Решением 588 постановил заменить здание МСЭ "Варембе" новым строением, которое также будет включать служебные и иные функциональные помещения здания "Башня", и дополнить здание "Монбрийан". В связи с этим будет необходимо вновь провести переговоры с властями Швейцарии по вопросу о "праве суперфиция", которым в настоящее время МСЭ может пользоваться до 2079 г. в отношении всех своих строений. Вместе с тем власти Швейцарии уже заверили МСЭ в том, что условия, предоставленные МСЭ в настоящее время, не могут быть пересмотрены в сторону сокращения и что предельный срок до 2079 г. не будет поставлен под сомнение ни при каких обстоятельствах. В начале 2017 г. будет учреждена рабочая группа в составе представителей МСЭ, кантона Женевы (землевладелец), Швейцарской Конфедерации и ФИПОИ для обсуждения конкретного вопроса о "праве суперфиция".</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bookmarkStart w:id="363" w:name="_Hlk515455921"/>
            <w:r w:rsidRPr="009851E0">
              <w:rPr>
                <w:sz w:val="18"/>
                <w:szCs w:val="18"/>
                <w:lang w:val="ru-RU"/>
              </w:rPr>
              <w:t>Рабочая группа МСЭ/принимающей страны по "праву суперфиция" провела первое собрание 15 ноября 2017</w:t>
            </w:r>
            <w:bookmarkEnd w:id="363"/>
            <w:r w:rsidRPr="009851E0">
              <w:rPr>
                <w:sz w:val="18"/>
                <w:szCs w:val="18"/>
                <w:lang w:val="ru-RU"/>
              </w:rPr>
              <w:t> г. Обсуждались следующие элементы:</w:t>
            </w:r>
          </w:p>
          <w:p w:rsidR="00F727CB" w:rsidRPr="009851E0" w:rsidRDefault="00F727CB" w:rsidP="00A04153">
            <w:pPr>
              <w:spacing w:before="40" w:after="40"/>
              <w:rPr>
                <w:sz w:val="18"/>
                <w:szCs w:val="18"/>
                <w:lang w:val="ru-RU"/>
              </w:rPr>
            </w:pPr>
            <w:r w:rsidRPr="009851E0">
              <w:rPr>
                <w:sz w:val="18"/>
                <w:szCs w:val="18"/>
                <w:lang w:val="ru-RU"/>
              </w:rPr>
              <w:t>1) распределение земельного участка, на которое, по договоренности, не должно оказать воздействие строительство нового здания;</w:t>
            </w:r>
          </w:p>
          <w:p w:rsidR="00F727CB" w:rsidRPr="009851E0" w:rsidRDefault="00F727CB" w:rsidP="00A04153">
            <w:pPr>
              <w:spacing w:before="40" w:after="40"/>
              <w:rPr>
                <w:sz w:val="18"/>
                <w:szCs w:val="18"/>
                <w:lang w:val="ru-RU"/>
              </w:rPr>
            </w:pPr>
            <w:r w:rsidRPr="009851E0">
              <w:rPr>
                <w:sz w:val="18"/>
                <w:szCs w:val="18"/>
                <w:lang w:val="ru-RU"/>
              </w:rPr>
              <w:t xml:space="preserve">2) предоставление представителями принимающей страны "права суперфиция", применимого в соответствии с недавно принятым швейцарским законом. </w:t>
            </w:r>
          </w:p>
          <w:p w:rsidR="00F727CB" w:rsidRPr="009851E0" w:rsidRDefault="00F727CB" w:rsidP="00A04153">
            <w:pPr>
              <w:spacing w:before="40" w:after="40"/>
              <w:rPr>
                <w:sz w:val="18"/>
                <w:szCs w:val="18"/>
                <w:lang w:val="ru-RU"/>
              </w:rPr>
            </w:pPr>
            <w:r w:rsidRPr="009851E0">
              <w:rPr>
                <w:sz w:val="18"/>
                <w:szCs w:val="18"/>
                <w:lang w:val="ru-RU"/>
              </w:rPr>
              <w:t>МСЭ уже получил подтверждение того, что существующая продолжительность применения "права суперфиция" не будет подвергаться сомнению (до 2079 г.), несмотря на новые нормы, которые ограничивают продолжительность действия права максимум 50 годами.</w:t>
            </w:r>
          </w:p>
          <w:p w:rsidR="00F727CB" w:rsidRPr="009851E0" w:rsidRDefault="00F727CB" w:rsidP="00A04153">
            <w:pPr>
              <w:spacing w:before="40" w:after="40"/>
              <w:rPr>
                <w:sz w:val="18"/>
                <w:szCs w:val="18"/>
                <w:lang w:val="ru-RU"/>
              </w:rPr>
            </w:pPr>
            <w:r w:rsidRPr="009851E0">
              <w:rPr>
                <w:sz w:val="18"/>
                <w:szCs w:val="18"/>
                <w:lang w:val="ru-RU"/>
              </w:rPr>
              <w:t>МСЭ также получил подтверждение того, что основные элементы права, такие, например, как безвозмездная рента, не будут подвергаться сомнению.</w:t>
            </w:r>
          </w:p>
          <w:p w:rsidR="00F727CB" w:rsidRPr="009851E0" w:rsidRDefault="00F727CB" w:rsidP="00A04153">
            <w:pPr>
              <w:spacing w:before="40" w:after="40"/>
              <w:rPr>
                <w:sz w:val="18"/>
                <w:szCs w:val="18"/>
                <w:lang w:val="ru-RU"/>
              </w:rPr>
            </w:pPr>
            <w:r w:rsidRPr="009851E0">
              <w:rPr>
                <w:sz w:val="18"/>
                <w:szCs w:val="18"/>
                <w:lang w:val="ru-RU"/>
              </w:rPr>
              <w:t>3) Принимающей страной была составлена модель контракта на "право суперфиция". Эта модель вскоре будет направлена в МСЭ для анализа и замечаний. Представители принимающей страны подтвердили, что готовы обсуждать положения модели.</w:t>
            </w:r>
          </w:p>
          <w:p w:rsidR="00F727CB" w:rsidRPr="009851E0" w:rsidRDefault="00F727CB" w:rsidP="00A04153">
            <w:pPr>
              <w:spacing w:before="40" w:after="40"/>
              <w:rPr>
                <w:sz w:val="18"/>
                <w:szCs w:val="18"/>
                <w:lang w:val="ru-RU"/>
              </w:rPr>
            </w:pPr>
            <w:r w:rsidRPr="009851E0">
              <w:rPr>
                <w:sz w:val="18"/>
                <w:szCs w:val="18"/>
                <w:lang w:val="ru-RU"/>
              </w:rPr>
              <w:t>4) В идеале проект контракта на "право суперфиция" должен быть доработан к октябрю 2018 г.</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p>
        </w:tc>
      </w:tr>
      <w:tr w:rsidR="00F727CB" w:rsidRPr="009851E0" w:rsidTr="00A04153">
        <w:tblPrEx>
          <w:jc w:val="center"/>
        </w:tblPrEx>
        <w:trPr>
          <w:cantSplit/>
          <w:jc w:val="center"/>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Рек. 4/2012</w:t>
            </w: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Учет активов в реестре</w:t>
            </w:r>
          </w:p>
          <w:p w:rsidR="00F727CB" w:rsidRPr="009851E0" w:rsidRDefault="00F727CB" w:rsidP="00A04153">
            <w:pPr>
              <w:spacing w:before="40" w:after="40"/>
              <w:rPr>
                <w:sz w:val="18"/>
                <w:szCs w:val="18"/>
                <w:lang w:val="ru-RU"/>
              </w:rPr>
            </w:pPr>
            <w:r w:rsidRPr="009851E0">
              <w:rPr>
                <w:sz w:val="18"/>
                <w:szCs w:val="18"/>
                <w:lang w:val="ru-RU"/>
              </w:rPr>
              <w:t>[…] мы провели проверку наличных запасов по некоторым категориям основного капитала на основе выборки предметов мебели и оборудования ИТ и отследили их в счетах. Мы заметили, что ответственные лица МСЭ из Отдела административно-хозяйственного управления (Департамент HRMD) в ходе проверки наличных запасов на конец года не обнаружили некоторых активов (около 0,73% от стоимости приобретения соответствующих активов). Мы в курсе того, что при контроле было обнаружено, что часть этих активов в конце года не была найдена, но, тем не менее, мы рекомендовали руководству продолжить изучение этого вопроса и списать предметы, которые не будут обнаружены в течение 2013 года.</w:t>
            </w: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Я дам FRMD поручение координировать свою работу с Отделом административно-хозяйственного управления, с тем чтобы продолжить в 2013 году эти усилия, и представлю пояснения по поводу существования и порядка действий в отношении позиций, которые не были охвачены при проверке запасов.</w:t>
            </w: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 xml:space="preserve">Процесс выявления и определения местонахождения и/или списания активов, не обнаруженных в ходе проверки запасов, был начат в прошлых годах и продолжается согласно плану. </w:t>
            </w:r>
          </w:p>
          <w:p w:rsidR="00F727CB" w:rsidRPr="009851E0" w:rsidRDefault="00F727CB" w:rsidP="00A04153">
            <w:pPr>
              <w:spacing w:before="40" w:after="40"/>
              <w:rPr>
                <w:sz w:val="18"/>
                <w:szCs w:val="18"/>
                <w:lang w:val="ru-RU"/>
              </w:rPr>
            </w:pPr>
            <w:r w:rsidRPr="009851E0">
              <w:rPr>
                <w:b/>
                <w:bCs/>
                <w:sz w:val="18"/>
                <w:szCs w:val="18"/>
                <w:lang w:val="ru-RU"/>
              </w:rPr>
              <w:t>В конце 2014 года</w:t>
            </w:r>
            <w:r w:rsidRPr="009851E0">
              <w:rPr>
                <w:sz w:val="18"/>
                <w:szCs w:val="18"/>
                <w:lang w:val="ru-RU"/>
              </w:rPr>
              <w:t xml:space="preserve"> стоимость необнаруженных активов существенно сократилась: на 83% по сравнению с 2012 г. </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января 2016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Уровень выявления активов, которые не были обнаружены, станет известен по завершении инвентаризации наличных запасов 31 декабря 2015 г.</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По состоянию на 31 декабря 2016 г. ситуация с возвращенными активами улучшилась по сравнению с 2014 г. и предыдущими годами. Аналогичные действия предпринимались в течение 2016 г. Для сравнения, стоимость активов, не найденных, по состоянию на 31 декабря 2012 г., составляла 392 744 шв. фр. по сравнению с 22 024 шв. фр., по состоянию на 31 декабря 2016 г.</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Стоимость активов, которые не были обнаружены к 31 декабря 2017 г., составила 29 792 шв. фр., из которых 3901 шв. фр. относятся к периоду 2016 г.</w:t>
            </w:r>
          </w:p>
          <w:p w:rsidR="00F727CB" w:rsidRPr="009851E0" w:rsidRDefault="00F727CB" w:rsidP="00A04153">
            <w:pPr>
              <w:spacing w:before="40" w:after="40"/>
              <w:rPr>
                <w:sz w:val="18"/>
                <w:szCs w:val="18"/>
                <w:lang w:val="ru-RU"/>
              </w:rPr>
            </w:pPr>
            <w:r w:rsidRPr="009851E0">
              <w:rPr>
                <w:sz w:val="18"/>
                <w:szCs w:val="18"/>
                <w:lang w:val="ru-RU"/>
              </w:rPr>
              <w:t>В 2018 финансовом году продолжатся поиски для возвращения возможно большего числа потерянных активов.</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blPrEx>
          <w:jc w:val="center"/>
        </w:tblPrEx>
        <w:trPr>
          <w:trHeight w:val="2423"/>
          <w:jc w:val="center"/>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keepNext/>
              <w:keepLines/>
              <w:spacing w:before="40" w:after="40"/>
              <w:rPr>
                <w:b/>
                <w:bCs/>
                <w:sz w:val="18"/>
                <w:szCs w:val="18"/>
                <w:lang w:val="ru-RU"/>
              </w:rPr>
            </w:pPr>
            <w:r w:rsidRPr="009851E0">
              <w:rPr>
                <w:b/>
                <w:bCs/>
                <w:sz w:val="18"/>
                <w:szCs w:val="18"/>
                <w:lang w:val="ru-RU"/>
              </w:rPr>
              <w:t>Рек. 10/2012</w:t>
            </w: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Перевод в цифровую форму досье сотрудников</w:t>
            </w:r>
          </w:p>
          <w:p w:rsidR="00F727CB" w:rsidRPr="009851E0" w:rsidRDefault="00F727CB" w:rsidP="00A04153">
            <w:pPr>
              <w:spacing w:before="40" w:after="40"/>
              <w:rPr>
                <w:sz w:val="18"/>
                <w:szCs w:val="18"/>
                <w:lang w:val="ru-RU"/>
              </w:rPr>
            </w:pPr>
            <w:r w:rsidRPr="009851E0">
              <w:rPr>
                <w:sz w:val="18"/>
                <w:szCs w:val="18"/>
                <w:lang w:val="ru-RU"/>
              </w:rPr>
              <w:t>Хотя проведенный нами анализ соответствия данных, введенных в систему ИТ, с досье сотрудников не выявил каких-либо серьезных проблем, мы рекомендовали руководству начать оценку экономической эффективности перевода в цифровую форму досье сотрудников не только для предотвращения потери важных данных в результате случайного события, но и для обеспечения прямого интерфейса между досье сотрудников с SAP HR.</w:t>
            </w: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Я принимаю к сведению данную рекомендацию и сообщаю вам, что департамент HRMD изучает эту возможность.</w:t>
            </w: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Подробный концептуальный проект (DBBP) системы электронных личных дел сотрудников (ведения цифровых личных дел) был составлен 19 апреля 2013 г.</w:t>
            </w:r>
          </w:p>
          <w:p w:rsidR="00F727CB" w:rsidRPr="009851E0" w:rsidRDefault="00F727CB" w:rsidP="00A04153">
            <w:pPr>
              <w:spacing w:before="40" w:after="40"/>
              <w:rPr>
                <w:sz w:val="18"/>
                <w:szCs w:val="18"/>
                <w:lang w:val="ru-RU"/>
              </w:rPr>
            </w:pPr>
            <w:r w:rsidRPr="009851E0">
              <w:rPr>
                <w:sz w:val="18"/>
                <w:szCs w:val="18"/>
                <w:lang w:val="ru-RU"/>
              </w:rPr>
              <w:t xml:space="preserve">Этот DBBP включает бизнес-процессы HRAD (служба E&amp;B) и отображение структуры личного дела сотрудника (в бумажном виде). Эта система связана с SAP-ERP_HCM. </w:t>
            </w:r>
          </w:p>
          <w:p w:rsidR="00F727CB" w:rsidRPr="009851E0" w:rsidRDefault="00F727CB" w:rsidP="00A04153">
            <w:pPr>
              <w:spacing w:before="40" w:after="40"/>
              <w:rPr>
                <w:b/>
                <w:bCs/>
                <w:sz w:val="18"/>
                <w:szCs w:val="18"/>
                <w:lang w:val="ru-RU"/>
              </w:rPr>
            </w:pPr>
            <w:r w:rsidRPr="009851E0">
              <w:rPr>
                <w:b/>
                <w:bCs/>
                <w:sz w:val="18"/>
                <w:szCs w:val="18"/>
                <w:lang w:val="ru-RU"/>
              </w:rPr>
              <w:t>Обновление, по состоянию на конец января 2015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 xml:space="preserve">Завершен первый этап создания этого инструмента. Система электронных личных дел сотрудников (ведения цифровых личных дел) теперь действует. </w:t>
            </w:r>
          </w:p>
          <w:p w:rsidR="00F727CB" w:rsidRPr="009851E0" w:rsidRDefault="00F727CB" w:rsidP="00A04153">
            <w:pPr>
              <w:keepNext/>
              <w:keepLines/>
              <w:spacing w:before="40" w:after="40"/>
              <w:rPr>
                <w:sz w:val="18"/>
                <w:szCs w:val="18"/>
                <w:lang w:val="ru-RU"/>
              </w:rPr>
            </w:pPr>
            <w:r w:rsidRPr="009851E0">
              <w:rPr>
                <w:sz w:val="18"/>
                <w:szCs w:val="18"/>
                <w:lang w:val="ru-RU"/>
              </w:rPr>
              <w:t>Следующий этап работы, касающийся HRAD (служба E&amp;B), посвящен, в основном, двум следующим различным тенденциям:</w:t>
            </w:r>
          </w:p>
          <w:p w:rsidR="00F727CB" w:rsidRPr="009851E0" w:rsidRDefault="00F727CB" w:rsidP="00A04153">
            <w:pPr>
              <w:keepNext/>
              <w:keepLines/>
              <w:spacing w:before="40" w:after="40"/>
              <w:rPr>
                <w:sz w:val="18"/>
                <w:szCs w:val="18"/>
                <w:lang w:val="ru-RU"/>
              </w:rPr>
            </w:pPr>
            <w:r w:rsidRPr="009851E0">
              <w:rPr>
                <w:sz w:val="18"/>
                <w:szCs w:val="18"/>
                <w:lang w:val="ru-RU"/>
              </w:rPr>
              <w:t>1) сокращение ранее существовавших мест для хранения (шкафы, компьютеризованные справочники) для перенаправления потоков архивных документов в новую систему электронных личных дел;</w:t>
            </w:r>
          </w:p>
          <w:p w:rsidR="00F727CB" w:rsidRPr="009851E0" w:rsidRDefault="00F727CB" w:rsidP="00A04153">
            <w:pPr>
              <w:keepNext/>
              <w:keepLines/>
              <w:spacing w:before="40" w:after="40"/>
              <w:rPr>
                <w:sz w:val="18"/>
                <w:szCs w:val="18"/>
                <w:lang w:val="ru-RU"/>
              </w:rPr>
            </w:pPr>
            <w:r w:rsidRPr="009851E0">
              <w:rPr>
                <w:sz w:val="18"/>
                <w:szCs w:val="18"/>
                <w:lang w:val="ru-RU"/>
              </w:rPr>
              <w:t>2) сокращение числа бумажных документов в результате пересмотра методов работы (повторение, дублирование, ненужные распечатки и т. д.). Всегда будут существовать бумажные документы, так как по юридическим причинам должны храниться подписанные оригиналы документов, а также для удостоверения точности информации, занесенной в SAP</w:t>
            </w:r>
            <w:r w:rsidRPr="009851E0">
              <w:rPr>
                <w:sz w:val="18"/>
                <w:szCs w:val="18"/>
                <w:lang w:val="ru-RU"/>
              </w:rPr>
              <w:noBreakHyphen/>
              <w:t>ERP_HCM.</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E65E97" w:rsidTr="00A04153">
        <w:tblPrEx>
          <w:jc w:val="center"/>
        </w:tblPrEx>
        <w:trPr>
          <w:trHeight w:val="2423"/>
          <w:jc w:val="center"/>
        </w:trPr>
        <w:tc>
          <w:tcPr>
            <w:tcW w:w="1493"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keepNext/>
              <w:keepLines/>
              <w:spacing w:before="40" w:after="40"/>
              <w:rPr>
                <w:b/>
                <w:bCs/>
                <w:sz w:val="18"/>
                <w:szCs w:val="18"/>
                <w:lang w:val="ru-RU"/>
              </w:rPr>
            </w:pPr>
          </w:p>
        </w:tc>
        <w:tc>
          <w:tcPr>
            <w:tcW w:w="3322"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p>
        </w:tc>
        <w:tc>
          <w:tcPr>
            <w:tcW w:w="354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p>
        </w:tc>
        <w:tc>
          <w:tcPr>
            <w:tcW w:w="3674"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keepNext/>
              <w:keepLines/>
              <w:spacing w:before="40" w:after="40"/>
              <w:rPr>
                <w:sz w:val="18"/>
                <w:szCs w:val="18"/>
                <w:lang w:val="ru-RU"/>
              </w:rPr>
            </w:pPr>
            <w:r w:rsidRPr="009851E0">
              <w:rPr>
                <w:b/>
                <w:bCs/>
                <w:sz w:val="18"/>
                <w:szCs w:val="18"/>
                <w:lang w:val="ru-RU"/>
              </w:rPr>
              <w:t>Обновление, по состоянию на конец января 2016 г</w:t>
            </w:r>
            <w:r w:rsidRPr="009851E0">
              <w:rPr>
                <w:sz w:val="18"/>
                <w:szCs w:val="18"/>
                <w:lang w:val="ru-RU"/>
              </w:rPr>
              <w:t>.</w:t>
            </w:r>
          </w:p>
          <w:p w:rsidR="00F727CB" w:rsidRPr="009851E0" w:rsidRDefault="00F727CB" w:rsidP="00A04153">
            <w:pPr>
              <w:keepNext/>
              <w:keepLines/>
              <w:spacing w:before="40" w:after="40"/>
              <w:rPr>
                <w:sz w:val="18"/>
                <w:szCs w:val="18"/>
                <w:lang w:val="ru-RU"/>
              </w:rPr>
            </w:pPr>
            <w:r w:rsidRPr="009851E0">
              <w:rPr>
                <w:sz w:val="18"/>
                <w:szCs w:val="18"/>
                <w:lang w:val="ru-RU"/>
              </w:rPr>
              <w:t>Осуществляется перевод в цифровую форму. HRMD проводит фундаментальный анализ всех своих процедур и потока документов, с тем чтобы создать инфраструктуру централизованного, организованного и безопасного управления электронной информацией в поддержку предоставления услуг HR.</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Этот проект все еще находится на этапе осуществления. Как и прогнозировалось, его реализацией занимается один сотрудник Департамента HRM.</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Завершена подготовительная работа для перевода данных. В то же время требуются дальнейшие обсуждения с Департаментом IS для внедрения надежной архитектуры и системы управления информацией, в том числе возможности установления связи с системой SAP-HR ERP.</w:t>
            </w:r>
          </w:p>
        </w:tc>
        <w:tc>
          <w:tcPr>
            <w:tcW w:w="2526" w:type="dxa"/>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p>
        </w:tc>
      </w:tr>
    </w:tbl>
    <w:p w:rsidR="00F727CB" w:rsidRPr="009851E0" w:rsidRDefault="00F727CB" w:rsidP="00F727CB">
      <w:pPr>
        <w:rPr>
          <w:lang w:val="ru-RU"/>
        </w:rPr>
      </w:pPr>
      <w:r w:rsidRPr="009851E0">
        <w:rPr>
          <w:lang w:val="ru-RU"/>
        </w:rPr>
        <w:br w:type="page"/>
      </w:r>
    </w:p>
    <w:p w:rsidR="00F727CB" w:rsidRPr="009851E0" w:rsidRDefault="00F727CB" w:rsidP="009E5698">
      <w:pPr>
        <w:pStyle w:val="AnnexNo"/>
        <w:rPr>
          <w:lang w:val="ru-RU"/>
        </w:rPr>
      </w:pPr>
      <w:bookmarkStart w:id="364" w:name="_Приложение_II"/>
      <w:bookmarkStart w:id="365" w:name="_Toc418501349"/>
      <w:bookmarkStart w:id="366" w:name="_Toc418861210"/>
      <w:bookmarkStart w:id="367" w:name="_Toc450158134"/>
      <w:bookmarkStart w:id="368" w:name="_Toc450323565"/>
      <w:bookmarkStart w:id="369" w:name="_Toc450991504"/>
      <w:bookmarkStart w:id="370" w:name="_Toc452157346"/>
      <w:bookmarkStart w:id="371" w:name="_Toc482995220"/>
      <w:bookmarkEnd w:id="364"/>
      <w:r w:rsidRPr="009851E0">
        <w:rPr>
          <w:lang w:val="ru-RU"/>
        </w:rPr>
        <w:t>Приложение II</w:t>
      </w:r>
      <w:bookmarkEnd w:id="365"/>
      <w:bookmarkEnd w:id="366"/>
      <w:bookmarkEnd w:id="367"/>
      <w:bookmarkEnd w:id="368"/>
      <w:bookmarkEnd w:id="369"/>
      <w:bookmarkEnd w:id="370"/>
      <w:bookmarkEnd w:id="371"/>
    </w:p>
    <w:p w:rsidR="00F727CB" w:rsidRPr="009851E0" w:rsidRDefault="00F727CB" w:rsidP="00F727CB">
      <w:pPr>
        <w:pStyle w:val="Annextitle"/>
        <w:rPr>
          <w:lang w:val="ru-RU"/>
        </w:rPr>
      </w:pPr>
      <w:bookmarkStart w:id="372" w:name="_Toc452157349"/>
      <w:bookmarkStart w:id="373" w:name="_Toc482995223"/>
      <w:r w:rsidRPr="009851E0">
        <w:rPr>
          <w:lang w:val="ru-RU"/>
        </w:rPr>
        <w:t>Последующие меры в связи с предложениями, представленными в наших предыдущих отчетах</w:t>
      </w:r>
      <w:bookmarkEnd w:id="372"/>
      <w:bookmarkEnd w:id="373"/>
    </w:p>
    <w:tbl>
      <w:tblPr>
        <w:tblW w:w="5000" w:type="pct"/>
        <w:jc w:val="center"/>
        <w:tblCellMar>
          <w:left w:w="85" w:type="dxa"/>
          <w:right w:w="85" w:type="dxa"/>
        </w:tblCellMar>
        <w:tblLook w:val="0000" w:firstRow="0" w:lastRow="0" w:firstColumn="0" w:lastColumn="0" w:noHBand="0" w:noVBand="0"/>
      </w:tblPr>
      <w:tblGrid>
        <w:gridCol w:w="1464"/>
        <w:gridCol w:w="3345"/>
        <w:gridCol w:w="3543"/>
        <w:gridCol w:w="3680"/>
        <w:gridCol w:w="2524"/>
      </w:tblGrid>
      <w:tr w:rsidR="00F727CB" w:rsidRPr="00E65E97" w:rsidTr="00A04153">
        <w:trPr>
          <w:cantSplit/>
          <w:tblHeader/>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jc w:val="center"/>
              <w:rPr>
                <w:b/>
                <w:bCs/>
                <w:sz w:val="18"/>
                <w:szCs w:val="18"/>
                <w:lang w:val="ru-RU"/>
              </w:rPr>
            </w:pPr>
          </w:p>
        </w:tc>
        <w:tc>
          <w:tcPr>
            <w:tcW w:w="1149" w:type="pct"/>
            <w:tcBorders>
              <w:top w:val="single" w:sz="4" w:space="0" w:color="auto"/>
              <w:left w:val="single" w:sz="4" w:space="0" w:color="auto"/>
              <w:bottom w:val="single" w:sz="4" w:space="0" w:color="auto"/>
              <w:right w:val="single" w:sz="4" w:space="0" w:color="auto"/>
            </w:tcBorders>
            <w:vAlign w:val="center"/>
          </w:tcPr>
          <w:p w:rsidR="00F727CB" w:rsidRPr="009851E0" w:rsidRDefault="00F727CB" w:rsidP="00A04153">
            <w:pPr>
              <w:spacing w:before="40" w:after="40"/>
              <w:jc w:val="center"/>
              <w:rPr>
                <w:b/>
                <w:bCs/>
                <w:sz w:val="18"/>
                <w:szCs w:val="18"/>
                <w:lang w:val="ru-RU"/>
              </w:rPr>
            </w:pPr>
            <w:r w:rsidRPr="009851E0">
              <w:rPr>
                <w:b/>
                <w:bCs/>
                <w:sz w:val="18"/>
                <w:szCs w:val="18"/>
                <w:lang w:val="ru-RU"/>
              </w:rPr>
              <w:t>Предложение, представленное Государственной счетной палатой Италии</w:t>
            </w:r>
          </w:p>
        </w:tc>
        <w:tc>
          <w:tcPr>
            <w:tcW w:w="1217" w:type="pct"/>
            <w:tcBorders>
              <w:top w:val="single" w:sz="4" w:space="0" w:color="auto"/>
              <w:left w:val="single" w:sz="4" w:space="0" w:color="auto"/>
              <w:bottom w:val="single" w:sz="4" w:space="0" w:color="auto"/>
              <w:right w:val="single" w:sz="4" w:space="0" w:color="auto"/>
            </w:tcBorders>
            <w:vAlign w:val="center"/>
          </w:tcPr>
          <w:p w:rsidR="00F727CB" w:rsidRPr="009851E0" w:rsidRDefault="00F727CB" w:rsidP="00A04153">
            <w:pPr>
              <w:spacing w:before="40" w:after="40"/>
              <w:jc w:val="center"/>
              <w:rPr>
                <w:b/>
                <w:bCs/>
                <w:sz w:val="18"/>
                <w:szCs w:val="18"/>
                <w:lang w:val="ru-RU"/>
              </w:rPr>
            </w:pPr>
            <w:r w:rsidRPr="009851E0">
              <w:rPr>
                <w:b/>
                <w:bCs/>
                <w:sz w:val="18"/>
                <w:szCs w:val="18"/>
                <w:lang w:val="ru-RU"/>
              </w:rPr>
              <w:t>Комментарии, полученные от Генерального секретаря во время опубликования отчета</w:t>
            </w:r>
          </w:p>
        </w:tc>
        <w:tc>
          <w:tcPr>
            <w:tcW w:w="1264" w:type="pct"/>
            <w:tcBorders>
              <w:top w:val="single" w:sz="4" w:space="0" w:color="auto"/>
              <w:left w:val="single" w:sz="4" w:space="0" w:color="auto"/>
              <w:bottom w:val="single" w:sz="4" w:space="0" w:color="auto"/>
              <w:right w:val="single" w:sz="4" w:space="0" w:color="auto"/>
            </w:tcBorders>
            <w:vAlign w:val="center"/>
          </w:tcPr>
          <w:p w:rsidR="00F727CB" w:rsidRPr="009851E0" w:rsidRDefault="00F727CB" w:rsidP="00A04153">
            <w:pPr>
              <w:spacing w:before="40" w:after="40"/>
              <w:jc w:val="center"/>
              <w:rPr>
                <w:b/>
                <w:bCs/>
                <w:sz w:val="18"/>
                <w:szCs w:val="18"/>
                <w:lang w:val="ru-RU"/>
              </w:rPr>
            </w:pPr>
            <w:r w:rsidRPr="009851E0">
              <w:rPr>
                <w:b/>
                <w:bCs/>
                <w:sz w:val="18"/>
                <w:szCs w:val="18"/>
                <w:lang w:val="ru-RU"/>
              </w:rPr>
              <w:t xml:space="preserve">Статус выполнения по сообщению </w:t>
            </w:r>
            <w:r w:rsidRPr="009851E0">
              <w:rPr>
                <w:b/>
                <w:bCs/>
                <w:sz w:val="18"/>
                <w:szCs w:val="18"/>
                <w:lang w:val="ru-RU"/>
              </w:rPr>
              <w:br/>
              <w:t>руководства МСЭ</w:t>
            </w:r>
          </w:p>
        </w:tc>
        <w:tc>
          <w:tcPr>
            <w:tcW w:w="867" w:type="pct"/>
            <w:tcBorders>
              <w:top w:val="single" w:sz="4" w:space="0" w:color="auto"/>
              <w:left w:val="single" w:sz="4" w:space="0" w:color="auto"/>
              <w:bottom w:val="single" w:sz="4" w:space="0" w:color="auto"/>
              <w:right w:val="single" w:sz="4" w:space="0" w:color="auto"/>
            </w:tcBorders>
            <w:vAlign w:val="center"/>
          </w:tcPr>
          <w:p w:rsidR="00F727CB" w:rsidRPr="009851E0" w:rsidRDefault="00F727CB" w:rsidP="00A04153">
            <w:pPr>
              <w:spacing w:before="40" w:after="40"/>
              <w:jc w:val="center"/>
              <w:rPr>
                <w:b/>
                <w:bCs/>
                <w:sz w:val="18"/>
                <w:szCs w:val="18"/>
                <w:lang w:val="ru-RU"/>
              </w:rPr>
            </w:pPr>
            <w:r w:rsidRPr="009851E0">
              <w:rPr>
                <w:b/>
                <w:bCs/>
                <w:sz w:val="18"/>
                <w:szCs w:val="18"/>
                <w:lang w:val="ru-RU"/>
              </w:rPr>
              <w:t>Статус мер, принятых руководством, по оценке Государственной счетной палаты Италии</w:t>
            </w:r>
          </w:p>
        </w:tc>
      </w:tr>
      <w:tr w:rsidR="00F727CB" w:rsidRPr="009851E0" w:rsidTr="00A04153">
        <w:trPr>
          <w:cantSplit/>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Предл. 1/2016</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bookmarkStart w:id="374" w:name="_Toc482176229"/>
            <w:bookmarkStart w:id="375" w:name="_Toc482995183"/>
            <w:r w:rsidRPr="009851E0">
              <w:rPr>
                <w:b/>
                <w:bCs/>
                <w:sz w:val="18"/>
                <w:szCs w:val="18"/>
                <w:lang w:val="ru-RU"/>
              </w:rPr>
              <w:t>Финансовая ответственность</w:t>
            </w:r>
            <w:bookmarkEnd w:id="374"/>
            <w:bookmarkEnd w:id="375"/>
          </w:p>
          <w:p w:rsidR="00F727CB" w:rsidRPr="009851E0" w:rsidRDefault="00F727CB" w:rsidP="00A04153">
            <w:pPr>
              <w:spacing w:before="40" w:after="40"/>
              <w:rPr>
                <w:sz w:val="18"/>
                <w:szCs w:val="18"/>
                <w:lang w:val="ru-RU"/>
              </w:rPr>
            </w:pPr>
            <w:r w:rsidRPr="009851E0">
              <w:rPr>
                <w:sz w:val="18"/>
                <w:szCs w:val="18"/>
                <w:lang w:val="ru-RU"/>
              </w:rPr>
              <w:t xml:space="preserve">Поэтому </w:t>
            </w:r>
            <w:r w:rsidRPr="009851E0">
              <w:rPr>
                <w:sz w:val="18"/>
                <w:szCs w:val="18"/>
                <w:u w:val="single"/>
                <w:lang w:val="ru-RU"/>
              </w:rPr>
              <w:t>мы предлагаем</w:t>
            </w:r>
            <w:r w:rsidRPr="009851E0">
              <w:rPr>
                <w:sz w:val="18"/>
                <w:szCs w:val="18"/>
                <w:lang w:val="ru-RU"/>
              </w:rPr>
              <w:t xml:space="preserve"> рассмотреть вопрос о возможном принятии процедуры взыскания любых сумм, которые в соответствии с постановлением Административного трибунала МОТ МСЭ должен будет выплатить какому-либо сотруднику в связи с серьезным нарушением поведения другим сотрудником.</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Мы согласны с этим предложением. Руководство МСЭ обратит внимание должностных лиц на всех уровнях на возможные последствия, в частности в отношении потенциальной финансовой ответственности, в связи с серьезным нарушением поведения в отношении другого должностного лица, и примет надлежащие меры в рамках своей нормативно-правовой базы.</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Руководство МСЭ приняло это предложение к сведению. Мы собираемся выполнить это предложение.</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Выполнено.</w:t>
            </w:r>
          </w:p>
        </w:tc>
      </w:tr>
      <w:tr w:rsidR="00F727CB" w:rsidRPr="009851E0" w:rsidTr="00A04153">
        <w:trPr>
          <w:cantSplit/>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Предл. 2/2016</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bookmarkStart w:id="376" w:name="_Toc482176248"/>
            <w:bookmarkStart w:id="377" w:name="_Toc482995201"/>
            <w:r w:rsidRPr="009851E0">
              <w:rPr>
                <w:b/>
                <w:bCs/>
                <w:sz w:val="18"/>
                <w:szCs w:val="18"/>
                <w:lang w:val="ru-RU"/>
              </w:rPr>
              <w:t>Принятие инструкции по закупкам и кодифицированной процедуры в МСЭ</w:t>
            </w:r>
            <w:bookmarkEnd w:id="376"/>
            <w:bookmarkEnd w:id="377"/>
          </w:p>
          <w:p w:rsidR="00F727CB" w:rsidRPr="009851E0" w:rsidRDefault="00F727CB" w:rsidP="00A04153">
            <w:pPr>
              <w:spacing w:before="40" w:after="40"/>
              <w:rPr>
                <w:sz w:val="18"/>
                <w:szCs w:val="18"/>
                <w:lang w:val="ru-RU"/>
              </w:rPr>
            </w:pPr>
            <w:r w:rsidRPr="009851E0">
              <w:rPr>
                <w:sz w:val="18"/>
                <w:szCs w:val="18"/>
                <w:lang w:val="ru-RU"/>
              </w:rPr>
              <w:t xml:space="preserve">Наряду с этим </w:t>
            </w:r>
            <w:r w:rsidRPr="009851E0">
              <w:rPr>
                <w:sz w:val="18"/>
                <w:szCs w:val="18"/>
                <w:u w:val="single"/>
                <w:lang w:val="ru-RU"/>
              </w:rPr>
              <w:t>мы предлагаем</w:t>
            </w:r>
            <w:r w:rsidRPr="009851E0">
              <w:rPr>
                <w:sz w:val="18"/>
                <w:szCs w:val="18"/>
                <w:lang w:val="ru-RU"/>
              </w:rPr>
              <w:t>, чтобы МСЭ пересмотрел порог получения минимум трех предложений для гарантии разумного финансового управления процессом.</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МСЭ согласен с этим предложением. Это будет включено в новую инструкцию по закупкам.</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w:t>
            </w:r>
          </w:p>
          <w:p w:rsidR="00F727CB" w:rsidRPr="009851E0" w:rsidRDefault="00F727CB" w:rsidP="00A04153">
            <w:pPr>
              <w:spacing w:before="40" w:after="40"/>
              <w:rPr>
                <w:b/>
                <w:bCs/>
                <w:sz w:val="18"/>
                <w:szCs w:val="18"/>
                <w:lang w:val="ru-RU"/>
              </w:rPr>
            </w:pPr>
            <w:r w:rsidRPr="009851E0">
              <w:rPr>
                <w:sz w:val="18"/>
                <w:szCs w:val="18"/>
                <w:lang w:val="ru-RU"/>
              </w:rPr>
              <w:t>Составляется инструкция по закупкам.</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Предл. 3/2016</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bookmarkStart w:id="378" w:name="_Toc482995205"/>
            <w:r w:rsidRPr="009851E0">
              <w:rPr>
                <w:b/>
                <w:bCs/>
                <w:sz w:val="18"/>
                <w:szCs w:val="18"/>
                <w:lang w:val="ru-RU"/>
              </w:rPr>
              <w:t>Объявление суммы бюджета в целях обеспечения лучшей ориентировки в предложениях</w:t>
            </w:r>
            <w:bookmarkEnd w:id="378"/>
          </w:p>
          <w:p w:rsidR="00F727CB" w:rsidRPr="009851E0" w:rsidRDefault="00F727CB" w:rsidP="00A04153">
            <w:pPr>
              <w:spacing w:before="40" w:after="40"/>
              <w:rPr>
                <w:sz w:val="18"/>
                <w:szCs w:val="18"/>
                <w:lang w:val="ru-RU"/>
              </w:rPr>
            </w:pPr>
            <w:r w:rsidRPr="009851E0">
              <w:rPr>
                <w:sz w:val="18"/>
                <w:szCs w:val="18"/>
                <w:lang w:val="ru-RU"/>
              </w:rPr>
              <w:t xml:space="preserve">Когда МСЭ принимает решение о начале процесса закупки и выделяет ограниченные ресурсы на приобретение товаров и услуг, в целях повышения конкуренции и избежания автоматического исключения поставщиков, </w:t>
            </w:r>
            <w:r w:rsidRPr="009851E0">
              <w:rPr>
                <w:sz w:val="18"/>
                <w:szCs w:val="18"/>
                <w:u w:val="single"/>
                <w:lang w:val="ru-RU"/>
              </w:rPr>
              <w:t>мы предлагаем</w:t>
            </w:r>
            <w:r w:rsidRPr="009851E0">
              <w:rPr>
                <w:sz w:val="18"/>
                <w:szCs w:val="18"/>
                <w:lang w:val="ru-RU"/>
              </w:rPr>
              <w:t>, чтобы МСЭ объявлял в надлежащих случаях максимальную заложенную в бюджете сумму.</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МСЭ согласен с предложением и будет, когда это необходимо, объявлять максимальную заложенную в бюджете сумму.</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МСЭ по-прежнему согласен с предложением и будет, когда это необходимо, объявлять максимальную заложенную в бюджете сумму.</w:t>
            </w:r>
          </w:p>
          <w:p w:rsidR="00F727CB" w:rsidRPr="009851E0" w:rsidRDefault="00F727CB" w:rsidP="00A04153">
            <w:pPr>
              <w:spacing w:before="40" w:after="40"/>
              <w:rPr>
                <w:sz w:val="18"/>
                <w:szCs w:val="18"/>
                <w:lang w:val="ru-RU"/>
              </w:rPr>
            </w:pPr>
            <w:r w:rsidRPr="009851E0">
              <w:rPr>
                <w:sz w:val="18"/>
                <w:szCs w:val="18"/>
                <w:lang w:val="ru-RU"/>
              </w:rPr>
              <w:t>Можно также отметить, что это будет включено в составляемую инструкцию по закупкам.</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Выполнено.</w:t>
            </w:r>
          </w:p>
        </w:tc>
      </w:tr>
      <w:tr w:rsidR="00F727CB" w:rsidRPr="009851E0" w:rsidTr="00A04153">
        <w:trPr>
          <w:cantSplit/>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Предл. 4/2016</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Публикации</w:t>
            </w:r>
          </w:p>
          <w:p w:rsidR="00F727CB" w:rsidRPr="009851E0" w:rsidRDefault="00F727CB" w:rsidP="00A04153">
            <w:pPr>
              <w:spacing w:before="40" w:after="40"/>
              <w:rPr>
                <w:sz w:val="18"/>
                <w:szCs w:val="18"/>
                <w:lang w:val="ru-RU"/>
              </w:rPr>
            </w:pPr>
            <w:r w:rsidRPr="009851E0">
              <w:rPr>
                <w:sz w:val="18"/>
                <w:szCs w:val="18"/>
                <w:lang w:val="ru-RU"/>
              </w:rPr>
              <w:t xml:space="preserve">С целью сокращения затрат на публикации и в то же время увеличения доходов из этого источника финансирования, </w:t>
            </w:r>
            <w:r w:rsidRPr="009851E0">
              <w:rPr>
                <w:sz w:val="18"/>
                <w:szCs w:val="18"/>
                <w:u w:val="single"/>
                <w:lang w:val="ru-RU"/>
              </w:rPr>
              <w:t>мы предлагаем</w:t>
            </w:r>
            <w:r w:rsidRPr="009851E0">
              <w:rPr>
                <w:sz w:val="18"/>
                <w:szCs w:val="18"/>
                <w:lang w:val="ru-RU"/>
              </w:rPr>
              <w:t>, в этой связи, принять дополнительные меры для увеличения доли продаж публикаций в цифровом формате.</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МСЭ согласен с предложением и подтверждает, что эта задача осуществляется с целью сокращения излишних затрат.</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Из четырех пользующихся наибольшим спросом изданий МСЭ, на которые в совокупности приходится 90% общего годового дохода от публикаций МСЭ, две теперь доступны исключительно в цифровом формате (Список IV и Список V).</w:t>
            </w:r>
          </w:p>
          <w:p w:rsidR="00F727CB" w:rsidRPr="009851E0" w:rsidRDefault="00F727CB" w:rsidP="00A04153">
            <w:pPr>
              <w:spacing w:before="40" w:after="40"/>
              <w:rPr>
                <w:sz w:val="18"/>
                <w:szCs w:val="18"/>
                <w:lang w:val="ru-RU"/>
              </w:rPr>
            </w:pPr>
            <w:r w:rsidRPr="009851E0">
              <w:rPr>
                <w:sz w:val="18"/>
                <w:szCs w:val="18"/>
                <w:lang w:val="ru-RU"/>
              </w:rPr>
              <w:t>Бумажные экземпляры более не производятся, что значительно сократило затраты.</w:t>
            </w:r>
          </w:p>
          <w:p w:rsidR="00F727CB" w:rsidRPr="009851E0" w:rsidRDefault="00F727CB" w:rsidP="00A04153">
            <w:pPr>
              <w:spacing w:before="40" w:after="40"/>
              <w:rPr>
                <w:sz w:val="18"/>
                <w:szCs w:val="18"/>
                <w:lang w:val="ru-RU"/>
              </w:rPr>
            </w:pPr>
            <w:r w:rsidRPr="009851E0">
              <w:rPr>
                <w:sz w:val="18"/>
                <w:szCs w:val="18"/>
                <w:lang w:val="ru-RU"/>
              </w:rPr>
              <w:t>Что касается двух других пользующихся спросом изданий (двухтомное Руководство по морской службе и четырехтомный Регламент радиосвязи), МСЭ тщательнее контролирует количество производимых бумажных экземпляров на основании выраженных пользователями предпочтений.</w:t>
            </w:r>
          </w:p>
          <w:p w:rsidR="00F727CB" w:rsidRPr="009851E0" w:rsidRDefault="00F727CB" w:rsidP="00A04153">
            <w:pPr>
              <w:spacing w:before="40" w:after="40"/>
              <w:rPr>
                <w:b/>
                <w:bCs/>
                <w:sz w:val="18"/>
                <w:szCs w:val="18"/>
                <w:lang w:val="ru-RU"/>
              </w:rPr>
            </w:pPr>
            <w:r w:rsidRPr="009851E0">
              <w:rPr>
                <w:sz w:val="18"/>
                <w:szCs w:val="18"/>
                <w:lang w:val="ru-RU"/>
              </w:rPr>
              <w:t>Несмотря на то что они имеются и в цифровом формате, они пользуются спросом на покупательском рынке в более традиционных бумажных форматах.</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Выполнено.</w:t>
            </w:r>
          </w:p>
        </w:tc>
      </w:tr>
      <w:tr w:rsidR="00F727CB" w:rsidRPr="009851E0" w:rsidTr="00A04153">
        <w:trPr>
          <w:cantSplit/>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Предл. 1/2015</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Списание активов</w:t>
            </w:r>
          </w:p>
          <w:p w:rsidR="00F727CB" w:rsidRPr="009851E0" w:rsidRDefault="00F727CB" w:rsidP="00A04153">
            <w:pPr>
              <w:spacing w:before="40" w:after="40"/>
              <w:rPr>
                <w:sz w:val="18"/>
                <w:szCs w:val="18"/>
                <w:lang w:val="ru-RU"/>
              </w:rPr>
            </w:pPr>
            <w:r w:rsidRPr="009851E0">
              <w:rPr>
                <w:sz w:val="18"/>
                <w:szCs w:val="18"/>
                <w:u w:val="single"/>
                <w:lang w:val="ru-RU"/>
              </w:rPr>
              <w:t>Мы</w:t>
            </w:r>
            <w:r w:rsidRPr="009851E0">
              <w:rPr>
                <w:sz w:val="18"/>
                <w:szCs w:val="18"/>
                <w:lang w:val="ru-RU"/>
              </w:rPr>
              <w:t xml:space="preserve"> также </w:t>
            </w:r>
            <w:r w:rsidRPr="009851E0">
              <w:rPr>
                <w:sz w:val="18"/>
                <w:szCs w:val="18"/>
                <w:u w:val="single"/>
                <w:lang w:val="ru-RU"/>
              </w:rPr>
              <w:t>предлагаем</w:t>
            </w:r>
            <w:r w:rsidRPr="009851E0">
              <w:rPr>
                <w:sz w:val="18"/>
                <w:szCs w:val="18"/>
                <w:lang w:val="ru-RU"/>
              </w:rPr>
              <w:t xml:space="preserve"> и далее совершенствовать управление активами, связанное с реализацией и передачей в дар, в частности путем оптимизации процедур, например, учреждения специального комитета. Кроме того, было бы целесообразно учитывать, при условии оценки затрат/выгоды, возможность передачи активов между департаментами и региональными отделениями до принятия решения о приобретении новых объектов.</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Секретариат рассмотрит степень осуществимости данного предложения и изучит несколько вариантов, например, учреждение внутреннего комитета, внедрение электронных деловых процедур или использование аналогичных внутренних процессов.</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Значительная часть 2016 г. была посвящена проведению в сотрудничестве с департаментом IS и пользователями тщательных проверок в целях обновления учетных записей и осуществления необходимых исключений.</w:t>
            </w:r>
          </w:p>
          <w:p w:rsidR="00F727CB" w:rsidRPr="009851E0" w:rsidRDefault="00F727CB" w:rsidP="00A04153">
            <w:pPr>
              <w:spacing w:before="40" w:after="40"/>
              <w:rPr>
                <w:sz w:val="18"/>
                <w:szCs w:val="18"/>
                <w:lang w:val="ru-RU"/>
              </w:rPr>
            </w:pPr>
            <w:r w:rsidRPr="009851E0">
              <w:rPr>
                <w:sz w:val="18"/>
                <w:szCs w:val="18"/>
                <w:lang w:val="ru-RU"/>
              </w:rPr>
              <w:t>В настоящее время также предпринимаются усилия по стимулированию обмена внутридепартаменскими и внутрисекторальными активами и предоставлению их в кредит.</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Осуществляется жесткий контроль для оптимизации управления рациональным использованием оборудования МСЭ в различных департаментах.</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Выполнено.</w:t>
            </w:r>
          </w:p>
        </w:tc>
      </w:tr>
      <w:tr w:rsidR="00F727CB" w:rsidRPr="009851E0" w:rsidTr="00A04153">
        <w:trPr>
          <w:cantSplit/>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Предл. 2/2015</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bookmarkStart w:id="379" w:name="_Toc450158131"/>
            <w:bookmarkStart w:id="380" w:name="_Toc450323561"/>
            <w:bookmarkStart w:id="381" w:name="_Toc450991500"/>
            <w:bookmarkStart w:id="382" w:name="_Toc452157341"/>
            <w:r w:rsidRPr="009851E0">
              <w:rPr>
                <w:b/>
                <w:bCs/>
                <w:sz w:val="18"/>
                <w:szCs w:val="18"/>
                <w:lang w:val="ru-RU"/>
              </w:rPr>
              <w:t xml:space="preserve">Соглашения с принимающей страной для </w:t>
            </w:r>
            <w:bookmarkEnd w:id="379"/>
            <w:bookmarkEnd w:id="380"/>
            <w:bookmarkEnd w:id="381"/>
            <w:r w:rsidRPr="009851E0">
              <w:rPr>
                <w:b/>
                <w:bCs/>
                <w:sz w:val="18"/>
                <w:szCs w:val="18"/>
                <w:lang w:val="ru-RU"/>
              </w:rPr>
              <w:t>отделений на местах</w:t>
            </w:r>
            <w:bookmarkEnd w:id="382"/>
          </w:p>
          <w:p w:rsidR="00F727CB" w:rsidRPr="009851E0" w:rsidRDefault="00F727CB" w:rsidP="00A04153">
            <w:pPr>
              <w:spacing w:before="40" w:after="40"/>
              <w:rPr>
                <w:sz w:val="18"/>
                <w:szCs w:val="18"/>
                <w:lang w:val="ru-RU"/>
              </w:rPr>
            </w:pPr>
            <w:r w:rsidRPr="009851E0">
              <w:rPr>
                <w:sz w:val="18"/>
                <w:szCs w:val="18"/>
                <w:lang w:val="ru-RU"/>
              </w:rPr>
              <w:t xml:space="preserve">В связи с этим </w:t>
            </w:r>
            <w:r w:rsidRPr="009851E0">
              <w:rPr>
                <w:sz w:val="18"/>
                <w:szCs w:val="18"/>
                <w:u w:val="single"/>
                <w:lang w:val="ru-RU"/>
              </w:rPr>
              <w:t>мы рекомендуем</w:t>
            </w:r>
            <w:r w:rsidRPr="009851E0">
              <w:rPr>
                <w:sz w:val="18"/>
                <w:szCs w:val="18"/>
                <w:lang w:val="ru-RU"/>
              </w:rPr>
              <w:t xml:space="preserve"> руководству МСЭ продолжить анализ существующих соглашений с принимающей страной в целях закрепления в документе "принятой практики" и выгод, получаемых по соглашению с принимающей страной, с тем чтобы усилить его значение и защитить его активы.</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Предложение 2 является приемлемым и на практике оно осуществляется в течение нескольких лет и эта работа будет продлена в будущем.</w:t>
            </w:r>
          </w:p>
          <w:p w:rsidR="00F727CB" w:rsidRPr="009851E0" w:rsidRDefault="00F727CB" w:rsidP="00A04153">
            <w:pPr>
              <w:spacing w:before="40" w:after="40"/>
              <w:rPr>
                <w:sz w:val="18"/>
                <w:szCs w:val="18"/>
                <w:lang w:val="ru-RU"/>
              </w:rPr>
            </w:pPr>
            <w:r w:rsidRPr="009851E0">
              <w:rPr>
                <w:sz w:val="18"/>
                <w:szCs w:val="18"/>
                <w:lang w:val="ru-RU"/>
              </w:rPr>
              <w:t>Так, в 2013 году было заключено специальное соглашение о зональном отделении в Гондурасе, по которому отсутствовало конкретное соглашение.</w:t>
            </w:r>
          </w:p>
          <w:p w:rsidR="00F727CB" w:rsidRPr="009851E0" w:rsidRDefault="00F727CB" w:rsidP="00A04153">
            <w:pPr>
              <w:spacing w:before="40" w:after="40"/>
              <w:rPr>
                <w:sz w:val="18"/>
                <w:szCs w:val="18"/>
                <w:lang w:val="ru-RU"/>
              </w:rPr>
            </w:pPr>
            <w:r w:rsidRPr="009851E0">
              <w:rPr>
                <w:sz w:val="18"/>
                <w:szCs w:val="18"/>
                <w:lang w:val="ru-RU"/>
              </w:rPr>
              <w:t xml:space="preserve">Аналогично, в ближайшем будущем должно быть подписано официальное соглашение о зональном отделении в Индонезии (по которому в настоящее время официального соглашения не существует); проект соглашения был в принципе согласован обеими сторонами, за исключением одного пункта, который отложен на период проведения внутренних консультаций с правительством Индонезии. Вскоре может быть также завершено рассмотрение действующего в настоящее время соглашения с принимающей страной о региональном отделении в Бангкоке. Наконец, ведутся также переговоры о заключении соглашения с принимающей страной о зональном отделении в Чили. </w:t>
            </w:r>
          </w:p>
          <w:p w:rsidR="00F727CB" w:rsidRPr="009851E0" w:rsidRDefault="00F727CB" w:rsidP="00A04153">
            <w:pPr>
              <w:spacing w:before="40" w:after="40"/>
              <w:rPr>
                <w:sz w:val="18"/>
                <w:szCs w:val="18"/>
                <w:lang w:val="ru-RU"/>
              </w:rPr>
            </w:pPr>
            <w:r w:rsidRPr="009851E0">
              <w:rPr>
                <w:sz w:val="18"/>
                <w:szCs w:val="18"/>
                <w:lang w:val="ru-RU"/>
              </w:rPr>
              <w:t xml:space="preserve">Цель проводимых переговоров об отделениях на местах, по которым отсутствует официальное соглашение с принимающей страной, заключается в кодификации существующей практики с помощью соглашений с заинтересованными принимающими странами. </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 xml:space="preserve">В апреле 2017 года после восьми лет переговоров было подписано официальное соглашение о зональном отделении в Индонезии (по которому официальное соглашение отсутствует). Вскоре может быть также завершен пересмотр действующего в настоящее время соглашения с принимающей страной о региональном отделении в Бангкоке. Наконец, ведутся также переговоры о заключении соглашения с принимающей страной о зональном отделении в Чили. </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Отсутствует.</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Предл. 1/2014</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 xml:space="preserve">Малоценные активы </w:t>
            </w:r>
          </w:p>
          <w:p w:rsidR="00F727CB" w:rsidRPr="009851E0" w:rsidRDefault="00F727CB" w:rsidP="00A04153">
            <w:pPr>
              <w:spacing w:before="40" w:after="40"/>
              <w:rPr>
                <w:sz w:val="18"/>
                <w:szCs w:val="18"/>
                <w:lang w:val="ru-RU"/>
              </w:rPr>
            </w:pPr>
            <w:r w:rsidRPr="009851E0">
              <w:rPr>
                <w:sz w:val="18"/>
                <w:szCs w:val="18"/>
                <w:lang w:val="ru-RU"/>
              </w:rPr>
              <w:t xml:space="preserve">В связи с этим </w:t>
            </w:r>
            <w:r w:rsidRPr="009851E0">
              <w:rPr>
                <w:sz w:val="18"/>
                <w:szCs w:val="18"/>
                <w:u w:val="single"/>
                <w:lang w:val="ru-RU"/>
              </w:rPr>
              <w:t>мы предлагаем</w:t>
            </w:r>
            <w:r w:rsidRPr="009851E0">
              <w:rPr>
                <w:sz w:val="18"/>
                <w:szCs w:val="18"/>
                <w:lang w:val="ru-RU"/>
              </w:rPr>
              <w:t xml:space="preserve"> руководству рассмотреть вопрос о пересмотре порогового уровня малоценных активов, в частности определить различные категории предметов и их амортизацию в соответствии с продолжительностью их полезного использования.</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Данное предложение будет изучено с целью анализа последствий введения дифференцированных пороговых уровней в соответствии с категорией материальных активов. Следует отметить, что 15,2 млн. швейцарских франков составляют накопленную сумму малоценных активов, определяемую моделью материальных активов со времени введения IPSAS (включая остаток на момент, предшествовавший внедрению IPSAS).</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 xml:space="preserve">Выполнение этого предложения пока оценивается. </w:t>
            </w:r>
          </w:p>
          <w:p w:rsidR="00F727CB" w:rsidRPr="009851E0" w:rsidRDefault="00F727CB" w:rsidP="00A04153">
            <w:pPr>
              <w:spacing w:before="40" w:after="40"/>
              <w:rPr>
                <w:b/>
                <w:bCs/>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Решение будет принято на основе результатов проводимого в настоящее время изучения воздействия порядка учета.</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Продолжается оценка выполнения этого предложения; при этом отмечается, что сумма в 15,2 млн. шв. фр., представляющая совокупную стоимость малоценных материальных активов, существенно не увеличилась с 1 января 2010 г.</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cantSplit/>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b/>
                <w:bCs/>
                <w:sz w:val="18"/>
                <w:szCs w:val="18"/>
                <w:lang w:val="ru-RU"/>
              </w:rPr>
            </w:pPr>
            <w:r w:rsidRPr="009851E0">
              <w:rPr>
                <w:b/>
                <w:bCs/>
                <w:sz w:val="18"/>
                <w:szCs w:val="18"/>
                <w:lang w:val="ru-RU"/>
              </w:rPr>
              <w:t>Предл. 3/2014</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u w:val="single"/>
                <w:lang w:val="ru-RU"/>
              </w:rPr>
              <w:t>Мы предлагаем</w:t>
            </w:r>
            <w:r w:rsidRPr="009851E0">
              <w:rPr>
                <w:sz w:val="18"/>
                <w:szCs w:val="18"/>
                <w:lang w:val="ru-RU"/>
              </w:rPr>
              <w:t xml:space="preserve"> руководству, по мере необходимости, определить комплексный набор факторов и субфакторов и использовать наиболее подходящие факторы для эффективного мониторинга положения АСХИ и принятия по нему мер.</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настоящее время проводится мониторинг ПКМС с целью заблаговременного определения коррективов для обеспечения финансирования на основе оплаты по факту оказания услуг. Вышеупомянутые факторы принимаются во внимание для определения соответствующих коррективов. Обязательство по АСХИ будет финансироваться в соответствии с имеющимися ресурсами на долгосрочной основе, принимая во внимание бюджетные ограничения.</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Руководство следует этому предложению; как только будет завершено полное актуарное исследование, его результаты будут учтены при определении надлежащих факторов для эффективного мониторинга положения АСХИ.</w:t>
            </w:r>
          </w:p>
          <w:p w:rsidR="00F727CB" w:rsidRPr="009851E0" w:rsidRDefault="00F727CB" w:rsidP="00A04153">
            <w:pPr>
              <w:spacing w:before="40" w:after="40"/>
              <w:rPr>
                <w:b/>
                <w:bCs/>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Результаты полного актуарного исследования будут получены в середине 2017 года. На основе результатов этого исследования руководство определит различные факторы для обеспечения эффективного контроля ситуации в отношении АСХИ.</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spacing w:before="40" w:after="40"/>
              <w:rPr>
                <w:sz w:val="18"/>
                <w:szCs w:val="18"/>
                <w:lang w:val="ru-RU"/>
              </w:rPr>
            </w:pPr>
            <w:r w:rsidRPr="009851E0">
              <w:rPr>
                <w:sz w:val="18"/>
                <w:szCs w:val="18"/>
                <w:lang w:val="ru-RU"/>
              </w:rPr>
              <w:t>МСЭ будет и далее финансировать резерв АСХИ в зависимости от итогов выполнения бюджета, а также в рамках утвержденных бюджетных ассигнований.</w:t>
            </w:r>
          </w:p>
          <w:p w:rsidR="00F727CB" w:rsidRPr="009851E0" w:rsidRDefault="00F727CB" w:rsidP="00A04153">
            <w:pPr>
              <w:spacing w:before="40" w:after="40"/>
              <w:rPr>
                <w:sz w:val="18"/>
                <w:szCs w:val="18"/>
                <w:lang w:val="ru-RU"/>
              </w:rPr>
            </w:pPr>
            <w:r w:rsidRPr="009851E0">
              <w:rPr>
                <w:sz w:val="18"/>
                <w:szCs w:val="18"/>
                <w:lang w:val="ru-RU"/>
              </w:rPr>
              <w:t>На основании результатов полного актуарного исследования МСЭ рассмотрит основные факторы для обеспечения устойчивости плана.</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9851E0" w:rsidTr="00A04153">
        <w:trPr>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keepNext/>
              <w:keepLines/>
              <w:spacing w:before="40" w:after="40"/>
              <w:rPr>
                <w:b/>
                <w:bCs/>
                <w:sz w:val="18"/>
                <w:szCs w:val="18"/>
                <w:lang w:val="ru-RU"/>
              </w:rPr>
            </w:pPr>
            <w:r w:rsidRPr="009851E0">
              <w:rPr>
                <w:b/>
                <w:bCs/>
                <w:sz w:val="18"/>
                <w:szCs w:val="18"/>
                <w:lang w:val="ru-RU"/>
              </w:rPr>
              <w:t>Предл. 7/2014</w:t>
            </w: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u w:val="single"/>
                <w:lang w:val="ru-RU"/>
              </w:rPr>
              <w:t>Мы предлагаем</w:t>
            </w:r>
            <w:r w:rsidRPr="009851E0">
              <w:rPr>
                <w:sz w:val="18"/>
                <w:szCs w:val="18"/>
                <w:lang w:val="ru-RU"/>
              </w:rPr>
              <w:t xml:space="preserve"> руководству проанализировать последствия в отношении утраты соответствующего опыта, что может стать следствием быстрой ротации и ожидаемых случаев выхода на пенсию, а также установить стратегические приоритеты по кадровым потребностям в будущем в среднесрочной перспективе.</w:t>
            </w: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Руководство принимает данное предложение к сведению. Дополнительно будет введена в действие политика использования специальных соглашений об услугах, с тем чтобы обеспечить надлежащее использование рабочей силы в интересах Союза.</w:t>
            </w: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tabs>
                <w:tab w:val="left" w:pos="284"/>
              </w:tabs>
              <w:spacing w:before="40" w:after="40"/>
              <w:ind w:left="284" w:hanging="284"/>
              <w:rPr>
                <w:sz w:val="18"/>
                <w:szCs w:val="18"/>
                <w:lang w:val="ru-RU"/>
              </w:rPr>
            </w:pPr>
            <w:r w:rsidRPr="009851E0">
              <w:rPr>
                <w:sz w:val="18"/>
                <w:szCs w:val="18"/>
                <w:lang w:val="ru-RU"/>
              </w:rPr>
              <w:t>a)</w:t>
            </w:r>
            <w:r w:rsidRPr="009851E0">
              <w:rPr>
                <w:sz w:val="18"/>
                <w:szCs w:val="18"/>
                <w:lang w:val="ru-RU"/>
              </w:rPr>
              <w:tab/>
              <w:t>Все еще ведется работа по введению в действие политики использования специальных соглашений об услугах (SSA). Новая политика будет охватывать следующие элементы:</w:t>
            </w:r>
          </w:p>
          <w:p w:rsidR="00F727CB" w:rsidRPr="009851E0" w:rsidRDefault="00F727CB" w:rsidP="00A04153">
            <w:pPr>
              <w:tabs>
                <w:tab w:val="left" w:pos="567"/>
              </w:tabs>
              <w:spacing w:before="40" w:after="40"/>
              <w:ind w:left="568" w:hanging="284"/>
              <w:rPr>
                <w:sz w:val="18"/>
                <w:szCs w:val="18"/>
                <w:lang w:val="ru-RU"/>
              </w:rPr>
            </w:pPr>
            <w:r w:rsidRPr="009851E0">
              <w:rPr>
                <w:sz w:val="18"/>
                <w:szCs w:val="18"/>
                <w:lang w:val="ru-RU"/>
              </w:rPr>
              <w:t>−</w:t>
            </w:r>
            <w:r w:rsidRPr="009851E0">
              <w:rPr>
                <w:sz w:val="18"/>
                <w:szCs w:val="18"/>
                <w:lang w:val="ru-RU"/>
              </w:rPr>
              <w:tab/>
              <w:t>пересмотренное определение работающих по SSA;</w:t>
            </w:r>
          </w:p>
          <w:p w:rsidR="00F727CB" w:rsidRPr="009851E0" w:rsidRDefault="00F727CB" w:rsidP="00A04153">
            <w:pPr>
              <w:tabs>
                <w:tab w:val="left" w:pos="567"/>
              </w:tabs>
              <w:spacing w:before="40" w:after="40"/>
              <w:ind w:left="568" w:hanging="284"/>
              <w:rPr>
                <w:sz w:val="18"/>
                <w:szCs w:val="18"/>
                <w:lang w:val="ru-RU"/>
              </w:rPr>
            </w:pPr>
            <w:r w:rsidRPr="009851E0">
              <w:rPr>
                <w:sz w:val="18"/>
                <w:szCs w:val="18"/>
                <w:lang w:val="ru-RU"/>
              </w:rPr>
              <w:t>−</w:t>
            </w:r>
            <w:r w:rsidRPr="009851E0">
              <w:rPr>
                <w:sz w:val="18"/>
                <w:szCs w:val="18"/>
                <w:lang w:val="ru-RU"/>
              </w:rPr>
              <w:tab/>
              <w:t>установление различных категорий задач, для выполнения которых могут быть выданы контракты SSA, с учетом объема основных/неосновных функций, задач, связанных с проектами, и высокого уровня профессиональных знаний, необходимого для конкретных исследований;</w:t>
            </w:r>
          </w:p>
          <w:p w:rsidR="00F727CB" w:rsidRPr="009851E0" w:rsidRDefault="00F727CB" w:rsidP="00A04153">
            <w:pPr>
              <w:tabs>
                <w:tab w:val="left" w:pos="567"/>
              </w:tabs>
              <w:spacing w:before="40" w:after="40"/>
              <w:ind w:left="568" w:hanging="284"/>
              <w:rPr>
                <w:sz w:val="18"/>
                <w:szCs w:val="18"/>
                <w:lang w:val="ru-RU"/>
              </w:rPr>
            </w:pPr>
            <w:r w:rsidRPr="009851E0">
              <w:rPr>
                <w:sz w:val="18"/>
                <w:szCs w:val="18"/>
                <w:lang w:val="ru-RU"/>
              </w:rPr>
              <w:t>−</w:t>
            </w:r>
            <w:r w:rsidRPr="009851E0">
              <w:rPr>
                <w:sz w:val="18"/>
                <w:szCs w:val="18"/>
                <w:lang w:val="ru-RU"/>
              </w:rPr>
              <w:tab/>
              <w:t>введение единого для всего Союза процесса набора персонала;</w:t>
            </w:r>
          </w:p>
          <w:p w:rsidR="00F727CB" w:rsidRPr="009851E0" w:rsidRDefault="00F727CB" w:rsidP="00A04153">
            <w:pPr>
              <w:tabs>
                <w:tab w:val="left" w:pos="567"/>
              </w:tabs>
              <w:spacing w:before="40" w:after="40"/>
              <w:ind w:left="568" w:hanging="284"/>
              <w:rPr>
                <w:sz w:val="18"/>
                <w:szCs w:val="18"/>
                <w:lang w:val="ru-RU"/>
              </w:rPr>
            </w:pPr>
            <w:r w:rsidRPr="009851E0">
              <w:rPr>
                <w:sz w:val="18"/>
                <w:szCs w:val="18"/>
                <w:lang w:val="ru-RU"/>
              </w:rPr>
              <w:t>−</w:t>
            </w:r>
            <w:r w:rsidRPr="009851E0">
              <w:rPr>
                <w:sz w:val="18"/>
                <w:szCs w:val="18"/>
                <w:lang w:val="ru-RU"/>
              </w:rPr>
              <w:tab/>
              <w:t>введение шкалы и диапазонов вознаграждений, охватывающих различные потребности;</w:t>
            </w:r>
          </w:p>
          <w:p w:rsidR="00F727CB" w:rsidRPr="009851E0" w:rsidRDefault="00F727CB" w:rsidP="00A04153">
            <w:pPr>
              <w:tabs>
                <w:tab w:val="left" w:pos="567"/>
              </w:tabs>
              <w:spacing w:before="40" w:after="40"/>
              <w:ind w:left="568" w:hanging="284"/>
              <w:rPr>
                <w:sz w:val="18"/>
                <w:szCs w:val="18"/>
                <w:lang w:val="ru-RU"/>
              </w:rPr>
            </w:pPr>
            <w:r w:rsidRPr="009851E0">
              <w:rPr>
                <w:sz w:val="18"/>
                <w:szCs w:val="18"/>
                <w:lang w:val="ru-RU"/>
              </w:rPr>
              <w:t>−</w:t>
            </w:r>
            <w:r w:rsidRPr="009851E0">
              <w:rPr>
                <w:sz w:val="18"/>
                <w:szCs w:val="18"/>
                <w:lang w:val="ru-RU"/>
              </w:rPr>
              <w:tab/>
              <w:t>четкие руководящие указания по включению установления временных рамок;</w:t>
            </w:r>
          </w:p>
          <w:p w:rsidR="00F727CB" w:rsidRPr="009851E0" w:rsidRDefault="00F727CB" w:rsidP="00A04153">
            <w:pPr>
              <w:tabs>
                <w:tab w:val="left" w:pos="567"/>
              </w:tabs>
              <w:spacing w:before="40" w:after="40"/>
              <w:ind w:left="568" w:hanging="284"/>
              <w:rPr>
                <w:sz w:val="18"/>
                <w:szCs w:val="18"/>
                <w:lang w:val="ru-RU"/>
              </w:rPr>
            </w:pPr>
            <w:r w:rsidRPr="009851E0">
              <w:rPr>
                <w:sz w:val="18"/>
                <w:szCs w:val="18"/>
                <w:lang w:val="ru-RU"/>
              </w:rPr>
              <w:t>−</w:t>
            </w:r>
            <w:r w:rsidRPr="009851E0">
              <w:rPr>
                <w:sz w:val="18"/>
                <w:szCs w:val="18"/>
                <w:lang w:val="ru-RU"/>
              </w:rPr>
              <w:tab/>
              <w:t>четкие руководящие указания по продолжительности, включая ограничения и условия продления и возобновления таких контрактов;</w:t>
            </w:r>
          </w:p>
          <w:p w:rsidR="00F727CB" w:rsidRPr="009851E0" w:rsidRDefault="00F727CB" w:rsidP="00A04153">
            <w:pPr>
              <w:tabs>
                <w:tab w:val="left" w:pos="567"/>
              </w:tabs>
              <w:spacing w:before="40" w:after="40"/>
              <w:ind w:left="568" w:hanging="284"/>
              <w:rPr>
                <w:sz w:val="18"/>
                <w:szCs w:val="18"/>
                <w:lang w:val="ru-RU"/>
              </w:rPr>
            </w:pPr>
            <w:r w:rsidRPr="009851E0">
              <w:rPr>
                <w:sz w:val="18"/>
                <w:szCs w:val="18"/>
                <w:lang w:val="ru-RU"/>
              </w:rPr>
              <w:t>−</w:t>
            </w:r>
            <w:r w:rsidRPr="009851E0">
              <w:rPr>
                <w:sz w:val="18"/>
                <w:szCs w:val="18"/>
                <w:lang w:val="ru-RU"/>
              </w:rPr>
              <w:tab/>
              <w:t>повторное определение соответствующих социальных пособий и других льгот (путевые затраты, суточные для нанятого на неместной основе персонала и др.);</w:t>
            </w:r>
          </w:p>
          <w:p w:rsidR="00F727CB" w:rsidRPr="009851E0" w:rsidRDefault="00F727CB" w:rsidP="00A04153">
            <w:pPr>
              <w:tabs>
                <w:tab w:val="left" w:pos="567"/>
              </w:tabs>
              <w:spacing w:before="40" w:after="40"/>
              <w:ind w:left="568" w:hanging="284"/>
              <w:rPr>
                <w:sz w:val="18"/>
                <w:szCs w:val="18"/>
                <w:lang w:val="ru-RU"/>
              </w:rPr>
            </w:pPr>
            <w:r w:rsidRPr="009851E0">
              <w:rPr>
                <w:sz w:val="18"/>
                <w:szCs w:val="18"/>
                <w:lang w:val="ru-RU"/>
              </w:rPr>
              <w:t>−</w:t>
            </w:r>
            <w:r w:rsidRPr="009851E0">
              <w:rPr>
                <w:sz w:val="18"/>
                <w:szCs w:val="18"/>
                <w:lang w:val="ru-RU"/>
              </w:rPr>
              <w:tab/>
              <w:t xml:space="preserve">определение инструмента оценки результатов работы. </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r w:rsidRPr="009851E0">
              <w:rPr>
                <w:sz w:val="18"/>
                <w:szCs w:val="18"/>
                <w:lang w:val="ru-RU"/>
              </w:rPr>
              <w:t>В процессе выполнения.</w:t>
            </w:r>
          </w:p>
        </w:tc>
      </w:tr>
      <w:tr w:rsidR="00F727CB" w:rsidRPr="00E65E97" w:rsidTr="00A04153">
        <w:trPr>
          <w:jc w:val="center"/>
        </w:trPr>
        <w:tc>
          <w:tcPr>
            <w:tcW w:w="503"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keepNext/>
              <w:keepLines/>
              <w:spacing w:before="40" w:after="40"/>
              <w:rPr>
                <w:b/>
                <w:bCs/>
                <w:sz w:val="18"/>
                <w:szCs w:val="18"/>
                <w:lang w:val="ru-RU"/>
              </w:rPr>
            </w:pPr>
          </w:p>
        </w:tc>
        <w:tc>
          <w:tcPr>
            <w:tcW w:w="1149"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p>
        </w:tc>
        <w:tc>
          <w:tcPr>
            <w:tcW w:w="121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p>
        </w:tc>
        <w:tc>
          <w:tcPr>
            <w:tcW w:w="1264"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tabs>
                <w:tab w:val="left" w:pos="284"/>
              </w:tabs>
              <w:spacing w:before="40" w:after="40"/>
              <w:ind w:left="284" w:hanging="284"/>
              <w:rPr>
                <w:sz w:val="18"/>
                <w:szCs w:val="18"/>
                <w:lang w:val="ru-RU"/>
              </w:rPr>
            </w:pPr>
            <w:r w:rsidRPr="009851E0">
              <w:rPr>
                <w:sz w:val="18"/>
                <w:szCs w:val="18"/>
                <w:lang w:val="ru-RU"/>
              </w:rPr>
              <w:t>b)</w:t>
            </w:r>
            <w:r w:rsidRPr="009851E0">
              <w:rPr>
                <w:sz w:val="18"/>
                <w:szCs w:val="18"/>
                <w:lang w:val="ru-RU"/>
              </w:rPr>
              <w:tab/>
              <w:t xml:space="preserve">Кроме того, важно отметить, что помочь в сохранении постоянного персонала может привлечение практикантов и сотрудников с SSA, работающих под контролем со стороны назначаемого персонала. </w:t>
            </w:r>
          </w:p>
          <w:p w:rsidR="00F727CB" w:rsidRPr="009851E0" w:rsidRDefault="00F727CB" w:rsidP="00A04153">
            <w:pPr>
              <w:tabs>
                <w:tab w:val="left" w:pos="284"/>
              </w:tabs>
              <w:spacing w:before="40" w:after="40"/>
              <w:rPr>
                <w:b/>
                <w:bCs/>
                <w:sz w:val="18"/>
                <w:szCs w:val="18"/>
                <w:lang w:val="ru-RU"/>
              </w:rPr>
            </w:pPr>
            <w:r w:rsidRPr="009851E0">
              <w:rPr>
                <w:b/>
                <w:bCs/>
                <w:sz w:val="18"/>
                <w:szCs w:val="18"/>
                <w:lang w:val="ru-RU"/>
              </w:rPr>
              <w:t>Обновление, по состоянию на конец апреля 2017 г</w:t>
            </w:r>
            <w:r w:rsidRPr="009851E0">
              <w:rPr>
                <w:sz w:val="18"/>
                <w:szCs w:val="18"/>
                <w:lang w:val="ru-RU"/>
              </w:rPr>
              <w:t>.</w:t>
            </w:r>
          </w:p>
          <w:p w:rsidR="00F727CB" w:rsidRPr="009851E0" w:rsidRDefault="00F727CB" w:rsidP="00A04153">
            <w:pPr>
              <w:tabs>
                <w:tab w:val="left" w:pos="284"/>
              </w:tabs>
              <w:spacing w:before="40" w:after="40"/>
              <w:rPr>
                <w:sz w:val="18"/>
                <w:szCs w:val="18"/>
                <w:lang w:val="ru-RU"/>
              </w:rPr>
            </w:pPr>
            <w:r w:rsidRPr="009851E0">
              <w:rPr>
                <w:sz w:val="18"/>
                <w:szCs w:val="18"/>
                <w:lang w:val="ru-RU"/>
              </w:rPr>
              <w:t>Соответствующий проект разработан и приставляется для информации Совету 2017 года в ожидании его рассмотрения в рамках обычного процесса внутренних консультаций.</w:t>
            </w:r>
          </w:p>
          <w:p w:rsidR="00F727CB" w:rsidRPr="009851E0" w:rsidRDefault="00F727CB" w:rsidP="00A04153">
            <w:pPr>
              <w:spacing w:before="40" w:after="40"/>
              <w:rPr>
                <w:sz w:val="18"/>
                <w:szCs w:val="18"/>
                <w:lang w:val="ru-RU"/>
              </w:rPr>
            </w:pPr>
            <w:r w:rsidRPr="009851E0">
              <w:rPr>
                <w:b/>
                <w:bCs/>
                <w:sz w:val="18"/>
                <w:szCs w:val="18"/>
                <w:lang w:val="ru-RU"/>
              </w:rPr>
              <w:t>Обновление, по состоянию на апрель 2018 г</w:t>
            </w:r>
            <w:r w:rsidRPr="009851E0">
              <w:rPr>
                <w:sz w:val="18"/>
                <w:szCs w:val="18"/>
                <w:lang w:val="ru-RU"/>
              </w:rPr>
              <w:t>.</w:t>
            </w:r>
          </w:p>
          <w:p w:rsidR="00F727CB" w:rsidRPr="009851E0" w:rsidRDefault="00F727CB" w:rsidP="00A04153">
            <w:pPr>
              <w:tabs>
                <w:tab w:val="left" w:pos="284"/>
              </w:tabs>
              <w:spacing w:before="40" w:after="40"/>
              <w:rPr>
                <w:sz w:val="18"/>
                <w:szCs w:val="18"/>
                <w:lang w:val="ru-RU"/>
              </w:rPr>
            </w:pPr>
            <w:r w:rsidRPr="009851E0">
              <w:rPr>
                <w:sz w:val="18"/>
                <w:szCs w:val="18"/>
                <w:lang w:val="ru-RU"/>
              </w:rPr>
              <w:t>Необходимо завершить процесс внутренних консультаций. Вместе с тем продолжается обсуждение вопроса о том, следует ли продолжать обработку запросов индивидуальных подрядчиков силами Департамента HRM как индивидуальных контрактов или же они должны обрабатываться Службой закупок в рамках процедур закупки услуг. Департамент HRM приостановил завершение разработки политики до принятия решения по этому вопросу.</w:t>
            </w:r>
          </w:p>
        </w:tc>
        <w:tc>
          <w:tcPr>
            <w:tcW w:w="867" w:type="pct"/>
            <w:tcBorders>
              <w:top w:val="single" w:sz="4" w:space="0" w:color="auto"/>
              <w:left w:val="single" w:sz="4" w:space="0" w:color="auto"/>
              <w:bottom w:val="single" w:sz="4" w:space="0" w:color="auto"/>
              <w:right w:val="single" w:sz="4" w:space="0" w:color="auto"/>
            </w:tcBorders>
          </w:tcPr>
          <w:p w:rsidR="00F727CB" w:rsidRPr="009851E0" w:rsidRDefault="00F727CB" w:rsidP="00A04153">
            <w:pPr>
              <w:spacing w:before="40" w:after="40"/>
              <w:rPr>
                <w:sz w:val="18"/>
                <w:szCs w:val="18"/>
                <w:lang w:val="ru-RU"/>
              </w:rPr>
            </w:pPr>
          </w:p>
        </w:tc>
      </w:tr>
    </w:tbl>
    <w:p w:rsidR="00EE4AB8" w:rsidRPr="009851E0" w:rsidRDefault="00F727CB" w:rsidP="008F7868">
      <w:pPr>
        <w:spacing w:before="480"/>
        <w:jc w:val="center"/>
        <w:rPr>
          <w:lang w:val="ru-RU"/>
        </w:rPr>
      </w:pPr>
      <w:r w:rsidRPr="009851E0">
        <w:rPr>
          <w:lang w:val="ru-RU"/>
        </w:rPr>
        <w:t>______________</w:t>
      </w:r>
    </w:p>
    <w:sectPr w:rsidR="00EE4AB8" w:rsidRPr="009851E0" w:rsidSect="009B78E4">
      <w:headerReference w:type="default" r:id="rId14"/>
      <w:footerReference w:type="default" r:id="rId15"/>
      <w:footerReference w:type="first" r:id="rId16"/>
      <w:pgSz w:w="16834" w:h="11907" w:orient="landscape" w:code="9"/>
      <w:pgMar w:top="1418" w:right="1134" w:bottom="1134" w:left="1134" w:header="624" w:footer="624"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8E9" w:rsidRDefault="00AC18E9">
      <w:r>
        <w:separator/>
      </w:r>
    </w:p>
  </w:endnote>
  <w:endnote w:type="continuationSeparator" w:id="0">
    <w:p w:rsidR="00AC18E9" w:rsidRDefault="00AC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E9" w:rsidRPr="00C35BC0" w:rsidRDefault="00AC18E9" w:rsidP="004F71C3">
    <w:pPr>
      <w:pStyle w:val="Footer"/>
    </w:pPr>
    <w:r>
      <w:rPr>
        <w:lang w:val="fr-CH"/>
      </w:rPr>
      <w:fldChar w:fldCharType="begin"/>
    </w:r>
    <w:r>
      <w:rPr>
        <w:lang w:val="fr-CH"/>
      </w:rPr>
      <w:instrText xml:space="preserve"> FILENAME \p  \* MERGEFORMAT </w:instrText>
    </w:r>
    <w:r>
      <w:rPr>
        <w:lang w:val="fr-CH"/>
      </w:rPr>
      <w:fldChar w:fldCharType="separate"/>
    </w:r>
    <w:r w:rsidR="009851E0">
      <w:rPr>
        <w:lang w:val="fr-CH"/>
      </w:rPr>
      <w:t>P</w:t>
    </w:r>
    <w:r w:rsidR="009851E0" w:rsidRPr="009851E0">
      <w:t>:\RUS\SG\CONSEIL\C18\000\040R.docx</w:t>
    </w:r>
    <w:r>
      <w:fldChar w:fldCharType="end"/>
    </w:r>
    <w:r w:rsidRPr="0055695C">
      <w:rPr>
        <w:lang w:val="fr-CH"/>
      </w:rPr>
      <w:t xml:space="preserve"> (</w:t>
    </w:r>
    <w:r w:rsidRPr="004B6966">
      <w:rPr>
        <w:lang w:val="fr-CH"/>
      </w:rPr>
      <w:t>429722</w:t>
    </w:r>
    <w:r w:rsidRPr="0055695C">
      <w:rPr>
        <w:lang w:val="fr-CH"/>
      </w:rPr>
      <w:t>)</w:t>
    </w:r>
    <w:r w:rsidRPr="0055695C">
      <w:rPr>
        <w:lang w:val="fr-CH"/>
      </w:rPr>
      <w:tab/>
    </w:r>
    <w:r>
      <w:fldChar w:fldCharType="begin"/>
    </w:r>
    <w:r>
      <w:instrText xml:space="preserve"> SAVEDATE \@ DD.MM.YY </w:instrText>
    </w:r>
    <w:r>
      <w:fldChar w:fldCharType="separate"/>
    </w:r>
    <w:r w:rsidR="003943A4">
      <w:t>23.08.18</w:t>
    </w:r>
    <w:r>
      <w:fldChar w:fldCharType="end"/>
    </w:r>
    <w:r w:rsidRPr="0055695C">
      <w:rPr>
        <w:lang w:val="fr-CH"/>
      </w:rPr>
      <w:tab/>
    </w:r>
    <w:r>
      <w:fldChar w:fldCharType="begin"/>
    </w:r>
    <w:r>
      <w:instrText xml:space="preserve"> PRINTDATE \@ DD.MM.YY </w:instrText>
    </w:r>
    <w:r>
      <w:fldChar w:fldCharType="separate"/>
    </w:r>
    <w:r w:rsidR="009851E0">
      <w:t>19.05.17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E9" w:rsidRDefault="00AC18E9" w:rsidP="004F71C3">
    <w:pPr>
      <w:spacing w:after="120"/>
      <w:jc w:val="center"/>
    </w:pPr>
    <w:r>
      <w:t xml:space="preserve">• </w:t>
    </w:r>
    <w:hyperlink r:id="rId1" w:history="1">
      <w:r>
        <w:rPr>
          <w:rStyle w:val="Hyperlink"/>
        </w:rPr>
        <w:t>http://www.itu.int/council</w:t>
      </w:r>
    </w:hyperlink>
    <w:r>
      <w:t xml:space="preserve"> •</w:t>
    </w:r>
  </w:p>
  <w:p w:rsidR="00AC18E9" w:rsidRDefault="00AC18E9" w:rsidP="004F71C3">
    <w:pPr>
      <w:pStyle w:val="Footer"/>
    </w:pPr>
    <w:r>
      <w:rPr>
        <w:lang w:val="fr-CH"/>
      </w:rPr>
      <w:fldChar w:fldCharType="begin"/>
    </w:r>
    <w:r>
      <w:rPr>
        <w:lang w:val="fr-CH"/>
      </w:rPr>
      <w:instrText xml:space="preserve"> FILENAME \p  \* MERGEFORMAT </w:instrText>
    </w:r>
    <w:r>
      <w:rPr>
        <w:lang w:val="fr-CH"/>
      </w:rPr>
      <w:fldChar w:fldCharType="separate"/>
    </w:r>
    <w:r w:rsidR="009851E0">
      <w:rPr>
        <w:lang w:val="fr-CH"/>
      </w:rPr>
      <w:t>P</w:t>
    </w:r>
    <w:r w:rsidR="009851E0" w:rsidRPr="009851E0">
      <w:t>:\RUS\SG\CONSEIL\C18\000\040R.docx</w:t>
    </w:r>
    <w:r>
      <w:fldChar w:fldCharType="end"/>
    </w:r>
    <w:r w:rsidRPr="0055695C">
      <w:rPr>
        <w:lang w:val="fr-CH"/>
      </w:rPr>
      <w:t xml:space="preserve"> (</w:t>
    </w:r>
    <w:r w:rsidRPr="004B6966">
      <w:rPr>
        <w:lang w:val="fr-CH"/>
      </w:rPr>
      <w:t>429722</w:t>
    </w:r>
    <w:r w:rsidRPr="0055695C">
      <w:rPr>
        <w:lang w:val="fr-CH"/>
      </w:rPr>
      <w:t>)</w:t>
    </w:r>
    <w:r w:rsidRPr="0055695C">
      <w:rPr>
        <w:lang w:val="fr-CH"/>
      </w:rPr>
      <w:tab/>
    </w:r>
    <w:r>
      <w:fldChar w:fldCharType="begin"/>
    </w:r>
    <w:r>
      <w:instrText xml:space="preserve"> SAVEDATE \@ DD.MM.YY </w:instrText>
    </w:r>
    <w:r>
      <w:fldChar w:fldCharType="separate"/>
    </w:r>
    <w:r w:rsidR="003943A4">
      <w:t>23.08.18</w:t>
    </w:r>
    <w:r>
      <w:fldChar w:fldCharType="end"/>
    </w:r>
    <w:r w:rsidRPr="0055695C">
      <w:rPr>
        <w:lang w:val="fr-CH"/>
      </w:rPr>
      <w:tab/>
    </w:r>
    <w:r>
      <w:fldChar w:fldCharType="begin"/>
    </w:r>
    <w:r>
      <w:instrText xml:space="preserve"> PRINTDATE \@ DD.MM.YY </w:instrText>
    </w:r>
    <w:r>
      <w:fldChar w:fldCharType="separate"/>
    </w:r>
    <w:r w:rsidR="009851E0">
      <w:t>19.05.17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E9" w:rsidRPr="00A86B08" w:rsidRDefault="00AC18E9" w:rsidP="008F7868">
    <w:pPr>
      <w:pStyle w:val="Footer"/>
      <w:tabs>
        <w:tab w:val="clear" w:pos="5954"/>
        <w:tab w:val="clear" w:pos="9639"/>
        <w:tab w:val="left" w:pos="7371"/>
        <w:tab w:val="right" w:pos="14459"/>
      </w:tabs>
    </w:pPr>
    <w:r>
      <w:fldChar w:fldCharType="begin"/>
    </w:r>
    <w:r w:rsidRPr="00A86B08">
      <w:instrText xml:space="preserve"> FILENAME \p  \* MERGEFORMAT </w:instrText>
    </w:r>
    <w:r>
      <w:fldChar w:fldCharType="separate"/>
    </w:r>
    <w:r w:rsidR="009851E0">
      <w:t>P:\RUS\SG\CONSEIL\C18\000\040R.docx</w:t>
    </w:r>
    <w:r>
      <w:fldChar w:fldCharType="end"/>
    </w:r>
    <w:r w:rsidRPr="00A86B08">
      <w:t xml:space="preserve"> (</w:t>
    </w:r>
    <w:r w:rsidR="008F7868">
      <w:t>429722</w:t>
    </w:r>
    <w:r w:rsidRPr="00A86B08">
      <w:t>)</w:t>
    </w:r>
    <w:r w:rsidRPr="00A86B08">
      <w:tab/>
    </w:r>
    <w:r>
      <w:fldChar w:fldCharType="begin"/>
    </w:r>
    <w:r>
      <w:instrText xml:space="preserve"> SAVEDATE \@ DD.MM.YY </w:instrText>
    </w:r>
    <w:r>
      <w:fldChar w:fldCharType="separate"/>
    </w:r>
    <w:r w:rsidR="003943A4">
      <w:t>23.08.18</w:t>
    </w:r>
    <w:r>
      <w:fldChar w:fldCharType="end"/>
    </w:r>
    <w:r w:rsidRPr="00A86B08">
      <w:tab/>
    </w:r>
    <w:r>
      <w:fldChar w:fldCharType="begin"/>
    </w:r>
    <w:r>
      <w:instrText xml:space="preserve"> PRINTDATE \@ DD.MM.YY </w:instrText>
    </w:r>
    <w:r>
      <w:fldChar w:fldCharType="separate"/>
    </w:r>
    <w:r w:rsidR="009851E0">
      <w:t>19.05.17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E9" w:rsidRPr="00A86B08" w:rsidRDefault="00AC18E9" w:rsidP="009B78E4">
    <w:pPr>
      <w:pStyle w:val="Footer"/>
      <w:tabs>
        <w:tab w:val="clear" w:pos="5954"/>
        <w:tab w:val="clear" w:pos="9639"/>
        <w:tab w:val="left" w:pos="7088"/>
        <w:tab w:val="right" w:pos="14459"/>
      </w:tabs>
    </w:pPr>
    <w:r>
      <w:fldChar w:fldCharType="begin"/>
    </w:r>
    <w:r w:rsidRPr="00A86B08">
      <w:instrText xml:space="preserve"> FILENAME \p  \* MERGEFORMAT </w:instrText>
    </w:r>
    <w:r>
      <w:fldChar w:fldCharType="separate"/>
    </w:r>
    <w:r w:rsidR="009851E0">
      <w:t>P:\RUS\SG\CONSEIL\C18\000\040R.docx</w:t>
    </w:r>
    <w:r>
      <w:fldChar w:fldCharType="end"/>
    </w:r>
    <w:r w:rsidRPr="00A86B08">
      <w:t xml:space="preserve"> (409490)</w:t>
    </w:r>
    <w:r w:rsidRPr="00A86B08">
      <w:tab/>
    </w:r>
    <w:r>
      <w:fldChar w:fldCharType="begin"/>
    </w:r>
    <w:r>
      <w:instrText xml:space="preserve"> SAVEDATE \@ DD.MM.YY </w:instrText>
    </w:r>
    <w:r>
      <w:fldChar w:fldCharType="separate"/>
    </w:r>
    <w:r w:rsidR="003943A4">
      <w:t>23.08.18</w:t>
    </w:r>
    <w:r>
      <w:fldChar w:fldCharType="end"/>
    </w:r>
    <w:r w:rsidRPr="00A86B08">
      <w:tab/>
    </w:r>
    <w:r>
      <w:fldChar w:fldCharType="begin"/>
    </w:r>
    <w:r>
      <w:instrText xml:space="preserve"> PRINTDATE \@ DD.MM.YY </w:instrText>
    </w:r>
    <w:r>
      <w:fldChar w:fldCharType="separate"/>
    </w:r>
    <w:r w:rsidR="009851E0">
      <w:t>19.05.17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8E9" w:rsidRDefault="00AC18E9">
      <w:r>
        <w:t>____________________</w:t>
      </w:r>
    </w:p>
  </w:footnote>
  <w:footnote w:type="continuationSeparator" w:id="0">
    <w:p w:rsidR="00AC18E9" w:rsidRDefault="00AC1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E9" w:rsidRDefault="00AC18E9" w:rsidP="00CE433C">
    <w:pPr>
      <w:pStyle w:val="Header"/>
    </w:pPr>
    <w:r>
      <w:fldChar w:fldCharType="begin"/>
    </w:r>
    <w:r>
      <w:instrText>PAGE</w:instrText>
    </w:r>
    <w:r>
      <w:fldChar w:fldCharType="separate"/>
    </w:r>
    <w:r w:rsidR="00E65E97">
      <w:rPr>
        <w:noProof/>
      </w:rPr>
      <w:t>30</w:t>
    </w:r>
    <w:r>
      <w:rPr>
        <w:noProof/>
      </w:rPr>
      <w:fldChar w:fldCharType="end"/>
    </w:r>
  </w:p>
  <w:p w:rsidR="00AC18E9" w:rsidRPr="00FC468B" w:rsidRDefault="00AC18E9" w:rsidP="004F71C3">
    <w:pPr>
      <w:pStyle w:val="Header"/>
      <w:spacing w:after="120"/>
      <w:rPr>
        <w:lang w:val="ru-RU"/>
      </w:rPr>
    </w:pPr>
    <w:r>
      <w:t>C1</w:t>
    </w:r>
    <w:r>
      <w:rPr>
        <w:lang w:val="ru-RU"/>
      </w:rPr>
      <w:t>8</w:t>
    </w:r>
    <w:r>
      <w:t>/</w:t>
    </w:r>
    <w:r>
      <w:rPr>
        <w:lang w:val="ru-RU"/>
      </w:rPr>
      <w:t>40</w:t>
    </w:r>
    <w:r>
      <w:t>-</w:t>
    </w:r>
    <w:r>
      <w:rPr>
        <w:lang w:val="en-US"/>
      </w:rPr>
      <w: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E9" w:rsidRDefault="00AC18E9" w:rsidP="00CE433C">
    <w:pPr>
      <w:pStyle w:val="Header"/>
    </w:pPr>
    <w:r>
      <w:fldChar w:fldCharType="begin"/>
    </w:r>
    <w:r>
      <w:instrText>PAGE</w:instrText>
    </w:r>
    <w:r>
      <w:fldChar w:fldCharType="separate"/>
    </w:r>
    <w:r w:rsidR="00E65E97">
      <w:rPr>
        <w:noProof/>
      </w:rPr>
      <w:t>57</w:t>
    </w:r>
    <w:r>
      <w:rPr>
        <w:noProof/>
      </w:rPr>
      <w:fldChar w:fldCharType="end"/>
    </w:r>
  </w:p>
  <w:p w:rsidR="00AC18E9" w:rsidRPr="00FC468B" w:rsidRDefault="00AC18E9" w:rsidP="005B5204">
    <w:pPr>
      <w:pStyle w:val="Header"/>
      <w:spacing w:after="120"/>
      <w:rPr>
        <w:lang w:val="ru-RU"/>
      </w:rPr>
    </w:pPr>
    <w:r>
      <w:t>C1</w:t>
    </w:r>
    <w:r>
      <w:rPr>
        <w:lang w:val="en-US"/>
      </w:rPr>
      <w:t>7</w:t>
    </w:r>
    <w:r>
      <w:t>/</w:t>
    </w:r>
    <w:r>
      <w:rPr>
        <w:lang w:val="ru-RU"/>
      </w:rPr>
      <w:t>40</w:t>
    </w:r>
    <w:r>
      <w:t>-</w:t>
    </w:r>
    <w:r>
      <w:rPr>
        <w:lang w:val="en-US"/>
      </w:rP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7CD"/>
    <w:multiLevelType w:val="hybridMultilevel"/>
    <w:tmpl w:val="CC68386E"/>
    <w:lvl w:ilvl="0" w:tplc="5846FF46">
      <w:start w:val="1"/>
      <w:numFmt w:val="decimal"/>
      <w:pStyle w:val="testobase"/>
      <w:lvlText w:val="%1."/>
      <w:lvlJc w:val="left"/>
      <w:pPr>
        <w:ind w:left="420" w:hanging="420"/>
      </w:pPr>
      <w:rPr>
        <w:rFonts w:hint="default"/>
        <w:lang w:val="en-US"/>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1E1843C3"/>
    <w:multiLevelType w:val="hybridMultilevel"/>
    <w:tmpl w:val="3DA2DD58"/>
    <w:lvl w:ilvl="0" w:tplc="5B46E080">
      <w:start w:val="91"/>
      <w:numFmt w:val="decimal"/>
      <w:pStyle w:val="recesug"/>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2B6612E4"/>
    <w:multiLevelType w:val="hybridMultilevel"/>
    <w:tmpl w:val="12C0D2E8"/>
    <w:lvl w:ilvl="0" w:tplc="A5821080">
      <w:start w:val="1"/>
      <w:numFmt w:val="decimal"/>
      <w:lvlText w:val="Recommenda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4634EA"/>
    <w:multiLevelType w:val="hybridMultilevel"/>
    <w:tmpl w:val="6136F190"/>
    <w:lvl w:ilvl="0" w:tplc="04100001">
      <w:start w:val="1"/>
      <w:numFmt w:val="bullet"/>
      <w:pStyle w:val="elencopuntato1"/>
      <w:lvlText w:val=""/>
      <w:lvlJc w:val="left"/>
      <w:pPr>
        <w:ind w:left="90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6A6502BB"/>
    <w:multiLevelType w:val="hybridMultilevel"/>
    <w:tmpl w:val="17C083C6"/>
    <w:lvl w:ilvl="0" w:tplc="B0C63C58">
      <w:start w:val="1"/>
      <w:numFmt w:val="decimal"/>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12"/>
    <w:rsid w:val="00000CA1"/>
    <w:rsid w:val="0000177F"/>
    <w:rsid w:val="000022A6"/>
    <w:rsid w:val="00003616"/>
    <w:rsid w:val="0000385B"/>
    <w:rsid w:val="00005CA4"/>
    <w:rsid w:val="000073BF"/>
    <w:rsid w:val="000104DF"/>
    <w:rsid w:val="00011B38"/>
    <w:rsid w:val="00013C48"/>
    <w:rsid w:val="00014082"/>
    <w:rsid w:val="00015010"/>
    <w:rsid w:val="000227CB"/>
    <w:rsid w:val="0002435F"/>
    <w:rsid w:val="00024F8C"/>
    <w:rsid w:val="00025284"/>
    <w:rsid w:val="00026F25"/>
    <w:rsid w:val="00027346"/>
    <w:rsid w:val="00027553"/>
    <w:rsid w:val="0003192F"/>
    <w:rsid w:val="00031D2D"/>
    <w:rsid w:val="000323F4"/>
    <w:rsid w:val="0003293F"/>
    <w:rsid w:val="00033DBC"/>
    <w:rsid w:val="00035E84"/>
    <w:rsid w:val="00036DF6"/>
    <w:rsid w:val="00042867"/>
    <w:rsid w:val="00042B7B"/>
    <w:rsid w:val="000458A4"/>
    <w:rsid w:val="00046530"/>
    <w:rsid w:val="00046672"/>
    <w:rsid w:val="000505E5"/>
    <w:rsid w:val="00052D5B"/>
    <w:rsid w:val="0005520D"/>
    <w:rsid w:val="000555E4"/>
    <w:rsid w:val="000619D6"/>
    <w:rsid w:val="00063016"/>
    <w:rsid w:val="000633FD"/>
    <w:rsid w:val="000662BB"/>
    <w:rsid w:val="00072413"/>
    <w:rsid w:val="0007483C"/>
    <w:rsid w:val="00076AF6"/>
    <w:rsid w:val="00085C4D"/>
    <w:rsid w:val="00085CF2"/>
    <w:rsid w:val="0009060F"/>
    <w:rsid w:val="000928B3"/>
    <w:rsid w:val="00092F36"/>
    <w:rsid w:val="000940E9"/>
    <w:rsid w:val="00094B4C"/>
    <w:rsid w:val="00095315"/>
    <w:rsid w:val="000969EE"/>
    <w:rsid w:val="00096B44"/>
    <w:rsid w:val="000A1B27"/>
    <w:rsid w:val="000A1BA4"/>
    <w:rsid w:val="000A438D"/>
    <w:rsid w:val="000A4485"/>
    <w:rsid w:val="000A4E88"/>
    <w:rsid w:val="000A6916"/>
    <w:rsid w:val="000A6ED5"/>
    <w:rsid w:val="000A74D5"/>
    <w:rsid w:val="000B102A"/>
    <w:rsid w:val="000B16CD"/>
    <w:rsid w:val="000B1705"/>
    <w:rsid w:val="000B1ADA"/>
    <w:rsid w:val="000B4F05"/>
    <w:rsid w:val="000B5425"/>
    <w:rsid w:val="000C4A60"/>
    <w:rsid w:val="000C5055"/>
    <w:rsid w:val="000C5DE2"/>
    <w:rsid w:val="000C67C7"/>
    <w:rsid w:val="000C7FDC"/>
    <w:rsid w:val="000D0496"/>
    <w:rsid w:val="000D1F13"/>
    <w:rsid w:val="000D612A"/>
    <w:rsid w:val="000D75B2"/>
    <w:rsid w:val="000D78BD"/>
    <w:rsid w:val="000E6180"/>
    <w:rsid w:val="000E7382"/>
    <w:rsid w:val="000F132B"/>
    <w:rsid w:val="000F1A10"/>
    <w:rsid w:val="000F36E1"/>
    <w:rsid w:val="000F655F"/>
    <w:rsid w:val="0010123B"/>
    <w:rsid w:val="0010437C"/>
    <w:rsid w:val="00104CAD"/>
    <w:rsid w:val="00106A7C"/>
    <w:rsid w:val="00107CE4"/>
    <w:rsid w:val="001121F5"/>
    <w:rsid w:val="001123DF"/>
    <w:rsid w:val="001144BA"/>
    <w:rsid w:val="00117809"/>
    <w:rsid w:val="00117BEC"/>
    <w:rsid w:val="00117CBE"/>
    <w:rsid w:val="00123CC7"/>
    <w:rsid w:val="0012712F"/>
    <w:rsid w:val="00131987"/>
    <w:rsid w:val="001336EA"/>
    <w:rsid w:val="00134860"/>
    <w:rsid w:val="0013497A"/>
    <w:rsid w:val="001361FF"/>
    <w:rsid w:val="001365DF"/>
    <w:rsid w:val="00137438"/>
    <w:rsid w:val="00140CE1"/>
    <w:rsid w:val="0014245E"/>
    <w:rsid w:val="0014298F"/>
    <w:rsid w:val="00144AB0"/>
    <w:rsid w:val="0014745B"/>
    <w:rsid w:val="0015054B"/>
    <w:rsid w:val="00150FE2"/>
    <w:rsid w:val="001527F0"/>
    <w:rsid w:val="001529FA"/>
    <w:rsid w:val="00156435"/>
    <w:rsid w:val="00163A66"/>
    <w:rsid w:val="0016572B"/>
    <w:rsid w:val="001674FF"/>
    <w:rsid w:val="0017046E"/>
    <w:rsid w:val="001708A0"/>
    <w:rsid w:val="00170A17"/>
    <w:rsid w:val="00170E25"/>
    <w:rsid w:val="001717F6"/>
    <w:rsid w:val="00172FAB"/>
    <w:rsid w:val="0017539C"/>
    <w:rsid w:val="00175476"/>
    <w:rsid w:val="00175AC2"/>
    <w:rsid w:val="0017609F"/>
    <w:rsid w:val="00176186"/>
    <w:rsid w:val="001767CE"/>
    <w:rsid w:val="00177C23"/>
    <w:rsid w:val="00180D51"/>
    <w:rsid w:val="00182082"/>
    <w:rsid w:val="001852BF"/>
    <w:rsid w:val="0018753B"/>
    <w:rsid w:val="001902C3"/>
    <w:rsid w:val="001909AA"/>
    <w:rsid w:val="00192589"/>
    <w:rsid w:val="00194E99"/>
    <w:rsid w:val="00195B4D"/>
    <w:rsid w:val="00196134"/>
    <w:rsid w:val="001969EA"/>
    <w:rsid w:val="001A3ECD"/>
    <w:rsid w:val="001A59CB"/>
    <w:rsid w:val="001A6382"/>
    <w:rsid w:val="001A7F84"/>
    <w:rsid w:val="001B0822"/>
    <w:rsid w:val="001B2755"/>
    <w:rsid w:val="001B281F"/>
    <w:rsid w:val="001C0E01"/>
    <w:rsid w:val="001C1D0B"/>
    <w:rsid w:val="001C51AD"/>
    <w:rsid w:val="001C628E"/>
    <w:rsid w:val="001C6BF9"/>
    <w:rsid w:val="001C76A2"/>
    <w:rsid w:val="001D0672"/>
    <w:rsid w:val="001D1884"/>
    <w:rsid w:val="001D1DF9"/>
    <w:rsid w:val="001D2580"/>
    <w:rsid w:val="001D2BEE"/>
    <w:rsid w:val="001D36C3"/>
    <w:rsid w:val="001D6B29"/>
    <w:rsid w:val="001E0F7B"/>
    <w:rsid w:val="001E185A"/>
    <w:rsid w:val="001E558A"/>
    <w:rsid w:val="001E5C49"/>
    <w:rsid w:val="001E7C40"/>
    <w:rsid w:val="001F185B"/>
    <w:rsid w:val="001F2484"/>
    <w:rsid w:val="001F36DD"/>
    <w:rsid w:val="001F4276"/>
    <w:rsid w:val="001F5129"/>
    <w:rsid w:val="001F6DF5"/>
    <w:rsid w:val="00200C3C"/>
    <w:rsid w:val="00201755"/>
    <w:rsid w:val="002026D7"/>
    <w:rsid w:val="00202852"/>
    <w:rsid w:val="00203AF2"/>
    <w:rsid w:val="00203D19"/>
    <w:rsid w:val="00204D14"/>
    <w:rsid w:val="00205494"/>
    <w:rsid w:val="00206C1D"/>
    <w:rsid w:val="0020767D"/>
    <w:rsid w:val="002079FD"/>
    <w:rsid w:val="002101D4"/>
    <w:rsid w:val="002119FD"/>
    <w:rsid w:val="00211E82"/>
    <w:rsid w:val="002130E0"/>
    <w:rsid w:val="00215D2D"/>
    <w:rsid w:val="002209DB"/>
    <w:rsid w:val="00222040"/>
    <w:rsid w:val="0022204D"/>
    <w:rsid w:val="00222C4D"/>
    <w:rsid w:val="00223CCC"/>
    <w:rsid w:val="002241C6"/>
    <w:rsid w:val="0022526F"/>
    <w:rsid w:val="00227160"/>
    <w:rsid w:val="002271DE"/>
    <w:rsid w:val="00231515"/>
    <w:rsid w:val="00231E79"/>
    <w:rsid w:val="00233A6F"/>
    <w:rsid w:val="002340B9"/>
    <w:rsid w:val="00234A1D"/>
    <w:rsid w:val="002364CE"/>
    <w:rsid w:val="002369A3"/>
    <w:rsid w:val="00241827"/>
    <w:rsid w:val="002424D9"/>
    <w:rsid w:val="0025379D"/>
    <w:rsid w:val="002551A6"/>
    <w:rsid w:val="002569E8"/>
    <w:rsid w:val="0025743F"/>
    <w:rsid w:val="002576A6"/>
    <w:rsid w:val="0026021D"/>
    <w:rsid w:val="002606B7"/>
    <w:rsid w:val="002614C9"/>
    <w:rsid w:val="00263E98"/>
    <w:rsid w:val="0026436C"/>
    <w:rsid w:val="00265875"/>
    <w:rsid w:val="00272A95"/>
    <w:rsid w:val="00272E7E"/>
    <w:rsid w:val="0027303B"/>
    <w:rsid w:val="002755D7"/>
    <w:rsid w:val="00280156"/>
    <w:rsid w:val="0028109B"/>
    <w:rsid w:val="0028120D"/>
    <w:rsid w:val="00282F35"/>
    <w:rsid w:val="00283B13"/>
    <w:rsid w:val="00284ACB"/>
    <w:rsid w:val="00284D02"/>
    <w:rsid w:val="0028559A"/>
    <w:rsid w:val="00285749"/>
    <w:rsid w:val="00286014"/>
    <w:rsid w:val="00291705"/>
    <w:rsid w:val="002957E5"/>
    <w:rsid w:val="002A07E4"/>
    <w:rsid w:val="002A165D"/>
    <w:rsid w:val="002A3465"/>
    <w:rsid w:val="002A378E"/>
    <w:rsid w:val="002A5B4E"/>
    <w:rsid w:val="002A65C0"/>
    <w:rsid w:val="002A7785"/>
    <w:rsid w:val="002B1F58"/>
    <w:rsid w:val="002B2F8A"/>
    <w:rsid w:val="002B3F69"/>
    <w:rsid w:val="002B61F2"/>
    <w:rsid w:val="002B66CD"/>
    <w:rsid w:val="002B758F"/>
    <w:rsid w:val="002B7DC2"/>
    <w:rsid w:val="002C0596"/>
    <w:rsid w:val="002C1C7A"/>
    <w:rsid w:val="002C25C6"/>
    <w:rsid w:val="002C2CD7"/>
    <w:rsid w:val="002C4C50"/>
    <w:rsid w:val="002C607F"/>
    <w:rsid w:val="002D2857"/>
    <w:rsid w:val="002D3CD0"/>
    <w:rsid w:val="002D3E55"/>
    <w:rsid w:val="002D5AFA"/>
    <w:rsid w:val="002D6EA7"/>
    <w:rsid w:val="002D7163"/>
    <w:rsid w:val="002D72D5"/>
    <w:rsid w:val="002E055D"/>
    <w:rsid w:val="002E225C"/>
    <w:rsid w:val="002E2827"/>
    <w:rsid w:val="002E44D6"/>
    <w:rsid w:val="002E6CFB"/>
    <w:rsid w:val="002E6D8D"/>
    <w:rsid w:val="002F29BC"/>
    <w:rsid w:val="002F4ABA"/>
    <w:rsid w:val="002F5709"/>
    <w:rsid w:val="002F7DB3"/>
    <w:rsid w:val="0030160F"/>
    <w:rsid w:val="00302F49"/>
    <w:rsid w:val="003031EE"/>
    <w:rsid w:val="00303B02"/>
    <w:rsid w:val="00304783"/>
    <w:rsid w:val="0030765B"/>
    <w:rsid w:val="00312093"/>
    <w:rsid w:val="00313066"/>
    <w:rsid w:val="00313927"/>
    <w:rsid w:val="00313A26"/>
    <w:rsid w:val="0031617C"/>
    <w:rsid w:val="00321398"/>
    <w:rsid w:val="00321DEA"/>
    <w:rsid w:val="00322D0D"/>
    <w:rsid w:val="003247F7"/>
    <w:rsid w:val="00324D79"/>
    <w:rsid w:val="0032522D"/>
    <w:rsid w:val="00326528"/>
    <w:rsid w:val="003306CB"/>
    <w:rsid w:val="00332140"/>
    <w:rsid w:val="00332DF4"/>
    <w:rsid w:val="003332B3"/>
    <w:rsid w:val="0033339F"/>
    <w:rsid w:val="00334BAD"/>
    <w:rsid w:val="003373E4"/>
    <w:rsid w:val="0033765A"/>
    <w:rsid w:val="00345D32"/>
    <w:rsid w:val="00346A56"/>
    <w:rsid w:val="0034706F"/>
    <w:rsid w:val="00347E4E"/>
    <w:rsid w:val="00351D7D"/>
    <w:rsid w:val="00351E4D"/>
    <w:rsid w:val="00352C43"/>
    <w:rsid w:val="003558A1"/>
    <w:rsid w:val="00356358"/>
    <w:rsid w:val="00362A11"/>
    <w:rsid w:val="003641B9"/>
    <w:rsid w:val="00364848"/>
    <w:rsid w:val="00367324"/>
    <w:rsid w:val="00371C2A"/>
    <w:rsid w:val="0037241D"/>
    <w:rsid w:val="0037385E"/>
    <w:rsid w:val="003746B2"/>
    <w:rsid w:val="00380661"/>
    <w:rsid w:val="00380675"/>
    <w:rsid w:val="00381137"/>
    <w:rsid w:val="00381753"/>
    <w:rsid w:val="00382BA6"/>
    <w:rsid w:val="003831CF"/>
    <w:rsid w:val="00383721"/>
    <w:rsid w:val="00386559"/>
    <w:rsid w:val="00387986"/>
    <w:rsid w:val="003913E0"/>
    <w:rsid w:val="0039369B"/>
    <w:rsid w:val="003942D4"/>
    <w:rsid w:val="00394366"/>
    <w:rsid w:val="003943A4"/>
    <w:rsid w:val="003958A8"/>
    <w:rsid w:val="003A2955"/>
    <w:rsid w:val="003A3FB4"/>
    <w:rsid w:val="003A6154"/>
    <w:rsid w:val="003A65C1"/>
    <w:rsid w:val="003A6F14"/>
    <w:rsid w:val="003A7795"/>
    <w:rsid w:val="003B02F4"/>
    <w:rsid w:val="003B0FB9"/>
    <w:rsid w:val="003B398B"/>
    <w:rsid w:val="003B6205"/>
    <w:rsid w:val="003B73FD"/>
    <w:rsid w:val="003C2533"/>
    <w:rsid w:val="003C3FA2"/>
    <w:rsid w:val="003C5EF2"/>
    <w:rsid w:val="003D1D4B"/>
    <w:rsid w:val="003D1F93"/>
    <w:rsid w:val="003D29A0"/>
    <w:rsid w:val="003D394A"/>
    <w:rsid w:val="003D55E0"/>
    <w:rsid w:val="003D5BED"/>
    <w:rsid w:val="003E1E03"/>
    <w:rsid w:val="003E5AA6"/>
    <w:rsid w:val="003E7B3B"/>
    <w:rsid w:val="003F2C5F"/>
    <w:rsid w:val="003F560D"/>
    <w:rsid w:val="003F5903"/>
    <w:rsid w:val="0040244D"/>
    <w:rsid w:val="0040435A"/>
    <w:rsid w:val="004074BA"/>
    <w:rsid w:val="00407C3C"/>
    <w:rsid w:val="00413D78"/>
    <w:rsid w:val="00414CDD"/>
    <w:rsid w:val="004152F2"/>
    <w:rsid w:val="00416A24"/>
    <w:rsid w:val="004203D6"/>
    <w:rsid w:val="004249CF"/>
    <w:rsid w:val="00424D18"/>
    <w:rsid w:val="00426543"/>
    <w:rsid w:val="00427327"/>
    <w:rsid w:val="00427904"/>
    <w:rsid w:val="00430A73"/>
    <w:rsid w:val="00431D9E"/>
    <w:rsid w:val="004339B1"/>
    <w:rsid w:val="00433CE8"/>
    <w:rsid w:val="00434A5C"/>
    <w:rsid w:val="004366F9"/>
    <w:rsid w:val="0044148F"/>
    <w:rsid w:val="00442167"/>
    <w:rsid w:val="00442A9C"/>
    <w:rsid w:val="00446B70"/>
    <w:rsid w:val="00446E57"/>
    <w:rsid w:val="00446E72"/>
    <w:rsid w:val="00451CB7"/>
    <w:rsid w:val="004520B5"/>
    <w:rsid w:val="00452C2B"/>
    <w:rsid w:val="0045391D"/>
    <w:rsid w:val="004544D9"/>
    <w:rsid w:val="004601FB"/>
    <w:rsid w:val="004612AD"/>
    <w:rsid w:val="0046161E"/>
    <w:rsid w:val="0046238F"/>
    <w:rsid w:val="0046396D"/>
    <w:rsid w:val="00465501"/>
    <w:rsid w:val="00465ECD"/>
    <w:rsid w:val="00466027"/>
    <w:rsid w:val="00466E22"/>
    <w:rsid w:val="0047027D"/>
    <w:rsid w:val="00473375"/>
    <w:rsid w:val="004749D6"/>
    <w:rsid w:val="00476930"/>
    <w:rsid w:val="004820A8"/>
    <w:rsid w:val="00482DD8"/>
    <w:rsid w:val="0048392C"/>
    <w:rsid w:val="004844DC"/>
    <w:rsid w:val="0048521A"/>
    <w:rsid w:val="004857C2"/>
    <w:rsid w:val="004903CC"/>
    <w:rsid w:val="00490E72"/>
    <w:rsid w:val="004916F9"/>
    <w:rsid w:val="004921C8"/>
    <w:rsid w:val="004A11D4"/>
    <w:rsid w:val="004A1A1C"/>
    <w:rsid w:val="004A1EE0"/>
    <w:rsid w:val="004A2B9D"/>
    <w:rsid w:val="004A2CAE"/>
    <w:rsid w:val="004A32D9"/>
    <w:rsid w:val="004A430C"/>
    <w:rsid w:val="004A4733"/>
    <w:rsid w:val="004A60C0"/>
    <w:rsid w:val="004A6176"/>
    <w:rsid w:val="004B05FC"/>
    <w:rsid w:val="004B0C53"/>
    <w:rsid w:val="004B1BF7"/>
    <w:rsid w:val="004B23C7"/>
    <w:rsid w:val="004B2536"/>
    <w:rsid w:val="004B3F98"/>
    <w:rsid w:val="004B5C62"/>
    <w:rsid w:val="004B6620"/>
    <w:rsid w:val="004B6966"/>
    <w:rsid w:val="004B705F"/>
    <w:rsid w:val="004C08CA"/>
    <w:rsid w:val="004C138C"/>
    <w:rsid w:val="004C1A09"/>
    <w:rsid w:val="004C3B6D"/>
    <w:rsid w:val="004D018D"/>
    <w:rsid w:val="004D15F0"/>
    <w:rsid w:val="004D1851"/>
    <w:rsid w:val="004D4857"/>
    <w:rsid w:val="004D520F"/>
    <w:rsid w:val="004D599D"/>
    <w:rsid w:val="004D5D30"/>
    <w:rsid w:val="004E07FA"/>
    <w:rsid w:val="004E2CF3"/>
    <w:rsid w:val="004E2D00"/>
    <w:rsid w:val="004E2EA5"/>
    <w:rsid w:val="004E3AEB"/>
    <w:rsid w:val="004E6D3A"/>
    <w:rsid w:val="004F0164"/>
    <w:rsid w:val="004F0576"/>
    <w:rsid w:val="004F3115"/>
    <w:rsid w:val="004F4BD3"/>
    <w:rsid w:val="004F5399"/>
    <w:rsid w:val="004F5A92"/>
    <w:rsid w:val="004F71C3"/>
    <w:rsid w:val="004F71F4"/>
    <w:rsid w:val="004F7773"/>
    <w:rsid w:val="004F7B47"/>
    <w:rsid w:val="0050097E"/>
    <w:rsid w:val="00500F34"/>
    <w:rsid w:val="0050223C"/>
    <w:rsid w:val="0050370F"/>
    <w:rsid w:val="005048C5"/>
    <w:rsid w:val="00506231"/>
    <w:rsid w:val="00507FB3"/>
    <w:rsid w:val="00510B83"/>
    <w:rsid w:val="005126BB"/>
    <w:rsid w:val="0051663A"/>
    <w:rsid w:val="005169E7"/>
    <w:rsid w:val="00516AA2"/>
    <w:rsid w:val="00516FB7"/>
    <w:rsid w:val="005173C5"/>
    <w:rsid w:val="005243FF"/>
    <w:rsid w:val="00532DD0"/>
    <w:rsid w:val="00533A76"/>
    <w:rsid w:val="00533E1B"/>
    <w:rsid w:val="0053584D"/>
    <w:rsid w:val="00536285"/>
    <w:rsid w:val="005368BA"/>
    <w:rsid w:val="00536ADC"/>
    <w:rsid w:val="005411B5"/>
    <w:rsid w:val="00542A09"/>
    <w:rsid w:val="00542C51"/>
    <w:rsid w:val="00542F98"/>
    <w:rsid w:val="00544EF9"/>
    <w:rsid w:val="00545D43"/>
    <w:rsid w:val="00547207"/>
    <w:rsid w:val="005507BB"/>
    <w:rsid w:val="00551AE1"/>
    <w:rsid w:val="00553329"/>
    <w:rsid w:val="00553B46"/>
    <w:rsid w:val="00555196"/>
    <w:rsid w:val="00555D67"/>
    <w:rsid w:val="00557749"/>
    <w:rsid w:val="00560B42"/>
    <w:rsid w:val="005614EF"/>
    <w:rsid w:val="00564FBC"/>
    <w:rsid w:val="005655A4"/>
    <w:rsid w:val="00570E21"/>
    <w:rsid w:val="005719F8"/>
    <w:rsid w:val="00571B7E"/>
    <w:rsid w:val="00574B5A"/>
    <w:rsid w:val="00574B74"/>
    <w:rsid w:val="0057593F"/>
    <w:rsid w:val="00581299"/>
    <w:rsid w:val="005823B0"/>
    <w:rsid w:val="00582442"/>
    <w:rsid w:val="005834FC"/>
    <w:rsid w:val="00583C2B"/>
    <w:rsid w:val="00584DC3"/>
    <w:rsid w:val="005861D1"/>
    <w:rsid w:val="00587678"/>
    <w:rsid w:val="0059225E"/>
    <w:rsid w:val="00592B72"/>
    <w:rsid w:val="00592DA2"/>
    <w:rsid w:val="005953B4"/>
    <w:rsid w:val="005956AE"/>
    <w:rsid w:val="005A32C0"/>
    <w:rsid w:val="005A64B0"/>
    <w:rsid w:val="005A7222"/>
    <w:rsid w:val="005A7A7D"/>
    <w:rsid w:val="005B0D63"/>
    <w:rsid w:val="005B17BA"/>
    <w:rsid w:val="005B20AE"/>
    <w:rsid w:val="005B2D9F"/>
    <w:rsid w:val="005B3F3A"/>
    <w:rsid w:val="005B4922"/>
    <w:rsid w:val="005B5204"/>
    <w:rsid w:val="005C3659"/>
    <w:rsid w:val="005C3759"/>
    <w:rsid w:val="005C3CEB"/>
    <w:rsid w:val="005C47B6"/>
    <w:rsid w:val="005C519C"/>
    <w:rsid w:val="005C73B7"/>
    <w:rsid w:val="005D262C"/>
    <w:rsid w:val="005D2C60"/>
    <w:rsid w:val="005D353C"/>
    <w:rsid w:val="005E233C"/>
    <w:rsid w:val="005E50BD"/>
    <w:rsid w:val="005F4864"/>
    <w:rsid w:val="005F5901"/>
    <w:rsid w:val="006025C4"/>
    <w:rsid w:val="0060388B"/>
    <w:rsid w:val="00603D18"/>
    <w:rsid w:val="0060516D"/>
    <w:rsid w:val="00605975"/>
    <w:rsid w:val="00605A67"/>
    <w:rsid w:val="0060737F"/>
    <w:rsid w:val="006078F7"/>
    <w:rsid w:val="006104DA"/>
    <w:rsid w:val="00610B6C"/>
    <w:rsid w:val="00610C46"/>
    <w:rsid w:val="00610C5C"/>
    <w:rsid w:val="00612525"/>
    <w:rsid w:val="00612D79"/>
    <w:rsid w:val="00613D85"/>
    <w:rsid w:val="00614969"/>
    <w:rsid w:val="006163D5"/>
    <w:rsid w:val="006218D3"/>
    <w:rsid w:val="00621AD2"/>
    <w:rsid w:val="0062281D"/>
    <w:rsid w:val="00622B5F"/>
    <w:rsid w:val="00623125"/>
    <w:rsid w:val="00633917"/>
    <w:rsid w:val="00634C27"/>
    <w:rsid w:val="006355BF"/>
    <w:rsid w:val="0063567F"/>
    <w:rsid w:val="0063619D"/>
    <w:rsid w:val="0063684F"/>
    <w:rsid w:val="006370F2"/>
    <w:rsid w:val="00640CC5"/>
    <w:rsid w:val="00641443"/>
    <w:rsid w:val="0064144F"/>
    <w:rsid w:val="00643814"/>
    <w:rsid w:val="00645543"/>
    <w:rsid w:val="006478FD"/>
    <w:rsid w:val="0065095D"/>
    <w:rsid w:val="006510CB"/>
    <w:rsid w:val="00651250"/>
    <w:rsid w:val="00651A71"/>
    <w:rsid w:val="006535F1"/>
    <w:rsid w:val="00654265"/>
    <w:rsid w:val="006547B1"/>
    <w:rsid w:val="0065557D"/>
    <w:rsid w:val="00656069"/>
    <w:rsid w:val="00657962"/>
    <w:rsid w:val="0066165D"/>
    <w:rsid w:val="00661918"/>
    <w:rsid w:val="00662984"/>
    <w:rsid w:val="0067055C"/>
    <w:rsid w:val="00671590"/>
    <w:rsid w:val="006716BB"/>
    <w:rsid w:val="0067246D"/>
    <w:rsid w:val="00672830"/>
    <w:rsid w:val="00672BD1"/>
    <w:rsid w:val="0067372A"/>
    <w:rsid w:val="00673B63"/>
    <w:rsid w:val="00674748"/>
    <w:rsid w:val="00676276"/>
    <w:rsid w:val="00680CEA"/>
    <w:rsid w:val="006827D0"/>
    <w:rsid w:val="006829F3"/>
    <w:rsid w:val="00682EF1"/>
    <w:rsid w:val="00683379"/>
    <w:rsid w:val="006833E1"/>
    <w:rsid w:val="0068385A"/>
    <w:rsid w:val="0068618C"/>
    <w:rsid w:val="00687CF9"/>
    <w:rsid w:val="00691ADA"/>
    <w:rsid w:val="00691D8E"/>
    <w:rsid w:val="006963DF"/>
    <w:rsid w:val="006A1558"/>
    <w:rsid w:val="006A2BF6"/>
    <w:rsid w:val="006A3BC7"/>
    <w:rsid w:val="006A3CA1"/>
    <w:rsid w:val="006A62B3"/>
    <w:rsid w:val="006A690E"/>
    <w:rsid w:val="006A6F49"/>
    <w:rsid w:val="006B31F5"/>
    <w:rsid w:val="006B34FA"/>
    <w:rsid w:val="006B36F0"/>
    <w:rsid w:val="006B3E48"/>
    <w:rsid w:val="006B4BB1"/>
    <w:rsid w:val="006B6DCC"/>
    <w:rsid w:val="006C0CAF"/>
    <w:rsid w:val="006C3234"/>
    <w:rsid w:val="006C35E3"/>
    <w:rsid w:val="006C5386"/>
    <w:rsid w:val="006C5D80"/>
    <w:rsid w:val="006C6E0F"/>
    <w:rsid w:val="006C76F9"/>
    <w:rsid w:val="006D0C65"/>
    <w:rsid w:val="006D5B51"/>
    <w:rsid w:val="006D6E3E"/>
    <w:rsid w:val="006E138A"/>
    <w:rsid w:val="006E1C41"/>
    <w:rsid w:val="006E3CE4"/>
    <w:rsid w:val="006E4196"/>
    <w:rsid w:val="006E656F"/>
    <w:rsid w:val="006F42FE"/>
    <w:rsid w:val="006F7B77"/>
    <w:rsid w:val="006F7E76"/>
    <w:rsid w:val="00702B95"/>
    <w:rsid w:val="00704883"/>
    <w:rsid w:val="007048E5"/>
    <w:rsid w:val="007104F6"/>
    <w:rsid w:val="00714514"/>
    <w:rsid w:val="00715209"/>
    <w:rsid w:val="007204D8"/>
    <w:rsid w:val="00723116"/>
    <w:rsid w:val="0072386F"/>
    <w:rsid w:val="00725B8E"/>
    <w:rsid w:val="00725C56"/>
    <w:rsid w:val="007315C4"/>
    <w:rsid w:val="007321FC"/>
    <w:rsid w:val="00734875"/>
    <w:rsid w:val="007354B0"/>
    <w:rsid w:val="00735616"/>
    <w:rsid w:val="00737C9C"/>
    <w:rsid w:val="007407F7"/>
    <w:rsid w:val="00740894"/>
    <w:rsid w:val="007422E8"/>
    <w:rsid w:val="00743403"/>
    <w:rsid w:val="00745191"/>
    <w:rsid w:val="007467C4"/>
    <w:rsid w:val="00746DEC"/>
    <w:rsid w:val="0075051B"/>
    <w:rsid w:val="00751F1D"/>
    <w:rsid w:val="00753492"/>
    <w:rsid w:val="00753DB8"/>
    <w:rsid w:val="007561B3"/>
    <w:rsid w:val="00757126"/>
    <w:rsid w:val="00757698"/>
    <w:rsid w:val="007605C6"/>
    <w:rsid w:val="00762680"/>
    <w:rsid w:val="00762F5B"/>
    <w:rsid w:val="0076344C"/>
    <w:rsid w:val="0076579C"/>
    <w:rsid w:val="007677D5"/>
    <w:rsid w:val="00770A1C"/>
    <w:rsid w:val="00771F15"/>
    <w:rsid w:val="00775252"/>
    <w:rsid w:val="007757B7"/>
    <w:rsid w:val="00776E32"/>
    <w:rsid w:val="00780526"/>
    <w:rsid w:val="00780FBB"/>
    <w:rsid w:val="00782DB5"/>
    <w:rsid w:val="00784B43"/>
    <w:rsid w:val="007853AE"/>
    <w:rsid w:val="00786E58"/>
    <w:rsid w:val="00787EAC"/>
    <w:rsid w:val="00790294"/>
    <w:rsid w:val="00790D71"/>
    <w:rsid w:val="00791548"/>
    <w:rsid w:val="0079174F"/>
    <w:rsid w:val="00791C6E"/>
    <w:rsid w:val="0079230C"/>
    <w:rsid w:val="0079305F"/>
    <w:rsid w:val="00794D34"/>
    <w:rsid w:val="00796FC7"/>
    <w:rsid w:val="00797338"/>
    <w:rsid w:val="007A08A3"/>
    <w:rsid w:val="007A141C"/>
    <w:rsid w:val="007A1B7B"/>
    <w:rsid w:val="007A29A2"/>
    <w:rsid w:val="007A31F4"/>
    <w:rsid w:val="007B179D"/>
    <w:rsid w:val="007B237A"/>
    <w:rsid w:val="007B257F"/>
    <w:rsid w:val="007B2C6D"/>
    <w:rsid w:val="007B3795"/>
    <w:rsid w:val="007B3D1C"/>
    <w:rsid w:val="007B4584"/>
    <w:rsid w:val="007B685D"/>
    <w:rsid w:val="007B76CF"/>
    <w:rsid w:val="007B7E1A"/>
    <w:rsid w:val="007C0EC0"/>
    <w:rsid w:val="007C1708"/>
    <w:rsid w:val="007C2527"/>
    <w:rsid w:val="007C4D9B"/>
    <w:rsid w:val="007C581B"/>
    <w:rsid w:val="007C6DD4"/>
    <w:rsid w:val="007C6FE3"/>
    <w:rsid w:val="007D055A"/>
    <w:rsid w:val="007D0B3B"/>
    <w:rsid w:val="007D2B1E"/>
    <w:rsid w:val="007D32FC"/>
    <w:rsid w:val="007D4A14"/>
    <w:rsid w:val="007D5ACF"/>
    <w:rsid w:val="007E0950"/>
    <w:rsid w:val="007E4DFF"/>
    <w:rsid w:val="007F0681"/>
    <w:rsid w:val="007F150E"/>
    <w:rsid w:val="007F2026"/>
    <w:rsid w:val="007F3001"/>
    <w:rsid w:val="007F31F7"/>
    <w:rsid w:val="007F6248"/>
    <w:rsid w:val="00800A16"/>
    <w:rsid w:val="0080237B"/>
    <w:rsid w:val="00802785"/>
    <w:rsid w:val="0080483A"/>
    <w:rsid w:val="0080597C"/>
    <w:rsid w:val="00806B0B"/>
    <w:rsid w:val="00806C3E"/>
    <w:rsid w:val="00810A7E"/>
    <w:rsid w:val="008116CF"/>
    <w:rsid w:val="008121B9"/>
    <w:rsid w:val="008130A3"/>
    <w:rsid w:val="00813E5E"/>
    <w:rsid w:val="008142A2"/>
    <w:rsid w:val="008151EE"/>
    <w:rsid w:val="0081557E"/>
    <w:rsid w:val="00816E46"/>
    <w:rsid w:val="00816E98"/>
    <w:rsid w:val="00817D5B"/>
    <w:rsid w:val="00820A2E"/>
    <w:rsid w:val="00823C98"/>
    <w:rsid w:val="00823CC9"/>
    <w:rsid w:val="00826221"/>
    <w:rsid w:val="00826CA7"/>
    <w:rsid w:val="00831CF7"/>
    <w:rsid w:val="00832822"/>
    <w:rsid w:val="00833384"/>
    <w:rsid w:val="008351B2"/>
    <w:rsid w:val="0083581B"/>
    <w:rsid w:val="00841AA0"/>
    <w:rsid w:val="0084411B"/>
    <w:rsid w:val="008503D8"/>
    <w:rsid w:val="00851DAE"/>
    <w:rsid w:val="0085345D"/>
    <w:rsid w:val="00853A54"/>
    <w:rsid w:val="008558B5"/>
    <w:rsid w:val="00856ABA"/>
    <w:rsid w:val="0086223C"/>
    <w:rsid w:val="00862E19"/>
    <w:rsid w:val="008633EC"/>
    <w:rsid w:val="00864AFF"/>
    <w:rsid w:val="00865B89"/>
    <w:rsid w:val="008667C3"/>
    <w:rsid w:val="00866E0F"/>
    <w:rsid w:val="00867362"/>
    <w:rsid w:val="0087022F"/>
    <w:rsid w:val="00870FF8"/>
    <w:rsid w:val="008715F6"/>
    <w:rsid w:val="00871FCA"/>
    <w:rsid w:val="0088065E"/>
    <w:rsid w:val="0088218A"/>
    <w:rsid w:val="008839E1"/>
    <w:rsid w:val="00884959"/>
    <w:rsid w:val="0088588B"/>
    <w:rsid w:val="00890DCF"/>
    <w:rsid w:val="00891815"/>
    <w:rsid w:val="00891840"/>
    <w:rsid w:val="00895FCC"/>
    <w:rsid w:val="00896910"/>
    <w:rsid w:val="00896C59"/>
    <w:rsid w:val="008A0610"/>
    <w:rsid w:val="008A1FDC"/>
    <w:rsid w:val="008A2DD9"/>
    <w:rsid w:val="008A38F5"/>
    <w:rsid w:val="008A4B33"/>
    <w:rsid w:val="008B163E"/>
    <w:rsid w:val="008B2F50"/>
    <w:rsid w:val="008B3ED5"/>
    <w:rsid w:val="008B4A6A"/>
    <w:rsid w:val="008B5785"/>
    <w:rsid w:val="008B5998"/>
    <w:rsid w:val="008B5C2B"/>
    <w:rsid w:val="008C07C3"/>
    <w:rsid w:val="008C0CFB"/>
    <w:rsid w:val="008C0DB9"/>
    <w:rsid w:val="008C3822"/>
    <w:rsid w:val="008C5322"/>
    <w:rsid w:val="008C58FA"/>
    <w:rsid w:val="008C7E27"/>
    <w:rsid w:val="008D0180"/>
    <w:rsid w:val="008D2060"/>
    <w:rsid w:val="008D61DB"/>
    <w:rsid w:val="008D7FB1"/>
    <w:rsid w:val="008E0D64"/>
    <w:rsid w:val="008E567F"/>
    <w:rsid w:val="008F09C5"/>
    <w:rsid w:val="008F1E7C"/>
    <w:rsid w:val="008F40C6"/>
    <w:rsid w:val="008F6432"/>
    <w:rsid w:val="008F7868"/>
    <w:rsid w:val="009018BF"/>
    <w:rsid w:val="0090290E"/>
    <w:rsid w:val="009031E9"/>
    <w:rsid w:val="00905F20"/>
    <w:rsid w:val="00906BF3"/>
    <w:rsid w:val="00907941"/>
    <w:rsid w:val="0091340B"/>
    <w:rsid w:val="009137F5"/>
    <w:rsid w:val="00914661"/>
    <w:rsid w:val="00915EB2"/>
    <w:rsid w:val="009173EF"/>
    <w:rsid w:val="009239A2"/>
    <w:rsid w:val="009239FF"/>
    <w:rsid w:val="00923B79"/>
    <w:rsid w:val="009241D7"/>
    <w:rsid w:val="009267AA"/>
    <w:rsid w:val="00926940"/>
    <w:rsid w:val="00927192"/>
    <w:rsid w:val="009326DB"/>
    <w:rsid w:val="00932906"/>
    <w:rsid w:val="009357DE"/>
    <w:rsid w:val="00936EAD"/>
    <w:rsid w:val="00940EBB"/>
    <w:rsid w:val="00941FC5"/>
    <w:rsid w:val="009420DC"/>
    <w:rsid w:val="00942686"/>
    <w:rsid w:val="009435C5"/>
    <w:rsid w:val="00943ED6"/>
    <w:rsid w:val="0094467D"/>
    <w:rsid w:val="00954314"/>
    <w:rsid w:val="00954A75"/>
    <w:rsid w:val="00955627"/>
    <w:rsid w:val="00961A2E"/>
    <w:rsid w:val="00961B0B"/>
    <w:rsid w:val="0096383C"/>
    <w:rsid w:val="009641C3"/>
    <w:rsid w:val="009643A7"/>
    <w:rsid w:val="00966394"/>
    <w:rsid w:val="009740C8"/>
    <w:rsid w:val="009746FB"/>
    <w:rsid w:val="00975664"/>
    <w:rsid w:val="00975DA9"/>
    <w:rsid w:val="00976E48"/>
    <w:rsid w:val="00977183"/>
    <w:rsid w:val="0097747C"/>
    <w:rsid w:val="00977DE8"/>
    <w:rsid w:val="00980D4D"/>
    <w:rsid w:val="0098162D"/>
    <w:rsid w:val="0098349E"/>
    <w:rsid w:val="009834B1"/>
    <w:rsid w:val="00983B49"/>
    <w:rsid w:val="009851E0"/>
    <w:rsid w:val="009913E5"/>
    <w:rsid w:val="0099690A"/>
    <w:rsid w:val="009A0989"/>
    <w:rsid w:val="009A58D5"/>
    <w:rsid w:val="009A6D4B"/>
    <w:rsid w:val="009A6EB5"/>
    <w:rsid w:val="009B24B2"/>
    <w:rsid w:val="009B38C3"/>
    <w:rsid w:val="009B3F6D"/>
    <w:rsid w:val="009B78E4"/>
    <w:rsid w:val="009C03CB"/>
    <w:rsid w:val="009C06A2"/>
    <w:rsid w:val="009C0827"/>
    <w:rsid w:val="009C16D4"/>
    <w:rsid w:val="009C3C7C"/>
    <w:rsid w:val="009C65CC"/>
    <w:rsid w:val="009C7431"/>
    <w:rsid w:val="009C77A0"/>
    <w:rsid w:val="009D1918"/>
    <w:rsid w:val="009D1EAC"/>
    <w:rsid w:val="009D3353"/>
    <w:rsid w:val="009D50D6"/>
    <w:rsid w:val="009D5F30"/>
    <w:rsid w:val="009E17BD"/>
    <w:rsid w:val="009E185A"/>
    <w:rsid w:val="009E1B99"/>
    <w:rsid w:val="009E2447"/>
    <w:rsid w:val="009E4DA7"/>
    <w:rsid w:val="009E503E"/>
    <w:rsid w:val="009E5698"/>
    <w:rsid w:val="009E674E"/>
    <w:rsid w:val="009E7915"/>
    <w:rsid w:val="009F01A9"/>
    <w:rsid w:val="009F0350"/>
    <w:rsid w:val="009F4CEF"/>
    <w:rsid w:val="009F53D4"/>
    <w:rsid w:val="009F6527"/>
    <w:rsid w:val="009F6ED6"/>
    <w:rsid w:val="00A007CA"/>
    <w:rsid w:val="00A0084C"/>
    <w:rsid w:val="00A023BA"/>
    <w:rsid w:val="00A02661"/>
    <w:rsid w:val="00A03CE7"/>
    <w:rsid w:val="00A04153"/>
    <w:rsid w:val="00A04CEC"/>
    <w:rsid w:val="00A06A40"/>
    <w:rsid w:val="00A06C66"/>
    <w:rsid w:val="00A11DFC"/>
    <w:rsid w:val="00A12BE4"/>
    <w:rsid w:val="00A1328D"/>
    <w:rsid w:val="00A155B2"/>
    <w:rsid w:val="00A15E0E"/>
    <w:rsid w:val="00A17958"/>
    <w:rsid w:val="00A17CAB"/>
    <w:rsid w:val="00A22B29"/>
    <w:rsid w:val="00A22E33"/>
    <w:rsid w:val="00A23031"/>
    <w:rsid w:val="00A242FA"/>
    <w:rsid w:val="00A25EFA"/>
    <w:rsid w:val="00A271CF"/>
    <w:rsid w:val="00A27550"/>
    <w:rsid w:val="00A27F92"/>
    <w:rsid w:val="00A32257"/>
    <w:rsid w:val="00A327F8"/>
    <w:rsid w:val="00A36D20"/>
    <w:rsid w:val="00A37885"/>
    <w:rsid w:val="00A438A7"/>
    <w:rsid w:val="00A44EB0"/>
    <w:rsid w:val="00A459B2"/>
    <w:rsid w:val="00A46BDF"/>
    <w:rsid w:val="00A55622"/>
    <w:rsid w:val="00A55FF9"/>
    <w:rsid w:val="00A56592"/>
    <w:rsid w:val="00A56DA2"/>
    <w:rsid w:val="00A609CB"/>
    <w:rsid w:val="00A6129F"/>
    <w:rsid w:val="00A627A9"/>
    <w:rsid w:val="00A6294B"/>
    <w:rsid w:val="00A62AD4"/>
    <w:rsid w:val="00A64766"/>
    <w:rsid w:val="00A6548E"/>
    <w:rsid w:val="00A65A7D"/>
    <w:rsid w:val="00A65BC5"/>
    <w:rsid w:val="00A65E12"/>
    <w:rsid w:val="00A66F90"/>
    <w:rsid w:val="00A67FE4"/>
    <w:rsid w:val="00A72187"/>
    <w:rsid w:val="00A750A3"/>
    <w:rsid w:val="00A771A4"/>
    <w:rsid w:val="00A77840"/>
    <w:rsid w:val="00A80896"/>
    <w:rsid w:val="00A810A1"/>
    <w:rsid w:val="00A81591"/>
    <w:rsid w:val="00A83502"/>
    <w:rsid w:val="00A851D6"/>
    <w:rsid w:val="00A855DC"/>
    <w:rsid w:val="00A85786"/>
    <w:rsid w:val="00A863AC"/>
    <w:rsid w:val="00A86B08"/>
    <w:rsid w:val="00A87019"/>
    <w:rsid w:val="00A87311"/>
    <w:rsid w:val="00A902DD"/>
    <w:rsid w:val="00A9158C"/>
    <w:rsid w:val="00A91D29"/>
    <w:rsid w:val="00A921AB"/>
    <w:rsid w:val="00A925B2"/>
    <w:rsid w:val="00A92F08"/>
    <w:rsid w:val="00A930F9"/>
    <w:rsid w:val="00A9359D"/>
    <w:rsid w:val="00A94BF4"/>
    <w:rsid w:val="00A95743"/>
    <w:rsid w:val="00A969C5"/>
    <w:rsid w:val="00A96D78"/>
    <w:rsid w:val="00A97556"/>
    <w:rsid w:val="00AA00BD"/>
    <w:rsid w:val="00AA06C1"/>
    <w:rsid w:val="00AA2491"/>
    <w:rsid w:val="00AA362B"/>
    <w:rsid w:val="00AA4949"/>
    <w:rsid w:val="00AA4F19"/>
    <w:rsid w:val="00AA71D6"/>
    <w:rsid w:val="00AA7EA7"/>
    <w:rsid w:val="00AB0A38"/>
    <w:rsid w:val="00AB0B47"/>
    <w:rsid w:val="00AB10D6"/>
    <w:rsid w:val="00AB119D"/>
    <w:rsid w:val="00AB2B54"/>
    <w:rsid w:val="00AB37BA"/>
    <w:rsid w:val="00AB581C"/>
    <w:rsid w:val="00AC047A"/>
    <w:rsid w:val="00AC18E9"/>
    <w:rsid w:val="00AC1F19"/>
    <w:rsid w:val="00AC2062"/>
    <w:rsid w:val="00AC4FCF"/>
    <w:rsid w:val="00AD1E4C"/>
    <w:rsid w:val="00AD48AE"/>
    <w:rsid w:val="00AD7F19"/>
    <w:rsid w:val="00AE2E08"/>
    <w:rsid w:val="00AE31BF"/>
    <w:rsid w:val="00AE32C0"/>
    <w:rsid w:val="00AE39A8"/>
    <w:rsid w:val="00AF2CA4"/>
    <w:rsid w:val="00AF3922"/>
    <w:rsid w:val="00AF3AC4"/>
    <w:rsid w:val="00AF65F9"/>
    <w:rsid w:val="00AF67EC"/>
    <w:rsid w:val="00AF6E49"/>
    <w:rsid w:val="00B001C9"/>
    <w:rsid w:val="00B00D46"/>
    <w:rsid w:val="00B02100"/>
    <w:rsid w:val="00B044EB"/>
    <w:rsid w:val="00B04A67"/>
    <w:rsid w:val="00B0559F"/>
    <w:rsid w:val="00B0583C"/>
    <w:rsid w:val="00B0646F"/>
    <w:rsid w:val="00B069C2"/>
    <w:rsid w:val="00B0779C"/>
    <w:rsid w:val="00B1107B"/>
    <w:rsid w:val="00B113BC"/>
    <w:rsid w:val="00B11A7A"/>
    <w:rsid w:val="00B11DBB"/>
    <w:rsid w:val="00B13146"/>
    <w:rsid w:val="00B148F7"/>
    <w:rsid w:val="00B17665"/>
    <w:rsid w:val="00B200EA"/>
    <w:rsid w:val="00B20DD9"/>
    <w:rsid w:val="00B21657"/>
    <w:rsid w:val="00B241A8"/>
    <w:rsid w:val="00B2670F"/>
    <w:rsid w:val="00B326A2"/>
    <w:rsid w:val="00B335C9"/>
    <w:rsid w:val="00B3426B"/>
    <w:rsid w:val="00B34CCF"/>
    <w:rsid w:val="00B352EB"/>
    <w:rsid w:val="00B369AD"/>
    <w:rsid w:val="00B40A81"/>
    <w:rsid w:val="00B44910"/>
    <w:rsid w:val="00B47D44"/>
    <w:rsid w:val="00B50AA8"/>
    <w:rsid w:val="00B50CE5"/>
    <w:rsid w:val="00B51F77"/>
    <w:rsid w:val="00B528BA"/>
    <w:rsid w:val="00B52919"/>
    <w:rsid w:val="00B53816"/>
    <w:rsid w:val="00B54D84"/>
    <w:rsid w:val="00B5650F"/>
    <w:rsid w:val="00B57286"/>
    <w:rsid w:val="00B649CF"/>
    <w:rsid w:val="00B661A2"/>
    <w:rsid w:val="00B66546"/>
    <w:rsid w:val="00B66EDB"/>
    <w:rsid w:val="00B72267"/>
    <w:rsid w:val="00B7252F"/>
    <w:rsid w:val="00B74C88"/>
    <w:rsid w:val="00B74D78"/>
    <w:rsid w:val="00B750A1"/>
    <w:rsid w:val="00B76EB6"/>
    <w:rsid w:val="00B76F30"/>
    <w:rsid w:val="00B81213"/>
    <w:rsid w:val="00B824C8"/>
    <w:rsid w:val="00B82F9B"/>
    <w:rsid w:val="00B84DF2"/>
    <w:rsid w:val="00B90F69"/>
    <w:rsid w:val="00BA088C"/>
    <w:rsid w:val="00BA5F08"/>
    <w:rsid w:val="00BA6CBB"/>
    <w:rsid w:val="00BA7A9B"/>
    <w:rsid w:val="00BB0302"/>
    <w:rsid w:val="00BB11E4"/>
    <w:rsid w:val="00BB1E45"/>
    <w:rsid w:val="00BB3D18"/>
    <w:rsid w:val="00BB3F33"/>
    <w:rsid w:val="00BB46A8"/>
    <w:rsid w:val="00BB4CDD"/>
    <w:rsid w:val="00BB5EC4"/>
    <w:rsid w:val="00BB76C1"/>
    <w:rsid w:val="00BC251A"/>
    <w:rsid w:val="00BC3526"/>
    <w:rsid w:val="00BC42F2"/>
    <w:rsid w:val="00BD00DB"/>
    <w:rsid w:val="00BD032B"/>
    <w:rsid w:val="00BD766F"/>
    <w:rsid w:val="00BE05D0"/>
    <w:rsid w:val="00BE0DB0"/>
    <w:rsid w:val="00BE0E73"/>
    <w:rsid w:val="00BE2640"/>
    <w:rsid w:val="00BE46D9"/>
    <w:rsid w:val="00BE551C"/>
    <w:rsid w:val="00BE72FC"/>
    <w:rsid w:val="00BE765F"/>
    <w:rsid w:val="00BE7BF4"/>
    <w:rsid w:val="00BF04BC"/>
    <w:rsid w:val="00BF2783"/>
    <w:rsid w:val="00BF34A5"/>
    <w:rsid w:val="00BF418F"/>
    <w:rsid w:val="00BF472F"/>
    <w:rsid w:val="00BF538D"/>
    <w:rsid w:val="00C0066F"/>
    <w:rsid w:val="00C01189"/>
    <w:rsid w:val="00C02180"/>
    <w:rsid w:val="00C026BE"/>
    <w:rsid w:val="00C03E76"/>
    <w:rsid w:val="00C04ACE"/>
    <w:rsid w:val="00C053B4"/>
    <w:rsid w:val="00C0737C"/>
    <w:rsid w:val="00C07EAD"/>
    <w:rsid w:val="00C110B3"/>
    <w:rsid w:val="00C1422F"/>
    <w:rsid w:val="00C1640D"/>
    <w:rsid w:val="00C1663F"/>
    <w:rsid w:val="00C17055"/>
    <w:rsid w:val="00C20B9A"/>
    <w:rsid w:val="00C233AB"/>
    <w:rsid w:val="00C2520C"/>
    <w:rsid w:val="00C25A22"/>
    <w:rsid w:val="00C25C57"/>
    <w:rsid w:val="00C269CF"/>
    <w:rsid w:val="00C311D6"/>
    <w:rsid w:val="00C31310"/>
    <w:rsid w:val="00C31853"/>
    <w:rsid w:val="00C32551"/>
    <w:rsid w:val="00C35BC0"/>
    <w:rsid w:val="00C374B5"/>
    <w:rsid w:val="00C374DE"/>
    <w:rsid w:val="00C374E4"/>
    <w:rsid w:val="00C37736"/>
    <w:rsid w:val="00C419F6"/>
    <w:rsid w:val="00C43D5F"/>
    <w:rsid w:val="00C47AD4"/>
    <w:rsid w:val="00C528CC"/>
    <w:rsid w:val="00C52D81"/>
    <w:rsid w:val="00C544D4"/>
    <w:rsid w:val="00C55198"/>
    <w:rsid w:val="00C55362"/>
    <w:rsid w:val="00C55F27"/>
    <w:rsid w:val="00C63173"/>
    <w:rsid w:val="00C633DD"/>
    <w:rsid w:val="00C63F84"/>
    <w:rsid w:val="00C704B7"/>
    <w:rsid w:val="00C721B4"/>
    <w:rsid w:val="00C72F90"/>
    <w:rsid w:val="00C75987"/>
    <w:rsid w:val="00C75B97"/>
    <w:rsid w:val="00C75F90"/>
    <w:rsid w:val="00C7645B"/>
    <w:rsid w:val="00C76FE2"/>
    <w:rsid w:val="00C8181B"/>
    <w:rsid w:val="00C82A00"/>
    <w:rsid w:val="00C83EA7"/>
    <w:rsid w:val="00C83FAA"/>
    <w:rsid w:val="00C8442F"/>
    <w:rsid w:val="00C84AF8"/>
    <w:rsid w:val="00C84B50"/>
    <w:rsid w:val="00C84B6C"/>
    <w:rsid w:val="00C8646A"/>
    <w:rsid w:val="00C86CD1"/>
    <w:rsid w:val="00C92BF8"/>
    <w:rsid w:val="00C946B9"/>
    <w:rsid w:val="00CA04C6"/>
    <w:rsid w:val="00CA0736"/>
    <w:rsid w:val="00CA0ADA"/>
    <w:rsid w:val="00CA214B"/>
    <w:rsid w:val="00CA540F"/>
    <w:rsid w:val="00CA6393"/>
    <w:rsid w:val="00CA710E"/>
    <w:rsid w:val="00CA7DD0"/>
    <w:rsid w:val="00CB022D"/>
    <w:rsid w:val="00CB18FF"/>
    <w:rsid w:val="00CB35BB"/>
    <w:rsid w:val="00CB49BD"/>
    <w:rsid w:val="00CB7D84"/>
    <w:rsid w:val="00CB7F68"/>
    <w:rsid w:val="00CC2BAD"/>
    <w:rsid w:val="00CC4F29"/>
    <w:rsid w:val="00CC626F"/>
    <w:rsid w:val="00CD0C08"/>
    <w:rsid w:val="00CD123D"/>
    <w:rsid w:val="00CD4438"/>
    <w:rsid w:val="00CD49E3"/>
    <w:rsid w:val="00CD71A9"/>
    <w:rsid w:val="00CD78C7"/>
    <w:rsid w:val="00CE03FB"/>
    <w:rsid w:val="00CE1DE6"/>
    <w:rsid w:val="00CE2869"/>
    <w:rsid w:val="00CE433C"/>
    <w:rsid w:val="00CE4EE4"/>
    <w:rsid w:val="00CE5361"/>
    <w:rsid w:val="00CE7346"/>
    <w:rsid w:val="00CF074E"/>
    <w:rsid w:val="00CF2A0E"/>
    <w:rsid w:val="00CF33F3"/>
    <w:rsid w:val="00CF3767"/>
    <w:rsid w:val="00CF3C17"/>
    <w:rsid w:val="00D0075B"/>
    <w:rsid w:val="00D02FEF"/>
    <w:rsid w:val="00D037A8"/>
    <w:rsid w:val="00D05732"/>
    <w:rsid w:val="00D06183"/>
    <w:rsid w:val="00D121C2"/>
    <w:rsid w:val="00D12A14"/>
    <w:rsid w:val="00D14CBD"/>
    <w:rsid w:val="00D16D32"/>
    <w:rsid w:val="00D175A6"/>
    <w:rsid w:val="00D2068A"/>
    <w:rsid w:val="00D22C42"/>
    <w:rsid w:val="00D24C7C"/>
    <w:rsid w:val="00D2688A"/>
    <w:rsid w:val="00D30CF2"/>
    <w:rsid w:val="00D31A49"/>
    <w:rsid w:val="00D33C39"/>
    <w:rsid w:val="00D33D41"/>
    <w:rsid w:val="00D34880"/>
    <w:rsid w:val="00D35560"/>
    <w:rsid w:val="00D37A1C"/>
    <w:rsid w:val="00D4107F"/>
    <w:rsid w:val="00D4393D"/>
    <w:rsid w:val="00D44892"/>
    <w:rsid w:val="00D44E89"/>
    <w:rsid w:val="00D462F5"/>
    <w:rsid w:val="00D468F2"/>
    <w:rsid w:val="00D53296"/>
    <w:rsid w:val="00D548EA"/>
    <w:rsid w:val="00D562CB"/>
    <w:rsid w:val="00D615E3"/>
    <w:rsid w:val="00D63021"/>
    <w:rsid w:val="00D64609"/>
    <w:rsid w:val="00D65041"/>
    <w:rsid w:val="00D67148"/>
    <w:rsid w:val="00D70716"/>
    <w:rsid w:val="00D71368"/>
    <w:rsid w:val="00D774E1"/>
    <w:rsid w:val="00D808A4"/>
    <w:rsid w:val="00D82688"/>
    <w:rsid w:val="00D826E6"/>
    <w:rsid w:val="00D901DA"/>
    <w:rsid w:val="00D90C46"/>
    <w:rsid w:val="00D92FFC"/>
    <w:rsid w:val="00D93AC5"/>
    <w:rsid w:val="00D94F04"/>
    <w:rsid w:val="00D96052"/>
    <w:rsid w:val="00D969D0"/>
    <w:rsid w:val="00D96F20"/>
    <w:rsid w:val="00DA0DF0"/>
    <w:rsid w:val="00DA0F3B"/>
    <w:rsid w:val="00DA148A"/>
    <w:rsid w:val="00DA29CD"/>
    <w:rsid w:val="00DA31FD"/>
    <w:rsid w:val="00DA49A6"/>
    <w:rsid w:val="00DA557F"/>
    <w:rsid w:val="00DA5D09"/>
    <w:rsid w:val="00DA5E6B"/>
    <w:rsid w:val="00DB1AD4"/>
    <w:rsid w:val="00DB4196"/>
    <w:rsid w:val="00DB44AD"/>
    <w:rsid w:val="00DB4541"/>
    <w:rsid w:val="00DB5075"/>
    <w:rsid w:val="00DB6328"/>
    <w:rsid w:val="00DB6D6C"/>
    <w:rsid w:val="00DC1270"/>
    <w:rsid w:val="00DD2135"/>
    <w:rsid w:val="00DD21BD"/>
    <w:rsid w:val="00DD21F7"/>
    <w:rsid w:val="00DD371C"/>
    <w:rsid w:val="00DD5CCF"/>
    <w:rsid w:val="00DE3B69"/>
    <w:rsid w:val="00DE5FE7"/>
    <w:rsid w:val="00DE7153"/>
    <w:rsid w:val="00DF1E91"/>
    <w:rsid w:val="00DF65B9"/>
    <w:rsid w:val="00E01FDA"/>
    <w:rsid w:val="00E02545"/>
    <w:rsid w:val="00E026CF"/>
    <w:rsid w:val="00E101F1"/>
    <w:rsid w:val="00E10E80"/>
    <w:rsid w:val="00E124F0"/>
    <w:rsid w:val="00E12F53"/>
    <w:rsid w:val="00E13B3B"/>
    <w:rsid w:val="00E1533A"/>
    <w:rsid w:val="00E155F2"/>
    <w:rsid w:val="00E15880"/>
    <w:rsid w:val="00E22412"/>
    <w:rsid w:val="00E22C41"/>
    <w:rsid w:val="00E24382"/>
    <w:rsid w:val="00E2621F"/>
    <w:rsid w:val="00E2649F"/>
    <w:rsid w:val="00E2779E"/>
    <w:rsid w:val="00E418C6"/>
    <w:rsid w:val="00E46841"/>
    <w:rsid w:val="00E563C9"/>
    <w:rsid w:val="00E57212"/>
    <w:rsid w:val="00E60F04"/>
    <w:rsid w:val="00E61202"/>
    <w:rsid w:val="00E636A6"/>
    <w:rsid w:val="00E647EF"/>
    <w:rsid w:val="00E65486"/>
    <w:rsid w:val="00E65E97"/>
    <w:rsid w:val="00E6733A"/>
    <w:rsid w:val="00E676CA"/>
    <w:rsid w:val="00E70B54"/>
    <w:rsid w:val="00E737BC"/>
    <w:rsid w:val="00E752E3"/>
    <w:rsid w:val="00E774F5"/>
    <w:rsid w:val="00E82A5B"/>
    <w:rsid w:val="00E860D4"/>
    <w:rsid w:val="00E948D8"/>
    <w:rsid w:val="00E94F60"/>
    <w:rsid w:val="00E97803"/>
    <w:rsid w:val="00EA0C92"/>
    <w:rsid w:val="00EA0D35"/>
    <w:rsid w:val="00EA1255"/>
    <w:rsid w:val="00EA3DA9"/>
    <w:rsid w:val="00EA57F8"/>
    <w:rsid w:val="00EA7C0D"/>
    <w:rsid w:val="00EB0D6F"/>
    <w:rsid w:val="00EB2232"/>
    <w:rsid w:val="00EB3B73"/>
    <w:rsid w:val="00EB539F"/>
    <w:rsid w:val="00EC3FCE"/>
    <w:rsid w:val="00EC5337"/>
    <w:rsid w:val="00ED0617"/>
    <w:rsid w:val="00ED34A5"/>
    <w:rsid w:val="00ED47DF"/>
    <w:rsid w:val="00EE1AC7"/>
    <w:rsid w:val="00EE4AB8"/>
    <w:rsid w:val="00EE6007"/>
    <w:rsid w:val="00EE6E52"/>
    <w:rsid w:val="00EE7E1A"/>
    <w:rsid w:val="00EF1C40"/>
    <w:rsid w:val="00EF3D06"/>
    <w:rsid w:val="00EF4C9C"/>
    <w:rsid w:val="00EF57D2"/>
    <w:rsid w:val="00EF5D4E"/>
    <w:rsid w:val="00EF6749"/>
    <w:rsid w:val="00EF69C9"/>
    <w:rsid w:val="00EF76E5"/>
    <w:rsid w:val="00F06885"/>
    <w:rsid w:val="00F13F85"/>
    <w:rsid w:val="00F14880"/>
    <w:rsid w:val="00F17C2F"/>
    <w:rsid w:val="00F2150A"/>
    <w:rsid w:val="00F219A4"/>
    <w:rsid w:val="00F223DA"/>
    <w:rsid w:val="00F231D8"/>
    <w:rsid w:val="00F234A2"/>
    <w:rsid w:val="00F235CC"/>
    <w:rsid w:val="00F30539"/>
    <w:rsid w:val="00F30947"/>
    <w:rsid w:val="00F30D9B"/>
    <w:rsid w:val="00F32358"/>
    <w:rsid w:val="00F32360"/>
    <w:rsid w:val="00F3336C"/>
    <w:rsid w:val="00F333EF"/>
    <w:rsid w:val="00F336A7"/>
    <w:rsid w:val="00F343D7"/>
    <w:rsid w:val="00F34DB9"/>
    <w:rsid w:val="00F35E0E"/>
    <w:rsid w:val="00F363E0"/>
    <w:rsid w:val="00F37289"/>
    <w:rsid w:val="00F37678"/>
    <w:rsid w:val="00F4142D"/>
    <w:rsid w:val="00F42E5E"/>
    <w:rsid w:val="00F43957"/>
    <w:rsid w:val="00F44F0A"/>
    <w:rsid w:val="00F4653C"/>
    <w:rsid w:val="00F46C5F"/>
    <w:rsid w:val="00F5077D"/>
    <w:rsid w:val="00F555F2"/>
    <w:rsid w:val="00F614B7"/>
    <w:rsid w:val="00F65903"/>
    <w:rsid w:val="00F65AEB"/>
    <w:rsid w:val="00F66D99"/>
    <w:rsid w:val="00F700E7"/>
    <w:rsid w:val="00F71DD0"/>
    <w:rsid w:val="00F727CB"/>
    <w:rsid w:val="00F7372A"/>
    <w:rsid w:val="00F75162"/>
    <w:rsid w:val="00F75B08"/>
    <w:rsid w:val="00F777C5"/>
    <w:rsid w:val="00F77925"/>
    <w:rsid w:val="00F77F32"/>
    <w:rsid w:val="00F8086F"/>
    <w:rsid w:val="00F82D1F"/>
    <w:rsid w:val="00F838EB"/>
    <w:rsid w:val="00F84000"/>
    <w:rsid w:val="00F872C0"/>
    <w:rsid w:val="00F875DD"/>
    <w:rsid w:val="00F910B1"/>
    <w:rsid w:val="00F91EB2"/>
    <w:rsid w:val="00F92404"/>
    <w:rsid w:val="00F92641"/>
    <w:rsid w:val="00F935BD"/>
    <w:rsid w:val="00F94A63"/>
    <w:rsid w:val="00FA0DEE"/>
    <w:rsid w:val="00FA17B8"/>
    <w:rsid w:val="00FA21D4"/>
    <w:rsid w:val="00FA296D"/>
    <w:rsid w:val="00FA4E2B"/>
    <w:rsid w:val="00FB0335"/>
    <w:rsid w:val="00FB06E8"/>
    <w:rsid w:val="00FB0B3C"/>
    <w:rsid w:val="00FB14B0"/>
    <w:rsid w:val="00FB6C6B"/>
    <w:rsid w:val="00FB73A6"/>
    <w:rsid w:val="00FB7596"/>
    <w:rsid w:val="00FB7FB8"/>
    <w:rsid w:val="00FC0983"/>
    <w:rsid w:val="00FC0B2B"/>
    <w:rsid w:val="00FC11F3"/>
    <w:rsid w:val="00FC4233"/>
    <w:rsid w:val="00FC468B"/>
    <w:rsid w:val="00FC5BA9"/>
    <w:rsid w:val="00FC65B6"/>
    <w:rsid w:val="00FC6B15"/>
    <w:rsid w:val="00FC74B7"/>
    <w:rsid w:val="00FD141E"/>
    <w:rsid w:val="00FD1616"/>
    <w:rsid w:val="00FD3BA4"/>
    <w:rsid w:val="00FD54D4"/>
    <w:rsid w:val="00FD6E77"/>
    <w:rsid w:val="00FE01CA"/>
    <w:rsid w:val="00FE4077"/>
    <w:rsid w:val="00FE47A2"/>
    <w:rsid w:val="00FE5DB3"/>
    <w:rsid w:val="00FE6D95"/>
    <w:rsid w:val="00FE778B"/>
    <w:rsid w:val="00FE77D2"/>
    <w:rsid w:val="00FE7C3B"/>
    <w:rsid w:val="00FF22FC"/>
    <w:rsid w:val="00FF3582"/>
    <w:rsid w:val="00FF37AA"/>
    <w:rsid w:val="00FF3D4F"/>
    <w:rsid w:val="00FF3F73"/>
    <w:rsid w:val="00FF47C7"/>
    <w:rsid w:val="00FF50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4116B15-EA9B-420C-ADB8-9A2D59B4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8A4"/>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uiPriority w:val="9"/>
    <w:qFormat/>
    <w:rsid w:val="00C31310"/>
    <w:pPr>
      <w:keepNext/>
      <w:keepLines/>
      <w:spacing w:before="480"/>
      <w:ind w:left="794" w:hanging="794"/>
      <w:outlineLvl w:val="0"/>
    </w:pPr>
    <w:rPr>
      <w:b/>
    </w:rPr>
  </w:style>
  <w:style w:type="paragraph" w:styleId="Heading2">
    <w:name w:val="heading 2"/>
    <w:basedOn w:val="Heading1"/>
    <w:next w:val="Normal"/>
    <w:link w:val="Heading2Char"/>
    <w:uiPriority w:val="9"/>
    <w:qFormat/>
    <w:rsid w:val="00C35BC0"/>
    <w:pPr>
      <w:spacing w:before="320"/>
      <w:outlineLvl w:val="1"/>
    </w:pPr>
  </w:style>
  <w:style w:type="paragraph" w:styleId="Heading3">
    <w:name w:val="heading 3"/>
    <w:basedOn w:val="Heading1"/>
    <w:next w:val="Normal"/>
    <w:link w:val="Heading3Char"/>
    <w:uiPriority w:val="9"/>
    <w:qFormat/>
    <w:rsid w:val="00C35BC0"/>
    <w:pPr>
      <w:spacing w:before="200"/>
      <w:ind w:left="0" w:firstLine="0"/>
      <w:outlineLvl w:val="2"/>
    </w:pPr>
    <w:rPr>
      <w:rFonts w:ascii="Times New Roman Bold" w:hAnsi="Times New Roman Bold"/>
      <w:i/>
    </w:rPr>
  </w:style>
  <w:style w:type="paragraph" w:styleId="Heading4">
    <w:name w:val="heading 4"/>
    <w:basedOn w:val="Heading3"/>
    <w:next w:val="Normal"/>
    <w:link w:val="Heading4Char"/>
    <w:qFormat/>
    <w:rsid w:val="00C35BC0"/>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C35BC0"/>
    <w:pPr>
      <w:outlineLvl w:val="4"/>
    </w:pPr>
  </w:style>
  <w:style w:type="paragraph" w:styleId="Heading6">
    <w:name w:val="heading 6"/>
    <w:basedOn w:val="Heading4"/>
    <w:next w:val="Normal"/>
    <w:link w:val="Heading6Char"/>
    <w:qFormat/>
    <w:rsid w:val="00C35BC0"/>
    <w:pPr>
      <w:outlineLvl w:val="5"/>
    </w:pPr>
  </w:style>
  <w:style w:type="paragraph" w:styleId="Heading7">
    <w:name w:val="heading 7"/>
    <w:basedOn w:val="Heading6"/>
    <w:next w:val="Normal"/>
    <w:link w:val="Heading7Char"/>
    <w:qFormat/>
    <w:rsid w:val="00C35BC0"/>
    <w:pPr>
      <w:outlineLvl w:val="6"/>
    </w:pPr>
  </w:style>
  <w:style w:type="paragraph" w:styleId="Heading8">
    <w:name w:val="heading 8"/>
    <w:basedOn w:val="Heading6"/>
    <w:next w:val="Normal"/>
    <w:link w:val="Heading8Char"/>
    <w:qFormat/>
    <w:rsid w:val="00C35BC0"/>
    <w:pPr>
      <w:outlineLvl w:val="7"/>
    </w:pPr>
  </w:style>
  <w:style w:type="paragraph" w:styleId="Heading9">
    <w:name w:val="heading 9"/>
    <w:basedOn w:val="Heading6"/>
    <w:next w:val="Normal"/>
    <w:link w:val="Heading9Char"/>
    <w:qFormat/>
    <w:rsid w:val="00C35B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C35BC0"/>
  </w:style>
  <w:style w:type="paragraph" w:styleId="TOC4">
    <w:name w:val="toc 4"/>
    <w:basedOn w:val="TOC3"/>
    <w:rsid w:val="00C35BC0"/>
    <w:pPr>
      <w:spacing w:before="80"/>
    </w:pPr>
  </w:style>
  <w:style w:type="paragraph" w:styleId="TOC3">
    <w:name w:val="toc 3"/>
    <w:basedOn w:val="TOC2"/>
    <w:uiPriority w:val="39"/>
    <w:qFormat/>
    <w:rsid w:val="00C35BC0"/>
  </w:style>
  <w:style w:type="paragraph" w:styleId="TOC2">
    <w:name w:val="toc 2"/>
    <w:basedOn w:val="TOC1"/>
    <w:uiPriority w:val="39"/>
    <w:qFormat/>
    <w:rsid w:val="00C35BC0"/>
    <w:pPr>
      <w:spacing w:before="160"/>
    </w:pPr>
  </w:style>
  <w:style w:type="paragraph" w:styleId="TOC1">
    <w:name w:val="toc 1"/>
    <w:basedOn w:val="Normal"/>
    <w:uiPriority w:val="39"/>
    <w:qFormat/>
    <w:rsid w:val="00C35BC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C35BC0"/>
  </w:style>
  <w:style w:type="paragraph" w:styleId="TOC6">
    <w:name w:val="toc 6"/>
    <w:basedOn w:val="TOC4"/>
    <w:rsid w:val="00C35BC0"/>
  </w:style>
  <w:style w:type="paragraph" w:styleId="TOC5">
    <w:name w:val="toc 5"/>
    <w:basedOn w:val="TOC4"/>
    <w:rsid w:val="00C35BC0"/>
  </w:style>
  <w:style w:type="paragraph" w:styleId="Index7">
    <w:name w:val="index 7"/>
    <w:basedOn w:val="Normal"/>
    <w:next w:val="Normal"/>
    <w:rsid w:val="00C35BC0"/>
    <w:pPr>
      <w:ind w:left="1698"/>
    </w:pPr>
  </w:style>
  <w:style w:type="paragraph" w:styleId="Index6">
    <w:name w:val="index 6"/>
    <w:basedOn w:val="Normal"/>
    <w:next w:val="Normal"/>
    <w:rsid w:val="00C35BC0"/>
    <w:pPr>
      <w:ind w:left="1415"/>
    </w:pPr>
  </w:style>
  <w:style w:type="paragraph" w:styleId="Index5">
    <w:name w:val="index 5"/>
    <w:basedOn w:val="Normal"/>
    <w:next w:val="Normal"/>
    <w:rsid w:val="00C35BC0"/>
    <w:pPr>
      <w:ind w:left="1132"/>
    </w:pPr>
  </w:style>
  <w:style w:type="paragraph" w:styleId="Index4">
    <w:name w:val="index 4"/>
    <w:basedOn w:val="Normal"/>
    <w:next w:val="Normal"/>
    <w:rsid w:val="00C35BC0"/>
    <w:pPr>
      <w:ind w:left="849"/>
    </w:pPr>
  </w:style>
  <w:style w:type="paragraph" w:styleId="Index3">
    <w:name w:val="index 3"/>
    <w:basedOn w:val="Normal"/>
    <w:next w:val="Normal"/>
    <w:rsid w:val="00C35BC0"/>
    <w:pPr>
      <w:ind w:left="566"/>
    </w:pPr>
  </w:style>
  <w:style w:type="paragraph" w:styleId="Index2">
    <w:name w:val="index 2"/>
    <w:basedOn w:val="Normal"/>
    <w:next w:val="Normal"/>
    <w:rsid w:val="00C35BC0"/>
    <w:pPr>
      <w:ind w:left="283"/>
    </w:pPr>
  </w:style>
  <w:style w:type="paragraph" w:styleId="Index1">
    <w:name w:val="index 1"/>
    <w:basedOn w:val="Normal"/>
    <w:next w:val="Normal"/>
    <w:rsid w:val="00C35BC0"/>
  </w:style>
  <w:style w:type="character" w:styleId="LineNumber">
    <w:name w:val="line number"/>
    <w:basedOn w:val="DefaultParagraphFont"/>
    <w:rsid w:val="00C35BC0"/>
  </w:style>
  <w:style w:type="paragraph" w:styleId="IndexHeading">
    <w:name w:val="index heading"/>
    <w:basedOn w:val="Normal"/>
    <w:next w:val="Index1"/>
    <w:rsid w:val="00C35BC0"/>
  </w:style>
  <w:style w:type="paragraph" w:styleId="Footer">
    <w:name w:val="footer"/>
    <w:basedOn w:val="Normal"/>
    <w:link w:val="FooterChar"/>
    <w:uiPriority w:val="99"/>
    <w:rsid w:val="00C35BC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C35BC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C35BC0"/>
    <w:rPr>
      <w:position w:val="6"/>
      <w:sz w:val="16"/>
    </w:rPr>
  </w:style>
  <w:style w:type="paragraph" w:styleId="FootnoteText">
    <w:name w:val="footnote text"/>
    <w:basedOn w:val="Normal"/>
    <w:link w:val="FootnoteTextChar"/>
    <w:rsid w:val="00C35BC0"/>
    <w:pPr>
      <w:keepLines/>
      <w:tabs>
        <w:tab w:val="left" w:pos="255"/>
      </w:tabs>
      <w:spacing w:before="60"/>
      <w:ind w:left="284" w:hanging="284"/>
    </w:pPr>
    <w:rPr>
      <w:sz w:val="20"/>
    </w:rPr>
  </w:style>
  <w:style w:type="paragraph" w:styleId="NormalIndent">
    <w:name w:val="Normal Indent"/>
    <w:basedOn w:val="Normal"/>
    <w:rsid w:val="00C35BC0"/>
    <w:pPr>
      <w:ind w:left="794"/>
    </w:pPr>
  </w:style>
  <w:style w:type="paragraph" w:customStyle="1" w:styleId="enumlev1">
    <w:name w:val="enumlev1"/>
    <w:basedOn w:val="Normal"/>
    <w:link w:val="enumlev1Char"/>
    <w:rsid w:val="00C35BC0"/>
    <w:pPr>
      <w:tabs>
        <w:tab w:val="left" w:pos="2608"/>
        <w:tab w:val="left" w:pos="3345"/>
      </w:tabs>
      <w:spacing w:before="80"/>
      <w:ind w:left="794" w:hanging="794"/>
    </w:pPr>
  </w:style>
  <w:style w:type="paragraph" w:customStyle="1" w:styleId="enumlev2">
    <w:name w:val="enumlev2"/>
    <w:basedOn w:val="enumlev1"/>
    <w:rsid w:val="00C35BC0"/>
    <w:pPr>
      <w:ind w:left="1191" w:hanging="397"/>
    </w:pPr>
  </w:style>
  <w:style w:type="paragraph" w:customStyle="1" w:styleId="enumlev3">
    <w:name w:val="enumlev3"/>
    <w:basedOn w:val="enumlev2"/>
    <w:rsid w:val="00C35BC0"/>
    <w:pPr>
      <w:ind w:left="1588"/>
    </w:pPr>
  </w:style>
  <w:style w:type="paragraph" w:customStyle="1" w:styleId="Normalaftertitle">
    <w:name w:val="Normal after title"/>
    <w:basedOn w:val="Normal"/>
    <w:next w:val="Normal"/>
    <w:link w:val="NormalaftertitleChar"/>
    <w:rsid w:val="00C35BC0"/>
    <w:pPr>
      <w:spacing w:before="320"/>
    </w:pPr>
  </w:style>
  <w:style w:type="paragraph" w:customStyle="1" w:styleId="Equation">
    <w:name w:val="Equation"/>
    <w:basedOn w:val="Normal"/>
    <w:rsid w:val="00C35BC0"/>
    <w:pPr>
      <w:tabs>
        <w:tab w:val="clear" w:pos="1191"/>
        <w:tab w:val="clear" w:pos="1588"/>
        <w:tab w:val="clear" w:pos="1985"/>
        <w:tab w:val="center" w:pos="4820"/>
        <w:tab w:val="right" w:pos="9639"/>
      </w:tabs>
    </w:pPr>
  </w:style>
  <w:style w:type="paragraph" w:customStyle="1" w:styleId="Head">
    <w:name w:val="Head"/>
    <w:basedOn w:val="Normal"/>
    <w:rsid w:val="00C35BC0"/>
    <w:pPr>
      <w:tabs>
        <w:tab w:val="left" w:pos="6663"/>
      </w:tabs>
      <w:overflowPunct/>
      <w:autoSpaceDE/>
      <w:autoSpaceDN/>
      <w:adjustRightInd/>
      <w:spacing w:before="0"/>
      <w:textAlignment w:val="auto"/>
    </w:pPr>
  </w:style>
  <w:style w:type="paragraph" w:customStyle="1" w:styleId="toc0">
    <w:name w:val="toc 0"/>
    <w:basedOn w:val="Normal"/>
    <w:next w:val="TOC1"/>
    <w:rsid w:val="00C35BC0"/>
    <w:pPr>
      <w:tabs>
        <w:tab w:val="clear" w:pos="1191"/>
        <w:tab w:val="clear" w:pos="1588"/>
        <w:tab w:val="clear" w:pos="1985"/>
        <w:tab w:val="center" w:pos="8789"/>
      </w:tabs>
    </w:pPr>
    <w:rPr>
      <w:b/>
    </w:rPr>
  </w:style>
  <w:style w:type="paragraph" w:styleId="List">
    <w:name w:val="List"/>
    <w:basedOn w:val="Normal"/>
    <w:rsid w:val="00C35BC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C35BC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C35BC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C35BC0"/>
    <w:pPr>
      <w:spacing w:before="480"/>
      <w:jc w:val="center"/>
    </w:pPr>
    <w:rPr>
      <w:b/>
      <w:sz w:val="26"/>
    </w:rPr>
  </w:style>
  <w:style w:type="paragraph" w:customStyle="1" w:styleId="meeting">
    <w:name w:val="meeting"/>
    <w:basedOn w:val="Head"/>
    <w:next w:val="Head"/>
    <w:rsid w:val="00C35BC0"/>
    <w:pPr>
      <w:tabs>
        <w:tab w:val="left" w:pos="7371"/>
      </w:tabs>
      <w:spacing w:after="567"/>
    </w:pPr>
  </w:style>
  <w:style w:type="paragraph" w:customStyle="1" w:styleId="Subject">
    <w:name w:val="Subject"/>
    <w:basedOn w:val="Normal"/>
    <w:next w:val="Source"/>
    <w:rsid w:val="00C35BC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C35BC0"/>
  </w:style>
  <w:style w:type="paragraph" w:customStyle="1" w:styleId="Data">
    <w:name w:val="Data"/>
    <w:basedOn w:val="Subject"/>
    <w:next w:val="Subject"/>
    <w:rsid w:val="00C35BC0"/>
  </w:style>
  <w:style w:type="paragraph" w:customStyle="1" w:styleId="Reasons">
    <w:name w:val="Reasons"/>
    <w:basedOn w:val="Normal"/>
    <w:qFormat/>
    <w:rsid w:val="00C35BC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C35BC0"/>
    <w:rPr>
      <w:color w:val="0000FF"/>
      <w:u w:val="single"/>
    </w:rPr>
  </w:style>
  <w:style w:type="paragraph" w:customStyle="1" w:styleId="FirstFooter">
    <w:name w:val="FirstFooter"/>
    <w:basedOn w:val="Footer"/>
    <w:rsid w:val="00C35BC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C35BC0"/>
    <w:pPr>
      <w:tabs>
        <w:tab w:val="clear" w:pos="794"/>
        <w:tab w:val="clear" w:pos="1191"/>
        <w:tab w:val="clear" w:pos="1588"/>
        <w:tab w:val="clear" w:pos="1985"/>
      </w:tabs>
      <w:spacing w:before="80"/>
    </w:pPr>
  </w:style>
  <w:style w:type="paragraph" w:styleId="TOC9">
    <w:name w:val="toc 9"/>
    <w:basedOn w:val="TOC4"/>
    <w:rsid w:val="00C35BC0"/>
  </w:style>
  <w:style w:type="paragraph" w:customStyle="1" w:styleId="Headingb">
    <w:name w:val="Heading_b"/>
    <w:basedOn w:val="Heading3"/>
    <w:next w:val="Normal"/>
    <w:rsid w:val="0076344C"/>
    <w:pPr>
      <w:tabs>
        <w:tab w:val="clear" w:pos="1191"/>
        <w:tab w:val="clear" w:pos="1588"/>
        <w:tab w:val="clear" w:pos="1985"/>
        <w:tab w:val="left" w:pos="2127"/>
        <w:tab w:val="left" w:pos="2410"/>
        <w:tab w:val="left" w:pos="2921"/>
        <w:tab w:val="left" w:pos="3261"/>
      </w:tabs>
      <w:overflowPunct/>
      <w:autoSpaceDE/>
      <w:autoSpaceDN/>
      <w:adjustRightInd/>
      <w:spacing w:before="240"/>
      <w:textAlignment w:val="auto"/>
      <w:outlineLvl w:val="9"/>
    </w:pPr>
    <w:rPr>
      <w:rFonts w:ascii="Calibri" w:hAnsi="Calibri"/>
      <w:i w:val="0"/>
    </w:rPr>
  </w:style>
  <w:style w:type="character" w:styleId="FollowedHyperlink">
    <w:name w:val="FollowedHyperlink"/>
    <w:basedOn w:val="DefaultParagraphFont"/>
    <w:rsid w:val="00C35BC0"/>
    <w:rPr>
      <w:color w:val="800080"/>
      <w:u w:val="single"/>
    </w:rPr>
  </w:style>
  <w:style w:type="paragraph" w:customStyle="1" w:styleId="Title1">
    <w:name w:val="Title 1"/>
    <w:basedOn w:val="Source"/>
    <w:next w:val="Title2"/>
    <w:rsid w:val="00C35BC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C35BC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C35BC0"/>
    <w:pPr>
      <w:spacing w:before="240"/>
    </w:pPr>
    <w:rPr>
      <w:caps w:val="0"/>
    </w:rPr>
  </w:style>
  <w:style w:type="paragraph" w:customStyle="1" w:styleId="Title4">
    <w:name w:val="Title 4"/>
    <w:basedOn w:val="Title3"/>
    <w:next w:val="Heading1"/>
    <w:rsid w:val="00C35BC0"/>
    <w:rPr>
      <w:b/>
    </w:rPr>
  </w:style>
  <w:style w:type="paragraph" w:customStyle="1" w:styleId="dnum">
    <w:name w:val="dnum"/>
    <w:basedOn w:val="Normal"/>
    <w:rsid w:val="00C35BC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C35BC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C35BC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C35BC0"/>
    <w:pPr>
      <w:keepNext/>
      <w:keepLines/>
      <w:spacing w:before="480" w:after="80"/>
      <w:jc w:val="center"/>
    </w:pPr>
    <w:rPr>
      <w:caps/>
      <w:sz w:val="26"/>
    </w:rPr>
  </w:style>
  <w:style w:type="paragraph" w:customStyle="1" w:styleId="Annextitle">
    <w:name w:val="Annex_title"/>
    <w:basedOn w:val="Normal"/>
    <w:next w:val="Annexref"/>
    <w:rsid w:val="00C35BC0"/>
    <w:pPr>
      <w:keepNext/>
      <w:keepLines/>
      <w:spacing w:before="240" w:after="280"/>
      <w:jc w:val="center"/>
    </w:pPr>
    <w:rPr>
      <w:b/>
      <w:sz w:val="26"/>
    </w:rPr>
  </w:style>
  <w:style w:type="paragraph" w:customStyle="1" w:styleId="Annexref">
    <w:name w:val="Annex_ref"/>
    <w:basedOn w:val="Normal"/>
    <w:next w:val="Normalaftertitle"/>
    <w:rsid w:val="00C35BC0"/>
    <w:pPr>
      <w:keepNext/>
      <w:keepLines/>
      <w:spacing w:after="280"/>
      <w:jc w:val="center"/>
    </w:pPr>
  </w:style>
  <w:style w:type="paragraph" w:customStyle="1" w:styleId="AppendixNo">
    <w:name w:val="Appendix_No"/>
    <w:basedOn w:val="AnnexNo"/>
    <w:next w:val="Appendixtitle"/>
    <w:rsid w:val="00C35BC0"/>
  </w:style>
  <w:style w:type="paragraph" w:customStyle="1" w:styleId="Appendixtitle">
    <w:name w:val="Appendix_title"/>
    <w:basedOn w:val="Annextitle"/>
    <w:next w:val="Appendixref"/>
    <w:rsid w:val="00C35BC0"/>
  </w:style>
  <w:style w:type="paragraph" w:customStyle="1" w:styleId="Appendixref">
    <w:name w:val="Appendix_ref"/>
    <w:basedOn w:val="Annexref"/>
    <w:next w:val="Normalaftertitle"/>
    <w:rsid w:val="00C35BC0"/>
  </w:style>
  <w:style w:type="paragraph" w:customStyle="1" w:styleId="Call">
    <w:name w:val="Call"/>
    <w:basedOn w:val="Normal"/>
    <w:next w:val="Normal"/>
    <w:rsid w:val="00C35BC0"/>
    <w:pPr>
      <w:keepNext/>
      <w:keepLines/>
      <w:spacing w:before="160"/>
      <w:ind w:left="794"/>
    </w:pPr>
    <w:rPr>
      <w:i/>
    </w:rPr>
  </w:style>
  <w:style w:type="character" w:styleId="EndnoteReference">
    <w:name w:val="endnote reference"/>
    <w:basedOn w:val="DefaultParagraphFont"/>
    <w:rsid w:val="00C35BC0"/>
    <w:rPr>
      <w:vertAlign w:val="superscript"/>
    </w:rPr>
  </w:style>
  <w:style w:type="paragraph" w:customStyle="1" w:styleId="Equationlegend">
    <w:name w:val="Equation_legend"/>
    <w:basedOn w:val="Normal"/>
    <w:rsid w:val="00C35BC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C35BC0"/>
    <w:pPr>
      <w:keepNext/>
      <w:keepLines/>
      <w:spacing w:after="120"/>
      <w:jc w:val="center"/>
    </w:pPr>
  </w:style>
  <w:style w:type="paragraph" w:customStyle="1" w:styleId="Figuretitle">
    <w:name w:val="Figure_title"/>
    <w:basedOn w:val="Tabletitle"/>
    <w:next w:val="Normalaftertitle"/>
    <w:rsid w:val="00C35BC0"/>
    <w:pPr>
      <w:spacing w:before="240" w:after="480"/>
    </w:pPr>
  </w:style>
  <w:style w:type="paragraph" w:customStyle="1" w:styleId="Tabletitle">
    <w:name w:val="Table_title"/>
    <w:basedOn w:val="TableNo"/>
    <w:next w:val="Tabletext"/>
    <w:rsid w:val="00C35BC0"/>
    <w:pPr>
      <w:spacing w:before="0"/>
    </w:pPr>
    <w:rPr>
      <w:b/>
      <w:caps w:val="0"/>
    </w:rPr>
  </w:style>
  <w:style w:type="paragraph" w:customStyle="1" w:styleId="TableNo">
    <w:name w:val="Table_No"/>
    <w:basedOn w:val="Normal"/>
    <w:next w:val="Tabletitle"/>
    <w:rsid w:val="00C35BC0"/>
    <w:pPr>
      <w:keepNext/>
      <w:spacing w:before="360" w:after="120"/>
      <w:jc w:val="center"/>
    </w:pPr>
    <w:rPr>
      <w:caps/>
    </w:rPr>
  </w:style>
  <w:style w:type="paragraph" w:customStyle="1" w:styleId="Tabletext">
    <w:name w:val="Table_text"/>
    <w:basedOn w:val="Normal"/>
    <w:rsid w:val="00C35B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C35BC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C35BC0"/>
    <w:pPr>
      <w:keepNext/>
      <w:keepLines/>
      <w:spacing w:before="240" w:after="120"/>
      <w:jc w:val="center"/>
    </w:pPr>
    <w:rPr>
      <w:caps/>
    </w:rPr>
  </w:style>
  <w:style w:type="paragraph" w:customStyle="1" w:styleId="Figurewithouttitle">
    <w:name w:val="Figure_without_title"/>
    <w:basedOn w:val="Figure"/>
    <w:next w:val="Normalaftertitle"/>
    <w:rsid w:val="00C35BC0"/>
    <w:pPr>
      <w:keepNext w:val="0"/>
      <w:spacing w:after="240"/>
    </w:pPr>
  </w:style>
  <w:style w:type="paragraph" w:customStyle="1" w:styleId="Headingi">
    <w:name w:val="Heading_i"/>
    <w:basedOn w:val="Heading3"/>
    <w:next w:val="Normal"/>
    <w:rsid w:val="00C31310"/>
    <w:pPr>
      <w:spacing w:before="160"/>
    </w:pPr>
    <w:rPr>
      <w:rFonts w:ascii="Calibri" w:hAnsi="Calibri"/>
      <w:b w:val="0"/>
    </w:rPr>
  </w:style>
  <w:style w:type="character" w:styleId="PageNumber">
    <w:name w:val="page number"/>
    <w:basedOn w:val="DefaultParagraphFont"/>
    <w:uiPriority w:val="99"/>
    <w:rsid w:val="00C35BC0"/>
    <w:rPr>
      <w:rFonts w:ascii="Calibri" w:hAnsi="Calibri"/>
    </w:rPr>
  </w:style>
  <w:style w:type="paragraph" w:customStyle="1" w:styleId="PartNo">
    <w:name w:val="Part_No"/>
    <w:basedOn w:val="AnnexNo"/>
    <w:next w:val="Parttitle"/>
    <w:rsid w:val="00C35BC0"/>
  </w:style>
  <w:style w:type="paragraph" w:customStyle="1" w:styleId="Parttitle">
    <w:name w:val="Part_title"/>
    <w:basedOn w:val="Annextitle"/>
    <w:next w:val="Partref"/>
    <w:rsid w:val="00C35BC0"/>
  </w:style>
  <w:style w:type="paragraph" w:customStyle="1" w:styleId="Partref">
    <w:name w:val="Part_ref"/>
    <w:basedOn w:val="Annexref"/>
    <w:next w:val="Normalaftertitle"/>
    <w:rsid w:val="00C35BC0"/>
  </w:style>
  <w:style w:type="paragraph" w:customStyle="1" w:styleId="RecNo">
    <w:name w:val="Rec_No"/>
    <w:basedOn w:val="Normal"/>
    <w:next w:val="Rectitle"/>
    <w:rsid w:val="00C35BC0"/>
    <w:pPr>
      <w:keepNext/>
      <w:keepLines/>
      <w:spacing w:before="480"/>
      <w:jc w:val="center"/>
    </w:pPr>
    <w:rPr>
      <w:caps/>
      <w:sz w:val="26"/>
    </w:rPr>
  </w:style>
  <w:style w:type="paragraph" w:customStyle="1" w:styleId="Rectitle">
    <w:name w:val="Rec_title"/>
    <w:basedOn w:val="RecNo"/>
    <w:next w:val="Recref"/>
    <w:rsid w:val="00C35BC0"/>
    <w:pPr>
      <w:spacing w:before="240"/>
    </w:pPr>
    <w:rPr>
      <w:b/>
      <w:caps w:val="0"/>
    </w:rPr>
  </w:style>
  <w:style w:type="paragraph" w:customStyle="1" w:styleId="Recref">
    <w:name w:val="Rec_ref"/>
    <w:basedOn w:val="Rectitle"/>
    <w:next w:val="Recdate"/>
    <w:rsid w:val="00C35BC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C35BC0"/>
    <w:pPr>
      <w:jc w:val="right"/>
    </w:pPr>
    <w:rPr>
      <w:sz w:val="22"/>
    </w:rPr>
  </w:style>
  <w:style w:type="paragraph" w:customStyle="1" w:styleId="Questiondate">
    <w:name w:val="Question_date"/>
    <w:basedOn w:val="Recdate"/>
    <w:next w:val="Normalaftertitle"/>
    <w:rsid w:val="00C35BC0"/>
  </w:style>
  <w:style w:type="paragraph" w:customStyle="1" w:styleId="QuestionNo">
    <w:name w:val="Question_No"/>
    <w:basedOn w:val="RecNo"/>
    <w:next w:val="Questiontitle"/>
    <w:rsid w:val="00C35BC0"/>
  </w:style>
  <w:style w:type="paragraph" w:customStyle="1" w:styleId="Questionref">
    <w:name w:val="Question_ref"/>
    <w:basedOn w:val="Recref"/>
    <w:next w:val="Questiondate"/>
    <w:rsid w:val="00C35BC0"/>
  </w:style>
  <w:style w:type="paragraph" w:customStyle="1" w:styleId="Questiontitle">
    <w:name w:val="Question_title"/>
    <w:basedOn w:val="Rectitle"/>
    <w:next w:val="Questionref"/>
    <w:rsid w:val="00C35BC0"/>
  </w:style>
  <w:style w:type="paragraph" w:customStyle="1" w:styleId="Reftext">
    <w:name w:val="Ref_text"/>
    <w:basedOn w:val="Normal"/>
    <w:rsid w:val="00C35BC0"/>
    <w:pPr>
      <w:ind w:left="794" w:hanging="794"/>
    </w:pPr>
  </w:style>
  <w:style w:type="paragraph" w:customStyle="1" w:styleId="Reftitle">
    <w:name w:val="Ref_title"/>
    <w:basedOn w:val="Normal"/>
    <w:next w:val="Reftext"/>
    <w:rsid w:val="00C35BC0"/>
    <w:pPr>
      <w:spacing w:before="480"/>
      <w:jc w:val="center"/>
    </w:pPr>
    <w:rPr>
      <w:caps/>
    </w:rPr>
  </w:style>
  <w:style w:type="paragraph" w:customStyle="1" w:styleId="Repdate">
    <w:name w:val="Rep_date"/>
    <w:basedOn w:val="Recdate"/>
    <w:next w:val="Normalaftertitle"/>
    <w:rsid w:val="00C35BC0"/>
  </w:style>
  <w:style w:type="paragraph" w:customStyle="1" w:styleId="RepNo">
    <w:name w:val="Rep_No"/>
    <w:basedOn w:val="RecNo"/>
    <w:next w:val="Reptitle"/>
    <w:rsid w:val="00C35BC0"/>
  </w:style>
  <w:style w:type="paragraph" w:customStyle="1" w:styleId="Reptitle">
    <w:name w:val="Rep_title"/>
    <w:basedOn w:val="Rectitle"/>
    <w:next w:val="Repref"/>
    <w:rsid w:val="00C35BC0"/>
  </w:style>
  <w:style w:type="paragraph" w:customStyle="1" w:styleId="Repref">
    <w:name w:val="Rep_ref"/>
    <w:basedOn w:val="Recref"/>
    <w:next w:val="Repdate"/>
    <w:rsid w:val="00C35BC0"/>
  </w:style>
  <w:style w:type="paragraph" w:customStyle="1" w:styleId="Resdate">
    <w:name w:val="Res_date"/>
    <w:basedOn w:val="Recdate"/>
    <w:next w:val="Normalaftertitle"/>
    <w:rsid w:val="00C35BC0"/>
  </w:style>
  <w:style w:type="paragraph" w:customStyle="1" w:styleId="ResNo">
    <w:name w:val="Res_No"/>
    <w:basedOn w:val="RecNo"/>
    <w:next w:val="Restitle"/>
    <w:rsid w:val="00C35BC0"/>
  </w:style>
  <w:style w:type="paragraph" w:customStyle="1" w:styleId="Restitle">
    <w:name w:val="Res_title"/>
    <w:basedOn w:val="Rectitle"/>
    <w:next w:val="Resref"/>
    <w:rsid w:val="00C35BC0"/>
  </w:style>
  <w:style w:type="paragraph" w:customStyle="1" w:styleId="Resref">
    <w:name w:val="Res_ref"/>
    <w:basedOn w:val="Recref"/>
    <w:next w:val="Resdate"/>
    <w:rsid w:val="00C35BC0"/>
  </w:style>
  <w:style w:type="paragraph" w:customStyle="1" w:styleId="SectionNo">
    <w:name w:val="Section_No"/>
    <w:basedOn w:val="AnnexNo"/>
    <w:next w:val="Sectiontitle"/>
    <w:rsid w:val="00C35BC0"/>
  </w:style>
  <w:style w:type="paragraph" w:customStyle="1" w:styleId="Sectiontitle">
    <w:name w:val="Section_title"/>
    <w:basedOn w:val="Normal"/>
    <w:next w:val="Normalaftertitle"/>
    <w:rsid w:val="00C35BC0"/>
    <w:rPr>
      <w:sz w:val="26"/>
    </w:rPr>
  </w:style>
  <w:style w:type="paragraph" w:customStyle="1" w:styleId="SpecialFooter">
    <w:name w:val="Special Footer"/>
    <w:basedOn w:val="Footer"/>
    <w:rsid w:val="00C35BC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C35BC0"/>
    <w:pPr>
      <w:keepNext/>
      <w:spacing w:before="80" w:after="80"/>
      <w:jc w:val="center"/>
    </w:pPr>
    <w:rPr>
      <w:b/>
    </w:rPr>
  </w:style>
  <w:style w:type="paragraph" w:customStyle="1" w:styleId="Tablelegend">
    <w:name w:val="Table_legend"/>
    <w:basedOn w:val="Tabletext"/>
    <w:rsid w:val="00C35BC0"/>
    <w:pPr>
      <w:spacing w:before="120"/>
    </w:pPr>
  </w:style>
  <w:style w:type="paragraph" w:customStyle="1" w:styleId="Tableref">
    <w:name w:val="Table_ref"/>
    <w:basedOn w:val="Normal"/>
    <w:next w:val="Tabletitle"/>
    <w:rsid w:val="00C35BC0"/>
    <w:pPr>
      <w:keepNext/>
      <w:spacing w:before="567"/>
      <w:jc w:val="center"/>
    </w:pPr>
  </w:style>
  <w:style w:type="paragraph" w:customStyle="1" w:styleId="Artheading">
    <w:name w:val="Art_heading"/>
    <w:basedOn w:val="Normal"/>
    <w:next w:val="Normalaftertitle"/>
    <w:rsid w:val="00C35BC0"/>
    <w:pPr>
      <w:spacing w:before="480"/>
      <w:jc w:val="center"/>
    </w:pPr>
    <w:rPr>
      <w:rFonts w:ascii="Times New Roman Bold" w:hAnsi="Times New Roman Bold"/>
      <w:b/>
      <w:sz w:val="26"/>
    </w:rPr>
  </w:style>
  <w:style w:type="paragraph" w:customStyle="1" w:styleId="ArtNo">
    <w:name w:val="Art_No"/>
    <w:basedOn w:val="Normal"/>
    <w:next w:val="Normal"/>
    <w:rsid w:val="00C35BC0"/>
    <w:pPr>
      <w:keepNext/>
      <w:keepLines/>
      <w:spacing w:before="480"/>
      <w:jc w:val="center"/>
    </w:pPr>
    <w:rPr>
      <w:caps/>
      <w:sz w:val="26"/>
    </w:rPr>
  </w:style>
  <w:style w:type="paragraph" w:customStyle="1" w:styleId="Arttitle">
    <w:name w:val="Art_title"/>
    <w:basedOn w:val="Normal"/>
    <w:next w:val="Normalaftertitle"/>
    <w:rsid w:val="00C35BC0"/>
    <w:pPr>
      <w:keepNext/>
      <w:keepLines/>
      <w:spacing w:before="240"/>
      <w:jc w:val="center"/>
    </w:pPr>
    <w:rPr>
      <w:b/>
      <w:sz w:val="26"/>
    </w:rPr>
  </w:style>
  <w:style w:type="paragraph" w:customStyle="1" w:styleId="ChapNo">
    <w:name w:val="Chap_No"/>
    <w:basedOn w:val="ArtNo"/>
    <w:next w:val="Chaptitle"/>
    <w:rsid w:val="00C35BC0"/>
    <w:rPr>
      <w:b/>
    </w:rPr>
  </w:style>
  <w:style w:type="paragraph" w:customStyle="1" w:styleId="Chaptitle">
    <w:name w:val="Chap_title"/>
    <w:basedOn w:val="Arttitle"/>
    <w:next w:val="Normalaftertitle"/>
    <w:rsid w:val="00C35BC0"/>
  </w:style>
  <w:style w:type="paragraph" w:customStyle="1" w:styleId="firstfooter0">
    <w:name w:val="firstfooter"/>
    <w:basedOn w:val="Normal"/>
    <w:rsid w:val="00813E5E"/>
    <w:pPr>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overflowPunct/>
      <w:autoSpaceDE/>
      <w:autoSpaceDN/>
      <w:adjustRightInd/>
      <w:spacing w:before="560" w:after="120"/>
      <w:jc w:val="center"/>
      <w:textAlignment w:val="auto"/>
    </w:pPr>
    <w:rPr>
      <w:rFonts w:ascii="Times New Roman" w:hAnsi="Times New Roman"/>
      <w:caps/>
    </w:rPr>
  </w:style>
  <w:style w:type="character" w:customStyle="1" w:styleId="NormalaftertitleChar">
    <w:name w:val="Normal after title Char"/>
    <w:basedOn w:val="DefaultParagraphFont"/>
    <w:link w:val="Normalaftertitle"/>
    <w:rsid w:val="00E01FDA"/>
    <w:rPr>
      <w:rFonts w:ascii="Calibri" w:hAnsi="Calibri"/>
      <w:sz w:val="22"/>
      <w:lang w:val="en-GB" w:eastAsia="en-US"/>
    </w:rPr>
  </w:style>
  <w:style w:type="paragraph" w:styleId="ListParagraph">
    <w:name w:val="List Paragraph"/>
    <w:basedOn w:val="Normal"/>
    <w:link w:val="ListParagraphChar"/>
    <w:uiPriority w:val="34"/>
    <w:qFormat/>
    <w:rsid w:val="00E01FDA"/>
    <w:pPr>
      <w:overflowPunct/>
      <w:autoSpaceDE/>
      <w:autoSpaceDN/>
      <w:adjustRightInd/>
      <w:spacing w:before="0" w:after="160" w:line="259" w:lineRule="auto"/>
      <w:ind w:left="720"/>
      <w:contextualSpacing/>
      <w:textAlignment w:val="auto"/>
    </w:pPr>
    <w:rPr>
      <w:rFonts w:asciiTheme="minorHAnsi" w:eastAsiaTheme="minorEastAsia" w:hAnsiTheme="minorHAnsi" w:cstheme="minorBidi"/>
      <w:szCs w:val="22"/>
      <w:lang w:val="en-US" w:eastAsia="zh-CN"/>
    </w:rPr>
  </w:style>
  <w:style w:type="paragraph" w:styleId="BalloonText">
    <w:name w:val="Balloon Text"/>
    <w:basedOn w:val="Normal"/>
    <w:link w:val="BalloonTextChar"/>
    <w:uiPriority w:val="99"/>
    <w:rsid w:val="00C35BC0"/>
    <w:rPr>
      <w:rFonts w:ascii="Tahoma" w:hAnsi="Tahoma" w:cs="Tahoma"/>
      <w:sz w:val="16"/>
      <w:szCs w:val="16"/>
    </w:rPr>
  </w:style>
  <w:style w:type="character" w:customStyle="1" w:styleId="BalloonTextChar">
    <w:name w:val="Balloon Text Char"/>
    <w:basedOn w:val="DefaultParagraphFont"/>
    <w:link w:val="BalloonText"/>
    <w:uiPriority w:val="99"/>
    <w:rsid w:val="001E7C40"/>
    <w:rPr>
      <w:rFonts w:ascii="Tahoma" w:hAnsi="Tahoma" w:cs="Tahoma"/>
      <w:sz w:val="16"/>
      <w:szCs w:val="16"/>
      <w:lang w:val="en-GB" w:eastAsia="en-US"/>
    </w:rPr>
  </w:style>
  <w:style w:type="character" w:customStyle="1" w:styleId="FooterChar">
    <w:name w:val="Footer Char"/>
    <w:basedOn w:val="DefaultParagraphFont"/>
    <w:link w:val="Footer"/>
    <w:uiPriority w:val="99"/>
    <w:rsid w:val="0096383C"/>
    <w:rPr>
      <w:rFonts w:ascii="Calibri" w:hAnsi="Calibri"/>
      <w:caps/>
      <w:noProof/>
      <w:sz w:val="16"/>
      <w:lang w:val="fr-FR" w:eastAsia="en-US"/>
    </w:rPr>
  </w:style>
  <w:style w:type="paragraph" w:customStyle="1" w:styleId="Body">
    <w:name w:val="Body"/>
    <w:rsid w:val="00DD21F7"/>
    <w:rPr>
      <w:rFonts w:ascii="Helvetica" w:eastAsia="ヒラギノ角ゴ Pro W3" w:hAnsi="Helvetica"/>
      <w:color w:val="000000"/>
      <w:sz w:val="24"/>
      <w:lang w:eastAsia="en-US"/>
    </w:rPr>
  </w:style>
  <w:style w:type="paragraph" w:customStyle="1" w:styleId="call0">
    <w:name w:val="call"/>
    <w:basedOn w:val="Normal"/>
    <w:next w:val="Normal"/>
    <w:rsid w:val="00DD21F7"/>
    <w:pPr>
      <w:keepNext/>
      <w:keepLines/>
      <w:tabs>
        <w:tab w:val="clear" w:pos="794"/>
        <w:tab w:val="clear" w:pos="1191"/>
        <w:tab w:val="clear" w:pos="1588"/>
        <w:tab w:val="clear" w:pos="1985"/>
        <w:tab w:val="left" w:pos="567"/>
        <w:tab w:val="left" w:pos="1134"/>
        <w:tab w:val="left" w:pos="1701"/>
        <w:tab w:val="left" w:pos="2268"/>
        <w:tab w:val="left" w:pos="2835"/>
      </w:tabs>
      <w:spacing w:before="160"/>
      <w:ind w:left="794" w:hanging="357"/>
    </w:pPr>
    <w:rPr>
      <w:i/>
      <w:sz w:val="24"/>
    </w:rPr>
  </w:style>
  <w:style w:type="character" w:customStyle="1" w:styleId="A1">
    <w:name w:val="A1"/>
    <w:uiPriority w:val="99"/>
    <w:rsid w:val="00F333EF"/>
    <w:rPr>
      <w:color w:val="000000"/>
      <w:sz w:val="22"/>
      <w:szCs w:val="22"/>
    </w:rPr>
  </w:style>
  <w:style w:type="table" w:styleId="TableGrid">
    <w:name w:val="Table Grid"/>
    <w:basedOn w:val="TableNormal"/>
    <w:rsid w:val="003B73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base">
    <w:name w:val="testo base"/>
    <w:basedOn w:val="ListParagraph"/>
    <w:link w:val="testobaseCarattere"/>
    <w:qFormat/>
    <w:rsid w:val="006547B1"/>
    <w:pPr>
      <w:numPr>
        <w:numId w:val="1"/>
      </w:numPr>
      <w:tabs>
        <w:tab w:val="clear" w:pos="794"/>
        <w:tab w:val="clear" w:pos="1191"/>
        <w:tab w:val="clear" w:pos="1588"/>
        <w:tab w:val="clear" w:pos="1985"/>
      </w:tabs>
      <w:adjustRightInd w:val="0"/>
      <w:spacing w:before="120" w:after="0" w:line="319" w:lineRule="auto"/>
      <w:ind w:left="425" w:hanging="425"/>
      <w:contextualSpacing w:val="0"/>
      <w:jc w:val="both"/>
    </w:pPr>
    <w:rPr>
      <w:rFonts w:ascii="Times New Roman" w:eastAsiaTheme="minorHAnsi" w:hAnsi="Times New Roman" w:cs="Times New Roman"/>
      <w:sz w:val="24"/>
      <w:szCs w:val="24"/>
      <w:lang w:val="en-GB" w:eastAsia="it-IT"/>
    </w:rPr>
  </w:style>
  <w:style w:type="character" w:customStyle="1" w:styleId="testobaseCarattere">
    <w:name w:val="testo base Carattere"/>
    <w:basedOn w:val="DefaultParagraphFont"/>
    <w:link w:val="testobase"/>
    <w:rsid w:val="006547B1"/>
    <w:rPr>
      <w:rFonts w:ascii="Times New Roman" w:eastAsiaTheme="minorHAnsi" w:hAnsi="Times New Roman"/>
      <w:sz w:val="24"/>
      <w:szCs w:val="24"/>
      <w:lang w:val="en-GB" w:eastAsia="it-IT"/>
    </w:rPr>
  </w:style>
  <w:style w:type="paragraph" w:customStyle="1" w:styleId="recesugg">
    <w:name w:val="rec e sugg"/>
    <w:basedOn w:val="testobase"/>
    <w:qFormat/>
    <w:rsid w:val="006547B1"/>
    <w:pPr>
      <w:pBdr>
        <w:top w:val="single" w:sz="4" w:space="1" w:color="auto"/>
        <w:left w:val="single" w:sz="4" w:space="4" w:color="auto"/>
        <w:bottom w:val="single" w:sz="4" w:space="1" w:color="auto"/>
        <w:right w:val="single" w:sz="4" w:space="4" w:color="auto"/>
      </w:pBdr>
    </w:pPr>
  </w:style>
  <w:style w:type="paragraph" w:customStyle="1" w:styleId="titolorecesug">
    <w:name w:val="titolo rec e sug"/>
    <w:basedOn w:val="Normal"/>
    <w:qFormat/>
    <w:rsid w:val="006547B1"/>
    <w:pPr>
      <w:keepNext/>
      <w:keepLines/>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Theme="majorBidi" w:eastAsiaTheme="minorHAnsi" w:hAnsiTheme="majorBidi" w:cstheme="majorBidi"/>
      <w:b/>
      <w:bCs/>
      <w:sz w:val="24"/>
      <w:szCs w:val="24"/>
    </w:rPr>
  </w:style>
  <w:style w:type="paragraph" w:customStyle="1" w:styleId="titcomments">
    <w:name w:val="tit comments"/>
    <w:basedOn w:val="titolorecesug"/>
    <w:qFormat/>
    <w:rsid w:val="008D2060"/>
    <w:rPr>
      <w:u w:val="single"/>
    </w:rPr>
  </w:style>
  <w:style w:type="paragraph" w:customStyle="1" w:styleId="comments">
    <w:name w:val="comments"/>
    <w:basedOn w:val="Normal"/>
    <w:next w:val="Normal"/>
    <w:qFormat/>
    <w:rsid w:val="00C7645B"/>
    <w:pPr>
      <w:keepLines/>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Theme="majorBidi" w:eastAsiaTheme="minorHAnsi" w:hAnsiTheme="majorBidi" w:cstheme="majorBidi"/>
      <w:sz w:val="24"/>
      <w:szCs w:val="24"/>
    </w:rPr>
  </w:style>
  <w:style w:type="character" w:customStyle="1" w:styleId="Heading1Char">
    <w:name w:val="Heading 1 Char"/>
    <w:basedOn w:val="DefaultParagraphFont"/>
    <w:link w:val="Heading1"/>
    <w:uiPriority w:val="9"/>
    <w:rsid w:val="00810A7E"/>
    <w:rPr>
      <w:rFonts w:ascii="Calibri" w:hAnsi="Calibri"/>
      <w:b/>
      <w:sz w:val="22"/>
      <w:lang w:val="en-GB" w:eastAsia="en-US"/>
    </w:rPr>
  </w:style>
  <w:style w:type="character" w:customStyle="1" w:styleId="Heading2Char">
    <w:name w:val="Heading 2 Char"/>
    <w:basedOn w:val="DefaultParagraphFont"/>
    <w:link w:val="Heading2"/>
    <w:uiPriority w:val="9"/>
    <w:rsid w:val="00810A7E"/>
    <w:rPr>
      <w:rFonts w:ascii="Calibri" w:hAnsi="Calibri"/>
      <w:b/>
      <w:sz w:val="22"/>
      <w:lang w:val="en-GB" w:eastAsia="en-US"/>
    </w:rPr>
  </w:style>
  <w:style w:type="character" w:customStyle="1" w:styleId="Heading3Char">
    <w:name w:val="Heading 3 Char"/>
    <w:basedOn w:val="DefaultParagraphFont"/>
    <w:link w:val="Heading3"/>
    <w:uiPriority w:val="9"/>
    <w:rsid w:val="00810A7E"/>
    <w:rPr>
      <w:rFonts w:ascii="Times New Roman Bold" w:hAnsi="Times New Roman Bold"/>
      <w:b/>
      <w:i/>
      <w:sz w:val="22"/>
      <w:lang w:val="en-GB" w:eastAsia="en-US"/>
    </w:rPr>
  </w:style>
  <w:style w:type="character" w:customStyle="1" w:styleId="Heading4Char">
    <w:name w:val="Heading 4 Char"/>
    <w:basedOn w:val="DefaultParagraphFont"/>
    <w:link w:val="Heading4"/>
    <w:rsid w:val="00810A7E"/>
    <w:rPr>
      <w:rFonts w:ascii="Times New Roman Bold" w:hAnsi="Times New Roman Bold"/>
      <w:i/>
      <w:sz w:val="22"/>
      <w:lang w:val="en-GB" w:eastAsia="en-US"/>
    </w:rPr>
  </w:style>
  <w:style w:type="character" w:customStyle="1" w:styleId="Heading5Char">
    <w:name w:val="Heading 5 Char"/>
    <w:basedOn w:val="DefaultParagraphFont"/>
    <w:link w:val="Heading5"/>
    <w:rsid w:val="00810A7E"/>
    <w:rPr>
      <w:rFonts w:ascii="Times New Roman Bold" w:hAnsi="Times New Roman Bold"/>
      <w:i/>
      <w:sz w:val="22"/>
      <w:lang w:val="en-GB" w:eastAsia="en-US"/>
    </w:rPr>
  </w:style>
  <w:style w:type="character" w:customStyle="1" w:styleId="Heading6Char">
    <w:name w:val="Heading 6 Char"/>
    <w:basedOn w:val="DefaultParagraphFont"/>
    <w:link w:val="Heading6"/>
    <w:rsid w:val="00810A7E"/>
    <w:rPr>
      <w:rFonts w:ascii="Times New Roman Bold" w:hAnsi="Times New Roman Bold"/>
      <w:i/>
      <w:sz w:val="22"/>
      <w:lang w:val="en-GB" w:eastAsia="en-US"/>
    </w:rPr>
  </w:style>
  <w:style w:type="character" w:customStyle="1" w:styleId="Heading7Char">
    <w:name w:val="Heading 7 Char"/>
    <w:basedOn w:val="DefaultParagraphFont"/>
    <w:link w:val="Heading7"/>
    <w:rsid w:val="00810A7E"/>
    <w:rPr>
      <w:rFonts w:ascii="Times New Roman Bold" w:hAnsi="Times New Roman Bold"/>
      <w:i/>
      <w:sz w:val="22"/>
      <w:lang w:val="en-GB" w:eastAsia="en-US"/>
    </w:rPr>
  </w:style>
  <w:style w:type="character" w:customStyle="1" w:styleId="Heading8Char">
    <w:name w:val="Heading 8 Char"/>
    <w:basedOn w:val="DefaultParagraphFont"/>
    <w:link w:val="Heading8"/>
    <w:rsid w:val="00810A7E"/>
    <w:rPr>
      <w:rFonts w:ascii="Times New Roman Bold" w:hAnsi="Times New Roman Bold"/>
      <w:i/>
      <w:sz w:val="22"/>
      <w:lang w:val="en-GB" w:eastAsia="en-US"/>
    </w:rPr>
  </w:style>
  <w:style w:type="character" w:customStyle="1" w:styleId="Heading9Char">
    <w:name w:val="Heading 9 Char"/>
    <w:basedOn w:val="DefaultParagraphFont"/>
    <w:link w:val="Heading9"/>
    <w:rsid w:val="00810A7E"/>
    <w:rPr>
      <w:rFonts w:ascii="Times New Roman Bold" w:hAnsi="Times New Roman Bold"/>
      <w:i/>
      <w:sz w:val="22"/>
      <w:lang w:val="en-GB" w:eastAsia="en-US"/>
    </w:rPr>
  </w:style>
  <w:style w:type="character" w:customStyle="1" w:styleId="HeaderChar">
    <w:name w:val="Header Char"/>
    <w:basedOn w:val="DefaultParagraphFont"/>
    <w:link w:val="Header"/>
    <w:uiPriority w:val="99"/>
    <w:rsid w:val="00810A7E"/>
    <w:rPr>
      <w:rFonts w:ascii="Calibri" w:hAnsi="Calibri"/>
      <w:sz w:val="18"/>
      <w:lang w:val="fr-FR" w:eastAsia="en-US"/>
    </w:rPr>
  </w:style>
  <w:style w:type="character" w:customStyle="1" w:styleId="FootnoteTextChar">
    <w:name w:val="Footnote Text Char"/>
    <w:basedOn w:val="DefaultParagraphFont"/>
    <w:link w:val="FootnoteText"/>
    <w:rsid w:val="00810A7E"/>
    <w:rPr>
      <w:rFonts w:ascii="Calibri" w:hAnsi="Calibri"/>
      <w:lang w:val="en-GB" w:eastAsia="en-US"/>
    </w:rPr>
  </w:style>
  <w:style w:type="table" w:customStyle="1" w:styleId="TableGrid1">
    <w:name w:val="Table Grid1"/>
    <w:basedOn w:val="TableNormal"/>
    <w:next w:val="TableGrid"/>
    <w:uiPriority w:val="59"/>
    <w:rsid w:val="00810A7E"/>
    <w:rPr>
      <w:rFonts w:asciiTheme="minorHAnsi" w:eastAsiaTheme="minorHAnsi" w:hAnsiTheme="minorHAnsi" w:cstheme="minorBid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puntato1">
    <w:name w:val="elenco puntato 1"/>
    <w:basedOn w:val="ListParagraph"/>
    <w:link w:val="elencopuntato1Carattere"/>
    <w:qFormat/>
    <w:rsid w:val="00810A7E"/>
    <w:pPr>
      <w:numPr>
        <w:numId w:val="2"/>
      </w:numPr>
      <w:tabs>
        <w:tab w:val="clear" w:pos="794"/>
        <w:tab w:val="clear" w:pos="1191"/>
        <w:tab w:val="clear" w:pos="1588"/>
        <w:tab w:val="clear" w:pos="1985"/>
      </w:tabs>
      <w:adjustRightInd w:val="0"/>
      <w:spacing w:before="120" w:after="0" w:line="319" w:lineRule="auto"/>
      <w:ind w:left="709" w:hanging="284"/>
      <w:contextualSpacing w:val="0"/>
      <w:jc w:val="both"/>
    </w:pPr>
    <w:rPr>
      <w:rFonts w:ascii="Times New Roman" w:eastAsiaTheme="minorHAnsi" w:hAnsi="Times New Roman" w:cs="Times New Roman"/>
      <w:sz w:val="24"/>
      <w:szCs w:val="24"/>
      <w:lang w:val="en-GB" w:eastAsia="it-IT"/>
    </w:rPr>
  </w:style>
  <w:style w:type="character" w:customStyle="1" w:styleId="elencopuntato1Carattere">
    <w:name w:val="elenco puntato 1 Carattere"/>
    <w:basedOn w:val="DefaultParagraphFont"/>
    <w:link w:val="elencopuntato1"/>
    <w:rsid w:val="00810A7E"/>
    <w:rPr>
      <w:rFonts w:ascii="Times New Roman" w:eastAsiaTheme="minorHAnsi" w:hAnsi="Times New Roman"/>
      <w:sz w:val="24"/>
      <w:szCs w:val="24"/>
      <w:lang w:val="en-GB" w:eastAsia="it-IT"/>
    </w:rPr>
  </w:style>
  <w:style w:type="paragraph" w:customStyle="1" w:styleId="recesug">
    <w:name w:val="rec e sug"/>
    <w:basedOn w:val="testobase"/>
    <w:next w:val="Normal"/>
    <w:qFormat/>
    <w:rsid w:val="00810A7E"/>
    <w:pPr>
      <w:keepLines/>
      <w:numPr>
        <w:numId w:val="3"/>
      </w:numPr>
      <w:pBdr>
        <w:top w:val="single" w:sz="4" w:space="1" w:color="auto"/>
        <w:left w:val="single" w:sz="4" w:space="4" w:color="auto"/>
        <w:bottom w:val="single" w:sz="4" w:space="1" w:color="auto"/>
        <w:right w:val="single" w:sz="4" w:space="4" w:color="auto"/>
      </w:pBdr>
      <w:ind w:left="425" w:hanging="425"/>
    </w:pPr>
  </w:style>
  <w:style w:type="character" w:customStyle="1" w:styleId="enumlev1Char">
    <w:name w:val="enumlev1 Char"/>
    <w:basedOn w:val="DefaultParagraphFont"/>
    <w:link w:val="enumlev1"/>
    <w:rsid w:val="00810A7E"/>
    <w:rPr>
      <w:rFonts w:ascii="Calibri" w:hAnsi="Calibri"/>
      <w:sz w:val="22"/>
      <w:lang w:val="en-GB" w:eastAsia="en-US"/>
    </w:rPr>
  </w:style>
  <w:style w:type="character" w:customStyle="1" w:styleId="ListParagraphChar">
    <w:name w:val="List Paragraph Char"/>
    <w:basedOn w:val="DefaultParagraphFont"/>
    <w:link w:val="ListParagraph"/>
    <w:uiPriority w:val="34"/>
    <w:rsid w:val="00810A7E"/>
    <w:rPr>
      <w:rFonts w:asciiTheme="minorHAnsi" w:eastAsiaTheme="minorEastAsia" w:hAnsiTheme="minorHAnsi" w:cstheme="minorBidi"/>
      <w:sz w:val="22"/>
      <w:szCs w:val="22"/>
    </w:rPr>
  </w:style>
  <w:style w:type="paragraph" w:styleId="NormalWeb">
    <w:name w:val="Normal (Web)"/>
    <w:basedOn w:val="Normal"/>
    <w:link w:val="NormalWebChar"/>
    <w:uiPriority w:val="99"/>
    <w:unhideWhenUsed/>
    <w:rsid w:val="00810A7E"/>
    <w:pPr>
      <w:tabs>
        <w:tab w:val="clear" w:pos="794"/>
        <w:tab w:val="clear" w:pos="1191"/>
        <w:tab w:val="clear" w:pos="1588"/>
        <w:tab w:val="clear" w:pos="1985"/>
      </w:tabs>
      <w:overflowPunct/>
      <w:autoSpaceDE/>
      <w:autoSpaceDN/>
      <w:adjustRightInd/>
      <w:spacing w:before="0"/>
      <w:textAlignment w:val="auto"/>
    </w:pPr>
    <w:rPr>
      <w:rFonts w:ascii="Times New Roman" w:eastAsia="SimSun" w:hAnsi="Times New Roman"/>
      <w:sz w:val="24"/>
      <w:szCs w:val="24"/>
    </w:rPr>
  </w:style>
  <w:style w:type="character" w:customStyle="1" w:styleId="NormalWebChar">
    <w:name w:val="Normal (Web) Char"/>
    <w:link w:val="NormalWeb"/>
    <w:uiPriority w:val="99"/>
    <w:locked/>
    <w:rsid w:val="00810A7E"/>
    <w:rPr>
      <w:rFonts w:ascii="Times New Roman" w:eastAsia="SimSun" w:hAnsi="Times New Roman"/>
      <w:sz w:val="24"/>
      <w:szCs w:val="24"/>
      <w:lang w:val="en-GB" w:eastAsia="en-US"/>
    </w:rPr>
  </w:style>
  <w:style w:type="paragraph" w:styleId="TOCHeading">
    <w:name w:val="TOC Heading"/>
    <w:basedOn w:val="Heading1"/>
    <w:next w:val="Normal"/>
    <w:uiPriority w:val="39"/>
    <w:unhideWhenUsed/>
    <w:qFormat/>
    <w:rsid w:val="00810A7E"/>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customStyle="1" w:styleId="Style1">
    <w:name w:val="Style1"/>
    <w:basedOn w:val="Normal"/>
    <w:link w:val="Style1Char"/>
    <w:qFormat/>
    <w:rsid w:val="00810A7E"/>
    <w:pPr>
      <w:tabs>
        <w:tab w:val="clear" w:pos="794"/>
        <w:tab w:val="clear" w:pos="1191"/>
        <w:tab w:val="clear" w:pos="1588"/>
        <w:tab w:val="clear" w:pos="1985"/>
      </w:tabs>
      <w:overflowPunct/>
      <w:autoSpaceDE/>
      <w:autoSpaceDN/>
      <w:spacing w:line="319" w:lineRule="auto"/>
      <w:contextualSpacing/>
      <w:jc w:val="both"/>
      <w:textAlignment w:val="auto"/>
    </w:pPr>
    <w:rPr>
      <w:rFonts w:asciiTheme="majorBidi" w:eastAsiaTheme="minorHAnsi" w:hAnsiTheme="majorBidi" w:cstheme="majorBidi"/>
      <w:b/>
      <w:bCs/>
      <w:sz w:val="24"/>
      <w:szCs w:val="24"/>
      <w:lang w:val="en-US"/>
    </w:rPr>
  </w:style>
  <w:style w:type="character" w:customStyle="1" w:styleId="Style1Char">
    <w:name w:val="Style1 Char"/>
    <w:basedOn w:val="DefaultParagraphFont"/>
    <w:link w:val="Style1"/>
    <w:rsid w:val="00810A7E"/>
    <w:rPr>
      <w:rFonts w:asciiTheme="majorBidi" w:eastAsiaTheme="minorHAnsi" w:hAnsiTheme="majorBidi" w:cstheme="majorBidi"/>
      <w:b/>
      <w:bCs/>
      <w:sz w:val="24"/>
      <w:szCs w:val="24"/>
      <w:lang w:eastAsia="en-US"/>
    </w:rPr>
  </w:style>
  <w:style w:type="character" w:customStyle="1" w:styleId="CharacterStyle17">
    <w:name w:val="Character Style 17"/>
    <w:uiPriority w:val="99"/>
    <w:rsid w:val="00810A7E"/>
    <w:rPr>
      <w:sz w:val="20"/>
    </w:rPr>
  </w:style>
  <w:style w:type="character" w:customStyle="1" w:styleId="hps">
    <w:name w:val="hps"/>
    <w:basedOn w:val="DefaultParagraphFont"/>
    <w:rsid w:val="00810A7E"/>
  </w:style>
  <w:style w:type="character" w:customStyle="1" w:styleId="shorttext">
    <w:name w:val="short_text"/>
    <w:basedOn w:val="DefaultParagraphFont"/>
    <w:rsid w:val="00810A7E"/>
  </w:style>
  <w:style w:type="character" w:styleId="Strong">
    <w:name w:val="Strong"/>
    <w:basedOn w:val="DefaultParagraphFont"/>
    <w:uiPriority w:val="22"/>
    <w:qFormat/>
    <w:rsid w:val="00810A7E"/>
    <w:rPr>
      <w:b/>
      <w:bCs/>
    </w:rPr>
  </w:style>
  <w:style w:type="paragraph" w:customStyle="1" w:styleId="testorientrato">
    <w:name w:val="testo rientrato"/>
    <w:basedOn w:val="testobase"/>
    <w:qFormat/>
    <w:rsid w:val="00810A7E"/>
    <w:pPr>
      <w:numPr>
        <w:numId w:val="0"/>
      </w:numPr>
      <w:ind w:left="425"/>
    </w:pPr>
    <w:rPr>
      <w:iCs/>
    </w:rPr>
  </w:style>
  <w:style w:type="character" w:customStyle="1" w:styleId="CommentTextChar">
    <w:name w:val="Comment Text Char"/>
    <w:basedOn w:val="DefaultParagraphFont"/>
    <w:link w:val="CommentText"/>
    <w:uiPriority w:val="99"/>
    <w:semiHidden/>
    <w:rsid w:val="00810A7E"/>
    <w:rPr>
      <w:rFonts w:asciiTheme="majorBidi" w:eastAsiaTheme="minorHAnsi" w:hAnsiTheme="majorBidi" w:cstheme="majorBidi"/>
      <w:lang w:eastAsia="en-US"/>
    </w:rPr>
  </w:style>
  <w:style w:type="paragraph" w:styleId="CommentText">
    <w:name w:val="annotation text"/>
    <w:basedOn w:val="Normal"/>
    <w:link w:val="CommentTextChar"/>
    <w:uiPriority w:val="99"/>
    <w:semiHidden/>
    <w:unhideWhenUsed/>
    <w:rsid w:val="00810A7E"/>
    <w:pPr>
      <w:tabs>
        <w:tab w:val="clear" w:pos="794"/>
        <w:tab w:val="clear" w:pos="1191"/>
        <w:tab w:val="clear" w:pos="1588"/>
        <w:tab w:val="clear" w:pos="1985"/>
      </w:tabs>
      <w:overflowPunct/>
      <w:autoSpaceDE/>
      <w:autoSpaceDN/>
      <w:jc w:val="both"/>
      <w:textAlignment w:val="auto"/>
    </w:pPr>
    <w:rPr>
      <w:rFonts w:asciiTheme="majorBidi" w:eastAsiaTheme="minorHAnsi" w:hAnsiTheme="majorBidi" w:cstheme="majorBidi"/>
      <w:sz w:val="20"/>
      <w:lang w:val="en-US"/>
    </w:rPr>
  </w:style>
  <w:style w:type="character" w:customStyle="1" w:styleId="CommentTextChar1">
    <w:name w:val="Comment Text Char1"/>
    <w:basedOn w:val="DefaultParagraphFont"/>
    <w:semiHidden/>
    <w:rsid w:val="00810A7E"/>
    <w:rPr>
      <w:rFonts w:ascii="Calibri" w:hAnsi="Calibri"/>
      <w:lang w:val="en-GB" w:eastAsia="en-US"/>
    </w:rPr>
  </w:style>
  <w:style w:type="character" w:customStyle="1" w:styleId="CommentSubjectChar">
    <w:name w:val="Comment Subject Char"/>
    <w:basedOn w:val="CommentTextChar"/>
    <w:link w:val="CommentSubject"/>
    <w:uiPriority w:val="99"/>
    <w:semiHidden/>
    <w:rsid w:val="00810A7E"/>
    <w:rPr>
      <w:rFonts w:asciiTheme="majorBidi" w:eastAsiaTheme="minorHAnsi" w:hAnsiTheme="majorBidi" w:cstheme="majorBidi"/>
      <w:b/>
      <w:bCs/>
      <w:lang w:eastAsia="en-US"/>
    </w:rPr>
  </w:style>
  <w:style w:type="paragraph" w:styleId="CommentSubject">
    <w:name w:val="annotation subject"/>
    <w:basedOn w:val="CommentText"/>
    <w:next w:val="CommentText"/>
    <w:link w:val="CommentSubjectChar"/>
    <w:uiPriority w:val="99"/>
    <w:semiHidden/>
    <w:unhideWhenUsed/>
    <w:rsid w:val="00810A7E"/>
    <w:rPr>
      <w:b/>
      <w:bCs/>
    </w:rPr>
  </w:style>
  <w:style w:type="character" w:customStyle="1" w:styleId="CommentSubjectChar1">
    <w:name w:val="Comment Subject Char1"/>
    <w:basedOn w:val="CommentTextChar1"/>
    <w:semiHidden/>
    <w:rsid w:val="00810A7E"/>
    <w:rPr>
      <w:rFonts w:ascii="Calibri" w:hAnsi="Calibri"/>
      <w:b/>
      <w:bCs/>
      <w:lang w:val="en-GB" w:eastAsia="en-US"/>
    </w:rPr>
  </w:style>
  <w:style w:type="paragraph" w:customStyle="1" w:styleId="elencoconlettere1">
    <w:name w:val="elenco con lettere 1"/>
    <w:basedOn w:val="Normal"/>
    <w:qFormat/>
    <w:rsid w:val="00810A7E"/>
    <w:pPr>
      <w:tabs>
        <w:tab w:val="clear" w:pos="794"/>
        <w:tab w:val="clear" w:pos="1191"/>
        <w:tab w:val="clear" w:pos="1588"/>
        <w:tab w:val="clear" w:pos="1985"/>
      </w:tabs>
      <w:overflowPunct/>
      <w:autoSpaceDE/>
      <w:autoSpaceDN/>
      <w:spacing w:line="319" w:lineRule="auto"/>
      <w:ind w:left="709" w:hanging="284"/>
      <w:jc w:val="both"/>
      <w:textAlignment w:val="auto"/>
    </w:pPr>
    <w:rPr>
      <w:rFonts w:asciiTheme="majorBidi" w:eastAsiaTheme="minorHAnsi" w:hAnsiTheme="majorBidi" w:cstheme="majorBidi"/>
      <w:sz w:val="24"/>
      <w:szCs w:val="24"/>
    </w:rPr>
  </w:style>
  <w:style w:type="paragraph" w:customStyle="1" w:styleId="titolorec">
    <w:name w:val="titolo rec"/>
    <w:basedOn w:val="Normal"/>
    <w:next w:val="recesug"/>
    <w:qFormat/>
    <w:rsid w:val="00810A7E"/>
    <w:pPr>
      <w:keepNext/>
      <w:keepLines/>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ind w:left="360" w:hanging="360"/>
      <w:jc w:val="both"/>
      <w:textAlignment w:val="auto"/>
    </w:pPr>
    <w:rPr>
      <w:rFonts w:asciiTheme="majorBidi" w:eastAsiaTheme="minorHAnsi" w:hAnsiTheme="majorBidi" w:cstheme="majorBidi"/>
      <w:b/>
      <w:bCs/>
      <w:sz w:val="24"/>
      <w:szCs w:val="24"/>
    </w:rPr>
  </w:style>
  <w:style w:type="paragraph" w:customStyle="1" w:styleId="titolosugg">
    <w:name w:val="titolo sugg"/>
    <w:basedOn w:val="titolorec"/>
    <w:next w:val="recesug"/>
    <w:qFormat/>
    <w:rsid w:val="00810A7E"/>
  </w:style>
  <w:style w:type="table" w:customStyle="1" w:styleId="TableGrid2">
    <w:name w:val="Table Grid2"/>
    <w:basedOn w:val="TableNormal"/>
    <w:next w:val="TableGrid"/>
    <w:rsid w:val="00F3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416727">
      <w:bodyDiv w:val="1"/>
      <w:marLeft w:val="0"/>
      <w:marRight w:val="0"/>
      <w:marTop w:val="0"/>
      <w:marBottom w:val="0"/>
      <w:divBdr>
        <w:top w:val="none" w:sz="0" w:space="0" w:color="auto"/>
        <w:left w:val="none" w:sz="0" w:space="0" w:color="auto"/>
        <w:bottom w:val="none" w:sz="0" w:space="0" w:color="auto"/>
        <w:right w:val="none" w:sz="0" w:space="0" w:color="auto"/>
      </w:divBdr>
    </w:div>
    <w:div w:id="1343701928">
      <w:bodyDiv w:val="1"/>
      <w:marLeft w:val="0"/>
      <w:marRight w:val="0"/>
      <w:marTop w:val="0"/>
      <w:marBottom w:val="0"/>
      <w:divBdr>
        <w:top w:val="none" w:sz="0" w:space="0" w:color="auto"/>
        <w:left w:val="none" w:sz="0" w:space="0" w:color="auto"/>
        <w:bottom w:val="none" w:sz="0" w:space="0" w:color="auto"/>
        <w:right w:val="none" w:sz="0" w:space="0" w:color="auto"/>
      </w:divBdr>
    </w:div>
    <w:div w:id="1480027836">
      <w:bodyDiv w:val="1"/>
      <w:marLeft w:val="0"/>
      <w:marRight w:val="0"/>
      <w:marTop w:val="0"/>
      <w:marBottom w:val="0"/>
      <w:divBdr>
        <w:top w:val="none" w:sz="0" w:space="0" w:color="auto"/>
        <w:left w:val="none" w:sz="0" w:space="0" w:color="auto"/>
        <w:bottom w:val="none" w:sz="0" w:space="0" w:color="auto"/>
        <w:right w:val="none" w:sz="0" w:space="0" w:color="auto"/>
      </w:divBdr>
    </w:div>
    <w:div w:id="20708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tu.int/council/finregs/Regl_Fin_10r.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osova\AppData\Roaming\Microsoft\Templates\POOL%20R%20-%20ITU\PR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7B3E1-AAB8-4D4B-8B57-BA9483B1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PR_C17.dotx</Template>
  <TotalTime>1</TotalTime>
  <Pages>57</Pages>
  <Words>19025</Words>
  <Characters>108449</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127220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2015</dc:subject>
  <dc:creator>Brouard, Ricarda</dc:creator>
  <cp:keywords/>
  <dc:description/>
  <cp:lastModifiedBy>Janin</cp:lastModifiedBy>
  <cp:revision>3</cp:revision>
  <cp:lastPrinted>2017-05-19T09:51:00Z</cp:lastPrinted>
  <dcterms:created xsi:type="dcterms:W3CDTF">2018-08-23T14:46:00Z</dcterms:created>
  <dcterms:modified xsi:type="dcterms:W3CDTF">2018-08-23T14:47:00Z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