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04B77">
        <w:trPr>
          <w:cantSplit/>
        </w:trPr>
        <w:tc>
          <w:tcPr>
            <w:tcW w:w="6911" w:type="dxa"/>
          </w:tcPr>
          <w:p w:rsidR="00BC7BC0" w:rsidRPr="00504B77" w:rsidRDefault="000569B4" w:rsidP="0087300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04B7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04B7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504B77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04B7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04B7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04B77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04B77">
              <w:rPr>
                <w:b/>
                <w:bCs/>
                <w:lang w:val="ru-RU"/>
              </w:rPr>
              <w:t>1</w:t>
            </w:r>
            <w:r w:rsidR="00A01CF9" w:rsidRPr="00504B77">
              <w:rPr>
                <w:b/>
                <w:bCs/>
                <w:lang w:val="ru-RU"/>
              </w:rPr>
              <w:t>7</w:t>
            </w:r>
            <w:r w:rsidR="0069211B" w:rsidRPr="00504B77">
              <w:rPr>
                <w:b/>
                <w:bCs/>
                <w:lang w:val="ru-RU"/>
              </w:rPr>
              <w:t>−</w:t>
            </w:r>
            <w:r w:rsidR="008B62B4" w:rsidRPr="00504B77">
              <w:rPr>
                <w:b/>
                <w:bCs/>
                <w:lang w:val="ru-RU"/>
              </w:rPr>
              <w:t>2</w:t>
            </w:r>
            <w:r w:rsidR="00A01CF9" w:rsidRPr="00504B77">
              <w:rPr>
                <w:b/>
                <w:bCs/>
                <w:lang w:val="ru-RU"/>
              </w:rPr>
              <w:t>7</w:t>
            </w:r>
            <w:r w:rsidR="00A01CF9" w:rsidRPr="00504B77">
              <w:rPr>
                <w:b/>
                <w:szCs w:val="22"/>
                <w:lang w:val="ru-RU"/>
              </w:rPr>
              <w:t xml:space="preserve"> апреля</w:t>
            </w:r>
            <w:r w:rsidR="00A01CF9" w:rsidRPr="00504B77">
              <w:rPr>
                <w:b/>
                <w:bCs/>
                <w:lang w:val="ru-RU"/>
              </w:rPr>
              <w:t xml:space="preserve"> </w:t>
            </w:r>
            <w:r w:rsidR="00225368" w:rsidRPr="00504B77">
              <w:rPr>
                <w:b/>
                <w:bCs/>
                <w:lang w:val="ru-RU"/>
              </w:rPr>
              <w:t>201</w:t>
            </w:r>
            <w:r w:rsidR="00A01CF9" w:rsidRPr="00504B77">
              <w:rPr>
                <w:b/>
                <w:bCs/>
                <w:lang w:val="ru-RU"/>
              </w:rPr>
              <w:t>8</w:t>
            </w:r>
            <w:r w:rsidR="00225368" w:rsidRPr="00504B7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04B77" w:rsidRDefault="009C1C89" w:rsidP="00873005">
            <w:pPr>
              <w:spacing w:before="0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04B77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04B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04B77" w:rsidRDefault="00BC7BC0" w:rsidP="00873005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04B77" w:rsidRDefault="00BC7BC0" w:rsidP="00873005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504B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04B77" w:rsidRDefault="00BC7BC0" w:rsidP="00873005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04B77" w:rsidRDefault="00BC7BC0" w:rsidP="00873005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504B7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04B77" w:rsidRDefault="00BC7BC0" w:rsidP="00873005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504B7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04B7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47892" w:rsidRPr="00504B77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6C1EAC" w:rsidRPr="00504B77">
              <w:rPr>
                <w:b/>
                <w:bCs/>
                <w:caps/>
                <w:color w:val="000000"/>
                <w:szCs w:val="22"/>
                <w:lang w:val="ru-RU"/>
              </w:rPr>
              <w:t>9</w:t>
            </w:r>
          </w:p>
        </w:tc>
        <w:tc>
          <w:tcPr>
            <w:tcW w:w="3120" w:type="dxa"/>
          </w:tcPr>
          <w:p w:rsidR="00BC7BC0" w:rsidRPr="00504B77" w:rsidRDefault="00BC7BC0" w:rsidP="00873005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4B77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04B77">
              <w:rPr>
                <w:b/>
                <w:bCs/>
                <w:szCs w:val="22"/>
                <w:lang w:val="ru-RU"/>
              </w:rPr>
              <w:t>1</w:t>
            </w:r>
            <w:r w:rsidR="00A01CF9" w:rsidRPr="00504B77">
              <w:rPr>
                <w:b/>
                <w:bCs/>
                <w:szCs w:val="22"/>
                <w:lang w:val="ru-RU"/>
              </w:rPr>
              <w:t>8</w:t>
            </w:r>
            <w:r w:rsidRPr="00504B77">
              <w:rPr>
                <w:b/>
                <w:bCs/>
                <w:szCs w:val="22"/>
                <w:lang w:val="ru-RU"/>
              </w:rPr>
              <w:t>/</w:t>
            </w:r>
            <w:r w:rsidR="006C1EAC" w:rsidRPr="00504B77">
              <w:rPr>
                <w:b/>
                <w:bCs/>
                <w:szCs w:val="22"/>
                <w:lang w:val="ru-RU"/>
              </w:rPr>
              <w:t>39</w:t>
            </w:r>
            <w:r w:rsidRPr="00504B7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04B77">
        <w:trPr>
          <w:cantSplit/>
          <w:trHeight w:val="23"/>
        </w:trPr>
        <w:tc>
          <w:tcPr>
            <w:tcW w:w="6911" w:type="dxa"/>
            <w:vMerge/>
          </w:tcPr>
          <w:p w:rsidR="00BC7BC0" w:rsidRPr="00504B77" w:rsidRDefault="00BC7BC0" w:rsidP="00873005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04B77" w:rsidRDefault="00647892" w:rsidP="0087300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4B77">
              <w:rPr>
                <w:b/>
                <w:bCs/>
                <w:szCs w:val="22"/>
                <w:lang w:val="ru-RU"/>
              </w:rPr>
              <w:t xml:space="preserve">8 </w:t>
            </w:r>
            <w:r w:rsidR="006C1EAC" w:rsidRPr="00504B77">
              <w:rPr>
                <w:b/>
                <w:bCs/>
                <w:szCs w:val="22"/>
                <w:lang w:val="ru-RU"/>
              </w:rPr>
              <w:t>марта</w:t>
            </w:r>
            <w:r w:rsidR="00EB4FCB" w:rsidRPr="00504B7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04B77">
              <w:rPr>
                <w:b/>
                <w:bCs/>
                <w:szCs w:val="22"/>
                <w:lang w:val="ru-RU"/>
              </w:rPr>
              <w:t>20</w:t>
            </w:r>
            <w:r w:rsidR="003F099E" w:rsidRPr="00504B77">
              <w:rPr>
                <w:b/>
                <w:bCs/>
                <w:szCs w:val="22"/>
                <w:lang w:val="ru-RU"/>
              </w:rPr>
              <w:t>1</w:t>
            </w:r>
            <w:r w:rsidR="00A01CF9" w:rsidRPr="00504B77">
              <w:rPr>
                <w:b/>
                <w:bCs/>
                <w:szCs w:val="22"/>
                <w:lang w:val="ru-RU"/>
              </w:rPr>
              <w:t>8</w:t>
            </w:r>
            <w:r w:rsidR="00BC7BC0" w:rsidRPr="00504B7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04B77">
        <w:trPr>
          <w:cantSplit/>
          <w:trHeight w:val="23"/>
        </w:trPr>
        <w:tc>
          <w:tcPr>
            <w:tcW w:w="6911" w:type="dxa"/>
            <w:vMerge/>
          </w:tcPr>
          <w:p w:rsidR="00BC7BC0" w:rsidRPr="00504B77" w:rsidRDefault="00BC7BC0" w:rsidP="00873005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04B77" w:rsidRDefault="00BC7BC0" w:rsidP="0087300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4B7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04B77">
        <w:trPr>
          <w:cantSplit/>
        </w:trPr>
        <w:tc>
          <w:tcPr>
            <w:tcW w:w="10031" w:type="dxa"/>
            <w:gridSpan w:val="2"/>
          </w:tcPr>
          <w:p w:rsidR="00BC7BC0" w:rsidRPr="00504B77" w:rsidRDefault="00647892" w:rsidP="00873005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04B77">
              <w:rPr>
                <w:lang w:val="ru-RU"/>
              </w:rPr>
              <w:t>Отчет</w:t>
            </w:r>
            <w:r w:rsidR="00BC7BC0" w:rsidRPr="00504B77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8E7DE0">
        <w:trPr>
          <w:cantSplit/>
        </w:trPr>
        <w:tc>
          <w:tcPr>
            <w:tcW w:w="10031" w:type="dxa"/>
            <w:gridSpan w:val="2"/>
          </w:tcPr>
          <w:p w:rsidR="00BC7BC0" w:rsidRPr="00504B77" w:rsidRDefault="006C1EAC" w:rsidP="0087300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04B77">
              <w:rPr>
                <w:lang w:val="ru-RU"/>
              </w:rPr>
              <w:t xml:space="preserve">ХОД И ПЛАН ВЫПОЛНЕНИЯ РЕКОМЕНДАЦИЙ ОИГ по итогам </w:t>
            </w:r>
            <w:r w:rsidRPr="00504B77">
              <w:rPr>
                <w:lang w:val="ru-RU"/>
              </w:rPr>
              <w:br/>
            </w:r>
            <w:r w:rsidRPr="00504B77">
              <w:rPr>
                <w:color w:val="000000"/>
                <w:lang w:val="ru-RU"/>
              </w:rPr>
              <w:t>"обзора управления и администрирования в МСЭ"</w:t>
            </w:r>
          </w:p>
        </w:tc>
      </w:tr>
      <w:bookmarkEnd w:id="2"/>
    </w:tbl>
    <w:p w:rsidR="002D2F57" w:rsidRPr="00504B77" w:rsidRDefault="002D2F57" w:rsidP="00873005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E7DE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EAC" w:rsidRPr="00504B77" w:rsidRDefault="006C1EAC" w:rsidP="00873005">
            <w:pPr>
              <w:pStyle w:val="Headingb"/>
            </w:pPr>
            <w:r w:rsidRPr="00504B77">
              <w:t>Резюме</w:t>
            </w:r>
          </w:p>
          <w:p w:rsidR="006C1EAC" w:rsidRPr="00504B77" w:rsidRDefault="006C1EAC" w:rsidP="00873005">
            <w:pPr>
              <w:rPr>
                <w:lang w:val="ru-RU"/>
              </w:rPr>
            </w:pPr>
            <w:r w:rsidRPr="00504B77">
              <w:rPr>
                <w:lang w:val="ru-RU"/>
              </w:rPr>
              <w:t xml:space="preserve">Объединенная инспекционная группа системы Организации Объединенных Наций включила в свою программу работы на 2015 год "Обзор управления и администрирования в Международном союзе электросвязи (МСЭ)". Отчет по итогам этого Обзора (JIU/REP/2016/1) </w:t>
            </w:r>
            <w:r w:rsidRPr="00504B77">
              <w:rPr>
                <w:color w:val="000000"/>
                <w:lang w:val="ru-RU"/>
              </w:rPr>
              <w:t>послужил вкладом в ведущуюся Секретариатом работу по дальнейшему совершенствованию и упорядочению осуществляемых им процессов администрирования и управления</w:t>
            </w:r>
            <w:r w:rsidRPr="00504B77">
              <w:rPr>
                <w:lang w:val="ru-RU"/>
              </w:rPr>
              <w:t xml:space="preserve">. </w:t>
            </w:r>
          </w:p>
          <w:p w:rsidR="006C1EAC" w:rsidRPr="00504B77" w:rsidRDefault="006C1EAC" w:rsidP="00873005">
            <w:pPr>
              <w:rPr>
                <w:lang w:val="ru-RU"/>
              </w:rPr>
            </w:pPr>
            <w:r w:rsidRPr="00504B77">
              <w:rPr>
                <w:lang w:val="ru-RU"/>
              </w:rPr>
              <w:t>В настоящем документе представлены ход и план выполнения рекомендаций ОИГ по итогам проведения обзора в МСЭ.</w:t>
            </w:r>
          </w:p>
          <w:p w:rsidR="006C1EAC" w:rsidRPr="00504B77" w:rsidRDefault="006C1EAC" w:rsidP="00873005">
            <w:pPr>
              <w:pStyle w:val="Headingb"/>
            </w:pPr>
            <w:r w:rsidRPr="00504B77">
              <w:t>Необходимые действия</w:t>
            </w:r>
          </w:p>
          <w:p w:rsidR="006C1EAC" w:rsidRPr="00504B77" w:rsidRDefault="006C1EAC" w:rsidP="00873005">
            <w:pPr>
              <w:rPr>
                <w:lang w:val="ru-RU"/>
              </w:rPr>
            </w:pPr>
            <w:r w:rsidRPr="00504B77">
              <w:rPr>
                <w:color w:val="000000"/>
                <w:lang w:val="ru-RU"/>
              </w:rPr>
              <w:t xml:space="preserve">Совету предлагается </w:t>
            </w:r>
            <w:r w:rsidRPr="00504B77">
              <w:rPr>
                <w:b/>
                <w:color w:val="000000"/>
                <w:lang w:val="ru-RU"/>
              </w:rPr>
              <w:t>принять к сведению</w:t>
            </w:r>
            <w:r w:rsidRPr="00504B77">
              <w:rPr>
                <w:color w:val="000000"/>
                <w:lang w:val="ru-RU"/>
              </w:rPr>
              <w:t xml:space="preserve"> настоящий отчет о ходе и плане выполнения рекомендаций ОИГ по итогам "Обзора управления и администрирования в МСЭ"</w:t>
            </w:r>
            <w:r w:rsidRPr="00504B77">
              <w:rPr>
                <w:bCs/>
                <w:lang w:val="ru-RU"/>
              </w:rPr>
              <w:t>.</w:t>
            </w:r>
          </w:p>
          <w:p w:rsidR="006C1EAC" w:rsidRPr="00504B77" w:rsidRDefault="006C1EAC" w:rsidP="00873005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04B77">
              <w:rPr>
                <w:caps/>
                <w:szCs w:val="22"/>
                <w:lang w:val="ru-RU"/>
              </w:rPr>
              <w:t>____________</w:t>
            </w:r>
          </w:p>
          <w:p w:rsidR="006C1EAC" w:rsidRPr="00504B77" w:rsidRDefault="006C1EAC" w:rsidP="00873005">
            <w:pPr>
              <w:pStyle w:val="Headingb"/>
            </w:pPr>
            <w:r w:rsidRPr="00504B77">
              <w:t>Справочные материалы</w:t>
            </w:r>
          </w:p>
          <w:p w:rsidR="002D2F57" w:rsidRPr="00504B77" w:rsidRDefault="006C1EAC" w:rsidP="00873005">
            <w:pPr>
              <w:spacing w:after="120"/>
              <w:rPr>
                <w:i/>
                <w:iCs/>
                <w:lang w:val="ru-RU"/>
              </w:rPr>
            </w:pPr>
            <w:r w:rsidRPr="00504B77">
              <w:rPr>
                <w:i/>
                <w:iCs/>
                <w:lang w:val="ru-RU"/>
              </w:rPr>
              <w:t>Проведение ОИГ обзора управления и администрирования в МСЭ (</w:t>
            </w:r>
            <w:hyperlink r:id="rId8" w:history="1">
              <w:r w:rsidRPr="00504B77">
                <w:rPr>
                  <w:rStyle w:val="Hyperlink"/>
                  <w:i/>
                  <w:iCs/>
                  <w:lang w:val="ru-RU"/>
                </w:rPr>
                <w:t>JIU</w:t>
              </w:r>
              <w:r w:rsidRPr="00504B77">
                <w:rPr>
                  <w:rStyle w:val="Hyperlink"/>
                  <w:lang w:val="ru-RU"/>
                </w:rPr>
                <w:t>/</w:t>
              </w:r>
              <w:r w:rsidRPr="00504B77">
                <w:rPr>
                  <w:rStyle w:val="Hyperlink"/>
                  <w:i/>
                  <w:iCs/>
                  <w:lang w:val="ru-RU"/>
                </w:rPr>
                <w:t>REP</w:t>
              </w:r>
              <w:r w:rsidRPr="00504B77">
                <w:rPr>
                  <w:rStyle w:val="Hyperlink"/>
                  <w:lang w:val="ru-RU"/>
                </w:rPr>
                <w:t>/</w:t>
              </w:r>
              <w:r w:rsidRPr="00504B77">
                <w:rPr>
                  <w:rStyle w:val="Hyperlink"/>
                  <w:i/>
                  <w:iCs/>
                  <w:lang w:val="ru-RU"/>
                </w:rPr>
                <w:t>2016</w:t>
              </w:r>
              <w:r w:rsidRPr="00504B77">
                <w:rPr>
                  <w:rStyle w:val="Hyperlink"/>
                  <w:lang w:val="ru-RU"/>
                </w:rPr>
                <w:t>/</w:t>
              </w:r>
              <w:r w:rsidRPr="00504B77">
                <w:rPr>
                  <w:rStyle w:val="Hyperlink"/>
                  <w:i/>
                  <w:iCs/>
                  <w:lang w:val="ru-RU"/>
                </w:rPr>
                <w:t>1</w:t>
              </w:r>
            </w:hyperlink>
            <w:r w:rsidRPr="00504B77">
              <w:rPr>
                <w:i/>
                <w:iCs/>
                <w:lang w:val="ru-RU"/>
              </w:rPr>
              <w:t>); Документы </w:t>
            </w:r>
            <w:hyperlink r:id="rId9" w:history="1">
              <w:r w:rsidRPr="00504B77">
                <w:rPr>
                  <w:rStyle w:val="Hyperlink"/>
                  <w:i/>
                  <w:iCs/>
                  <w:lang w:val="ru-RU"/>
                </w:rPr>
                <w:t>C17</w:t>
              </w:r>
              <w:r w:rsidRPr="00504B77">
                <w:rPr>
                  <w:rStyle w:val="Hyperlink"/>
                  <w:lang w:val="ru-RU"/>
                </w:rPr>
                <w:t>/</w:t>
              </w:r>
              <w:r w:rsidRPr="00504B77">
                <w:rPr>
                  <w:rStyle w:val="Hyperlink"/>
                  <w:i/>
                  <w:iCs/>
                  <w:lang w:val="ru-RU"/>
                </w:rPr>
                <w:t>49</w:t>
              </w:r>
            </w:hyperlink>
            <w:r w:rsidRPr="00504B77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Pr="00504B77">
                <w:rPr>
                  <w:rStyle w:val="Hyperlink"/>
                  <w:i/>
                  <w:iCs/>
                  <w:lang w:val="ru-RU"/>
                </w:rPr>
                <w:t>C16</w:t>
              </w:r>
              <w:r w:rsidRPr="00504B77">
                <w:rPr>
                  <w:rStyle w:val="Hyperlink"/>
                  <w:lang w:val="ru-RU"/>
                </w:rPr>
                <w:t>/</w:t>
              </w:r>
              <w:r w:rsidRPr="00504B77">
                <w:rPr>
                  <w:rStyle w:val="Hyperlink"/>
                  <w:i/>
                  <w:iCs/>
                  <w:lang w:val="ru-RU"/>
                </w:rPr>
                <w:t>67</w:t>
              </w:r>
            </w:hyperlink>
            <w:r w:rsidRPr="00504B77">
              <w:rPr>
                <w:i/>
                <w:iCs/>
                <w:lang w:val="ru-RU"/>
              </w:rPr>
              <w:t xml:space="preserve"> и </w:t>
            </w:r>
            <w:hyperlink r:id="rId11" w:history="1">
              <w:r w:rsidRPr="00504B77">
                <w:rPr>
                  <w:rStyle w:val="Hyperlink"/>
                  <w:i/>
                  <w:iCs/>
                  <w:lang w:val="ru-RU"/>
                </w:rPr>
                <w:t>C16</w:t>
              </w:r>
              <w:r w:rsidRPr="00504B77">
                <w:rPr>
                  <w:rStyle w:val="Hyperlink"/>
                  <w:lang w:val="ru-RU"/>
                </w:rPr>
                <w:t>/</w:t>
              </w:r>
              <w:r w:rsidRPr="00504B77">
                <w:rPr>
                  <w:rStyle w:val="Hyperlink"/>
                  <w:i/>
                  <w:iCs/>
                  <w:lang w:val="ru-RU"/>
                </w:rPr>
                <w:t>49</w:t>
              </w:r>
            </w:hyperlink>
            <w:r w:rsidRPr="00504B77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6C1EAC" w:rsidRPr="00504B77" w:rsidRDefault="006C1EAC" w:rsidP="00504B77">
      <w:pPr>
        <w:pStyle w:val="Heading1"/>
        <w:rPr>
          <w:rFonts w:cstheme="minorHAnsi"/>
          <w:color w:val="000000"/>
          <w:shd w:val="clear" w:color="auto" w:fill="FFFFFF"/>
        </w:rPr>
      </w:pPr>
      <w:r w:rsidRPr="00504B77">
        <w:t>1</w:t>
      </w:r>
      <w:r w:rsidRPr="00504B77">
        <w:tab/>
        <w:t>Базовая информация</w:t>
      </w:r>
    </w:p>
    <w:p w:rsidR="006C1EAC" w:rsidRPr="00504B77" w:rsidRDefault="006C1EAC" w:rsidP="00873005">
      <w:pPr>
        <w:rPr>
          <w:szCs w:val="24"/>
          <w:lang w:val="ru-RU"/>
        </w:rPr>
      </w:pPr>
      <w:r w:rsidRPr="00504B77">
        <w:rPr>
          <w:lang w:val="ru-RU"/>
        </w:rPr>
        <w:t>1.1</w:t>
      </w:r>
      <w:r w:rsidRPr="00504B77">
        <w:rPr>
          <w:lang w:val="ru-RU"/>
        </w:rPr>
        <w:tab/>
        <w:t xml:space="preserve">Объединенная инспекционная группа системы Организации Объединенных Наций включила в свою программу работы на 2015 год "Обзор управления и администрирования в Международном союзе электросвязи (МСЭ)". При проведении обзора основное внимание </w:t>
      </w:r>
      <w:r w:rsidRPr="00504B77">
        <w:rPr>
          <w:szCs w:val="24"/>
          <w:lang w:val="ru-RU"/>
        </w:rPr>
        <w:t>уделялось таким вопросам, как руководство, исполнительное управление, организационная структура, стратегическое планирование, финансовое управление, управление людскими ресурсами, управление информационно-коммуникационными технологиями и механизмы надзора</w:t>
      </w:r>
      <w:r w:rsidRPr="00504B77">
        <w:rPr>
          <w:lang w:val="ru-RU"/>
        </w:rPr>
        <w:t xml:space="preserve">. В зависимости от случая добавлялись дополнительные корпоративные функции, которые были признаны актуальными. </w:t>
      </w:r>
      <w:r w:rsidRPr="00504B77">
        <w:rPr>
          <w:bCs/>
          <w:lang w:val="ru-RU"/>
        </w:rPr>
        <w:t xml:space="preserve">Полный текст отчета ОИГ содержится в документе </w:t>
      </w:r>
      <w:hyperlink r:id="rId12" w:history="1">
        <w:r w:rsidRPr="00504B77">
          <w:rPr>
            <w:rStyle w:val="Hyperlink"/>
            <w:bCs/>
            <w:lang w:val="ru-RU"/>
          </w:rPr>
          <w:t>C16/49</w:t>
        </w:r>
      </w:hyperlink>
      <w:r w:rsidRPr="00504B77">
        <w:rPr>
          <w:bCs/>
          <w:lang w:val="ru-RU"/>
        </w:rPr>
        <w:t>.</w:t>
      </w:r>
    </w:p>
    <w:p w:rsidR="006C1EAC" w:rsidRPr="00504B77" w:rsidRDefault="006C1EAC" w:rsidP="00873005">
      <w:pPr>
        <w:rPr>
          <w:lang w:val="ru-RU"/>
        </w:rPr>
      </w:pPr>
      <w:r w:rsidRPr="00504B77">
        <w:rPr>
          <w:lang w:val="ru-RU"/>
        </w:rPr>
        <w:t>1.2</w:t>
      </w:r>
      <w:r w:rsidRPr="00504B77">
        <w:rPr>
          <w:lang w:val="ru-RU"/>
        </w:rPr>
        <w:tab/>
        <w:t xml:space="preserve">Генеральный секретарь МСЭ принял официальные и неофициальные рекомендации, сделанные ОИГ и адресованные Секретариату МСЭ, и высказал мнение о том, что они внесут свой вклад в процесс постоянного совершенствования и дальнейшего укрепления процессов администрирования и управления в МСЭ. Он заявил о готовности Секретариата МСЭ выполнить </w:t>
      </w:r>
      <w:r w:rsidRPr="00504B77">
        <w:rPr>
          <w:lang w:val="ru-RU"/>
        </w:rPr>
        <w:lastRenderedPageBreak/>
        <w:t>рекомендации в предложенные сроки. Вместе с тем полномасштабное выполнение некоторых рекомендаций может зависеть от наличия ресурсов.</w:t>
      </w:r>
    </w:p>
    <w:p w:rsidR="006C1EAC" w:rsidRPr="00504B77" w:rsidRDefault="006C1EAC" w:rsidP="00873005">
      <w:pPr>
        <w:keepNext/>
        <w:keepLines/>
        <w:snapToGrid w:val="0"/>
        <w:spacing w:after="120"/>
        <w:jc w:val="both"/>
        <w:rPr>
          <w:rFonts w:asciiTheme="minorHAnsi" w:hAnsiTheme="minorHAnsi" w:cstheme="majorBidi"/>
          <w:bCs/>
          <w:szCs w:val="22"/>
          <w:lang w:val="ru-RU"/>
        </w:rPr>
      </w:pPr>
      <w:r w:rsidRPr="00504B77">
        <w:rPr>
          <w:rFonts w:asciiTheme="minorHAnsi" w:hAnsiTheme="minorHAnsi" w:cstheme="majorBidi"/>
          <w:bCs/>
          <w:szCs w:val="22"/>
          <w:lang w:val="ru-RU"/>
        </w:rPr>
        <w:t>1.3</w:t>
      </w:r>
      <w:r w:rsidRPr="00504B77">
        <w:rPr>
          <w:rFonts w:asciiTheme="minorHAnsi" w:hAnsiTheme="minorHAnsi" w:cstheme="majorBidi"/>
          <w:bCs/>
          <w:szCs w:val="22"/>
          <w:lang w:val="ru-RU"/>
        </w:rPr>
        <w:tab/>
        <w:t>Первый отчет о ходе выполнения был представлен сессии Совета 2017 года (</w:t>
      </w:r>
      <w:hyperlink r:id="rId13" w:history="1">
        <w:r w:rsidRPr="00504B77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C17/49</w:t>
        </w:r>
      </w:hyperlink>
      <w:r w:rsidRPr="00504B77">
        <w:rPr>
          <w:rFonts w:asciiTheme="minorHAnsi" w:hAnsiTheme="minorHAnsi" w:cstheme="majorBidi"/>
          <w:bCs/>
          <w:szCs w:val="22"/>
          <w:lang w:val="ru-RU"/>
        </w:rPr>
        <w:t>).</w:t>
      </w:r>
    </w:p>
    <w:p w:rsidR="006C1EAC" w:rsidRDefault="006C1EAC" w:rsidP="00504B77">
      <w:pPr>
        <w:pStyle w:val="Heading1"/>
      </w:pPr>
      <w:r w:rsidRPr="00504B77">
        <w:t>2</w:t>
      </w:r>
      <w:r w:rsidRPr="00504B77">
        <w:tab/>
        <w:t>Общий статус выполнения рекомендаций по итогам Обзора ОИГ</w:t>
      </w:r>
    </w:p>
    <w:p w:rsidR="002D7A94" w:rsidRPr="002D7A94" w:rsidRDefault="002D7A94" w:rsidP="002D7A94">
      <w:pPr>
        <w:jc w:val="center"/>
        <w:rPr>
          <w:lang w:val="ru-RU"/>
        </w:rPr>
      </w:pPr>
      <w:r w:rsidRPr="002D7A94">
        <w:rPr>
          <w:noProof/>
          <w:lang w:eastAsia="zh-CN"/>
        </w:rPr>
        <w:drawing>
          <wp:inline distT="0" distB="0" distL="0" distR="0" wp14:anchorId="7AEC6501" wp14:editId="2CCD653C">
            <wp:extent cx="4848225" cy="255270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1EAC" w:rsidRPr="00504B77" w:rsidRDefault="006C1EAC" w:rsidP="00630B43">
      <w:pPr>
        <w:rPr>
          <w:lang w:val="ru-RU"/>
        </w:rPr>
      </w:pPr>
    </w:p>
    <w:p w:rsidR="006C1EAC" w:rsidRPr="00504B77" w:rsidRDefault="006C1EAC" w:rsidP="00873005">
      <w:pPr>
        <w:rPr>
          <w:lang w:val="ru-RU"/>
        </w:rPr>
      </w:pPr>
      <w:r w:rsidRPr="00504B77">
        <w:rPr>
          <w:lang w:val="ru-RU"/>
        </w:rPr>
        <w:t>2.1</w:t>
      </w:r>
      <w:r w:rsidRPr="00504B77">
        <w:rPr>
          <w:lang w:val="ru-RU"/>
        </w:rPr>
        <w:tab/>
      </w:r>
      <w:bookmarkStart w:id="3" w:name="lt_pId037"/>
      <w:r w:rsidRPr="00504B77">
        <w:rPr>
          <w:lang w:val="ru-RU"/>
        </w:rPr>
        <w:t xml:space="preserve">Из </w:t>
      </w:r>
      <w:r w:rsidRPr="00504B77">
        <w:rPr>
          <w:b/>
          <w:color w:val="000000"/>
          <w:lang w:val="ru-RU"/>
        </w:rPr>
        <w:t>11 официальных рекомендаций</w:t>
      </w:r>
      <w:r w:rsidRPr="00504B77">
        <w:rPr>
          <w:color w:val="000000"/>
          <w:lang w:val="ru-RU"/>
        </w:rPr>
        <w:t xml:space="preserve">, адресованных Секретариату МСЭ, </w:t>
      </w:r>
      <w:r w:rsidR="00FD18D1" w:rsidRPr="00504B77">
        <w:rPr>
          <w:b/>
          <w:color w:val="000000"/>
          <w:lang w:val="ru-RU"/>
        </w:rPr>
        <w:t>все</w:t>
      </w:r>
      <w:r w:rsidRPr="00504B77">
        <w:rPr>
          <w:b/>
          <w:color w:val="000000"/>
          <w:lang w:val="ru-RU"/>
        </w:rPr>
        <w:t xml:space="preserve"> были выполнены</w:t>
      </w:r>
      <w:r w:rsidRPr="00504B77">
        <w:rPr>
          <w:lang w:val="ru-RU"/>
        </w:rPr>
        <w:t xml:space="preserve"> (подробн</w:t>
      </w:r>
      <w:r w:rsidR="00FD18D1" w:rsidRPr="00504B77">
        <w:rPr>
          <w:lang w:val="ru-RU"/>
        </w:rPr>
        <w:t>ая</w:t>
      </w:r>
      <w:r w:rsidRPr="00504B77">
        <w:rPr>
          <w:lang w:val="ru-RU"/>
        </w:rPr>
        <w:t xml:space="preserve"> информаци</w:t>
      </w:r>
      <w:r w:rsidR="00FD18D1" w:rsidRPr="00504B77">
        <w:rPr>
          <w:lang w:val="ru-RU"/>
        </w:rPr>
        <w:t>я представлена</w:t>
      </w:r>
      <w:r w:rsidRPr="00504B77">
        <w:rPr>
          <w:lang w:val="ru-RU"/>
        </w:rPr>
        <w:t xml:space="preserve"> в Приложении I).</w:t>
      </w:r>
      <w:bookmarkEnd w:id="3"/>
    </w:p>
    <w:p w:rsidR="006C1EAC" w:rsidRPr="00504B77" w:rsidRDefault="006C1EAC" w:rsidP="00873005">
      <w:pPr>
        <w:spacing w:after="120"/>
        <w:rPr>
          <w:lang w:val="ru-RU"/>
        </w:rPr>
      </w:pPr>
      <w:r w:rsidRPr="00504B77">
        <w:rPr>
          <w:lang w:val="ru-RU"/>
        </w:rPr>
        <w:t>2.2</w:t>
      </w:r>
      <w:r w:rsidRPr="00504B77">
        <w:rPr>
          <w:lang w:val="ru-RU"/>
        </w:rPr>
        <w:tab/>
      </w:r>
      <w:bookmarkStart w:id="4" w:name="lt_pId039"/>
      <w:r w:rsidRPr="00504B77">
        <w:rPr>
          <w:lang w:val="ru-RU"/>
        </w:rPr>
        <w:t xml:space="preserve">Рекомендация, направленная </w:t>
      </w:r>
      <w:r w:rsidRPr="00504B77">
        <w:rPr>
          <w:color w:val="000000"/>
          <w:lang w:val="ru-RU"/>
        </w:rPr>
        <w:t xml:space="preserve">руководящим органам МСЭ, должна быть рассмотрена </w:t>
      </w:r>
      <w:r w:rsidRPr="00504B77">
        <w:rPr>
          <w:lang w:val="ru-RU"/>
        </w:rPr>
        <w:t>ПК-18.</w:t>
      </w:r>
      <w:bookmarkEnd w:id="4"/>
    </w:p>
    <w:p w:rsidR="006C1EAC" w:rsidRPr="00504B77" w:rsidRDefault="00FD2D6F" w:rsidP="00873005">
      <w:pPr>
        <w:jc w:val="center"/>
        <w:rPr>
          <w:bCs/>
          <w:lang w:val="ru-RU"/>
        </w:rPr>
      </w:pPr>
      <w:r w:rsidRPr="00504B77">
        <w:rPr>
          <w:noProof/>
          <w:lang w:eastAsia="zh-CN"/>
        </w:rPr>
        <w:drawing>
          <wp:inline distT="0" distB="0" distL="0" distR="0" wp14:anchorId="078BB087" wp14:editId="14FFCD4A">
            <wp:extent cx="5733415" cy="32766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5" b="2095"/>
                    <a:stretch/>
                  </pic:blipFill>
                  <pic:spPr bwMode="auto">
                    <a:xfrm>
                      <a:off x="0" y="0"/>
                      <a:ext cx="5734800" cy="327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B43" w:rsidRPr="00630B43" w:rsidRDefault="00630B43" w:rsidP="00630B43">
      <w:pPr>
        <w:rPr>
          <w:sz w:val="20"/>
          <w:lang w:val="ru-RU"/>
        </w:rPr>
      </w:pPr>
      <w:r w:rsidRPr="00630B43">
        <w:rPr>
          <w:sz w:val="20"/>
          <w:u w:val="single"/>
          <w:lang w:val="ru-RU"/>
        </w:rPr>
        <w:t>Пояснения к Рисунку</w:t>
      </w:r>
      <w:r w:rsidRPr="00630B43">
        <w:rPr>
          <w:sz w:val="20"/>
          <w:lang w:val="ru-RU"/>
        </w:rPr>
        <w:t>:</w:t>
      </w:r>
    </w:p>
    <w:p w:rsidR="00FD18D1" w:rsidRPr="00630B43" w:rsidRDefault="00FD18D1" w:rsidP="00630B43">
      <w:pPr>
        <w:spacing w:before="60"/>
        <w:rPr>
          <w:sz w:val="20"/>
          <w:lang w:val="ru-RU"/>
        </w:rPr>
      </w:pPr>
      <w:r w:rsidRPr="00630B43">
        <w:rPr>
          <w:sz w:val="20"/>
          <w:lang w:val="ru-RU"/>
        </w:rPr>
        <w:t>СТАТУС ВЫПОЛНЕНИЯ НЕОФИЦИАЛЬНЫХ РЕКОМЕНДАЦИЙ ОИГ</w:t>
      </w:r>
    </w:p>
    <w:p w:rsidR="00FD18D1" w:rsidRPr="00630B43" w:rsidRDefault="000970D8" w:rsidP="00630B43">
      <w:pPr>
        <w:spacing w:before="0"/>
        <w:rPr>
          <w:sz w:val="20"/>
          <w:lang w:val="ru-RU"/>
        </w:rPr>
      </w:pPr>
      <w:r w:rsidRPr="00630B43">
        <w:rPr>
          <w:sz w:val="20"/>
          <w:lang w:val="ru-RU"/>
        </w:rPr>
        <w:t>В стадии рассмотрения</w:t>
      </w:r>
      <w:r w:rsidR="00630B43">
        <w:rPr>
          <w:sz w:val="20"/>
          <w:lang w:val="ru-RU"/>
        </w:rPr>
        <w:t xml:space="preserve">; </w:t>
      </w:r>
      <w:r w:rsidR="00FD2D6F" w:rsidRPr="00630B43">
        <w:rPr>
          <w:sz w:val="20"/>
          <w:lang w:val="ru-RU"/>
        </w:rPr>
        <w:t>О</w:t>
      </w:r>
      <w:r w:rsidR="00FD18D1" w:rsidRPr="00630B43">
        <w:rPr>
          <w:sz w:val="20"/>
          <w:lang w:val="ru-RU"/>
        </w:rPr>
        <w:t>тложен</w:t>
      </w:r>
      <w:r w:rsidRPr="00630B43">
        <w:rPr>
          <w:sz w:val="20"/>
          <w:lang w:val="ru-RU"/>
        </w:rPr>
        <w:t>о</w:t>
      </w:r>
    </w:p>
    <w:p w:rsidR="00FD18D1" w:rsidRPr="00630B43" w:rsidRDefault="00FD18D1" w:rsidP="00630B43">
      <w:pPr>
        <w:spacing w:before="0"/>
        <w:rPr>
          <w:sz w:val="20"/>
          <w:lang w:val="ru-RU"/>
        </w:rPr>
      </w:pPr>
      <w:r w:rsidRPr="00630B43">
        <w:rPr>
          <w:sz w:val="20"/>
          <w:lang w:val="ru-RU"/>
        </w:rPr>
        <w:t>В соответствии с планом/в стадии выполнения</w:t>
      </w:r>
      <w:r w:rsidR="00630B43">
        <w:rPr>
          <w:sz w:val="20"/>
          <w:lang w:val="ru-RU"/>
        </w:rPr>
        <w:t xml:space="preserve">; </w:t>
      </w:r>
      <w:r w:rsidRPr="00630B43">
        <w:rPr>
          <w:sz w:val="20"/>
          <w:lang w:val="ru-RU"/>
        </w:rPr>
        <w:t>Выполнен</w:t>
      </w:r>
      <w:r w:rsidR="000970D8" w:rsidRPr="00630B43">
        <w:rPr>
          <w:sz w:val="20"/>
          <w:lang w:val="ru-RU"/>
        </w:rPr>
        <w:t>о</w:t>
      </w:r>
    </w:p>
    <w:p w:rsidR="00FD18D1" w:rsidRPr="00630B43" w:rsidRDefault="00FD18D1" w:rsidP="00630B43">
      <w:pPr>
        <w:spacing w:before="0"/>
        <w:rPr>
          <w:sz w:val="20"/>
          <w:lang w:val="ru-RU"/>
        </w:rPr>
      </w:pPr>
      <w:r w:rsidRPr="00630B43">
        <w:rPr>
          <w:sz w:val="20"/>
          <w:lang w:val="ru-RU"/>
        </w:rPr>
        <w:t>Авг. 2017 г.</w:t>
      </w:r>
      <w:r w:rsidR="00630B43">
        <w:rPr>
          <w:sz w:val="20"/>
          <w:lang w:val="ru-RU"/>
        </w:rPr>
        <w:t>;</w:t>
      </w:r>
      <w:r w:rsidRPr="00630B43">
        <w:rPr>
          <w:sz w:val="20"/>
          <w:lang w:val="ru-RU"/>
        </w:rPr>
        <w:t xml:space="preserve"> Дек. 2016 г.</w:t>
      </w:r>
      <w:r w:rsidR="00630B43">
        <w:rPr>
          <w:sz w:val="20"/>
          <w:lang w:val="ru-RU"/>
        </w:rPr>
        <w:t>;</w:t>
      </w:r>
      <w:r w:rsidRPr="00630B43">
        <w:rPr>
          <w:sz w:val="20"/>
          <w:lang w:val="ru-RU"/>
        </w:rPr>
        <w:t xml:space="preserve"> Март 2016 г</w:t>
      </w:r>
      <w:r w:rsidR="00630B43">
        <w:rPr>
          <w:sz w:val="20"/>
          <w:lang w:val="ru-RU"/>
        </w:rPr>
        <w:t>.;</w:t>
      </w:r>
      <w:r w:rsidRPr="00630B43">
        <w:rPr>
          <w:sz w:val="20"/>
          <w:lang w:val="ru-RU"/>
        </w:rPr>
        <w:t xml:space="preserve"> Июнь 2017 г.</w:t>
      </w:r>
      <w:r w:rsidR="00630B43">
        <w:rPr>
          <w:sz w:val="20"/>
          <w:lang w:val="ru-RU"/>
        </w:rPr>
        <w:t>;</w:t>
      </w:r>
      <w:r w:rsidRPr="00630B43">
        <w:rPr>
          <w:sz w:val="20"/>
          <w:lang w:val="ru-RU"/>
        </w:rPr>
        <w:t xml:space="preserve"> Окт. 2017 г.</w:t>
      </w:r>
      <w:r w:rsidR="00630B43">
        <w:rPr>
          <w:sz w:val="20"/>
          <w:lang w:val="ru-RU"/>
        </w:rPr>
        <w:t>;</w:t>
      </w:r>
      <w:r w:rsidRPr="00630B43">
        <w:rPr>
          <w:sz w:val="20"/>
          <w:lang w:val="ru-RU"/>
        </w:rPr>
        <w:t xml:space="preserve"> Янв. 2018 г.</w:t>
      </w:r>
    </w:p>
    <w:p w:rsidR="006C1EAC" w:rsidRPr="00504B77" w:rsidRDefault="006C1EAC" w:rsidP="00B2059F">
      <w:pPr>
        <w:rPr>
          <w:bCs/>
          <w:lang w:val="ru-RU"/>
        </w:rPr>
      </w:pPr>
      <w:r w:rsidRPr="00504B77">
        <w:rPr>
          <w:bCs/>
          <w:lang w:val="ru-RU"/>
        </w:rPr>
        <w:lastRenderedPageBreak/>
        <w:t>2.</w:t>
      </w:r>
      <w:r w:rsidR="00B2059F">
        <w:rPr>
          <w:bCs/>
          <w:lang w:val="ru-RU"/>
        </w:rPr>
        <w:t>3</w:t>
      </w:r>
      <w:r w:rsidRPr="00504B77">
        <w:rPr>
          <w:bCs/>
          <w:lang w:val="ru-RU"/>
        </w:rPr>
        <w:tab/>
        <w:t xml:space="preserve">В общей сложности из </w:t>
      </w:r>
      <w:r w:rsidRPr="00504B77">
        <w:rPr>
          <w:b/>
          <w:bCs/>
          <w:lang w:val="ru-RU"/>
        </w:rPr>
        <w:t xml:space="preserve">47 </w:t>
      </w:r>
      <w:r w:rsidRPr="00504B77">
        <w:rPr>
          <w:b/>
          <w:color w:val="000000"/>
          <w:lang w:val="ru-RU"/>
        </w:rPr>
        <w:t>официальных и неофициальных рекомендаций</w:t>
      </w:r>
      <w:r w:rsidRPr="00504B77">
        <w:rPr>
          <w:color w:val="000000"/>
          <w:lang w:val="ru-RU"/>
        </w:rPr>
        <w:t xml:space="preserve"> </w:t>
      </w:r>
      <w:r w:rsidR="00FD2D6F" w:rsidRPr="00504B77">
        <w:rPr>
          <w:b/>
          <w:color w:val="000000"/>
          <w:lang w:val="ru-RU"/>
        </w:rPr>
        <w:t xml:space="preserve">38 были выполнены, </w:t>
      </w:r>
      <w:r w:rsidR="00A66402" w:rsidRPr="00504B77">
        <w:rPr>
          <w:b/>
          <w:color w:val="000000"/>
          <w:lang w:val="ru-RU"/>
        </w:rPr>
        <w:t xml:space="preserve">шесть </w:t>
      </w:r>
      <w:r w:rsidRPr="00504B77">
        <w:rPr>
          <w:b/>
          <w:color w:val="000000"/>
          <w:lang w:val="ru-RU"/>
        </w:rPr>
        <w:t>выполняются в настоящее время</w:t>
      </w:r>
      <w:r w:rsidRPr="00504B77">
        <w:rPr>
          <w:color w:val="000000"/>
          <w:lang w:val="ru-RU"/>
        </w:rPr>
        <w:t xml:space="preserve"> (согласно плану, представленному в Приложениях), а </w:t>
      </w:r>
      <w:r w:rsidR="002C200F" w:rsidRPr="00504B77">
        <w:rPr>
          <w:color w:val="000000"/>
          <w:lang w:val="ru-RU"/>
        </w:rPr>
        <w:t>три</w:t>
      </w:r>
      <w:r w:rsidRPr="00504B77">
        <w:rPr>
          <w:color w:val="000000"/>
          <w:lang w:val="ru-RU"/>
        </w:rPr>
        <w:t xml:space="preserve"> рекомендации, </w:t>
      </w:r>
      <w:r w:rsidR="002C200F" w:rsidRPr="00504B77">
        <w:rPr>
          <w:color w:val="000000"/>
          <w:lang w:val="ru-RU"/>
        </w:rPr>
        <w:t xml:space="preserve">которые были </w:t>
      </w:r>
      <w:r w:rsidRPr="00504B77">
        <w:rPr>
          <w:lang w:val="ru-RU"/>
        </w:rPr>
        <w:t>адресован</w:t>
      </w:r>
      <w:r w:rsidR="002C200F" w:rsidRPr="00504B77">
        <w:rPr>
          <w:lang w:val="ru-RU"/>
        </w:rPr>
        <w:t>ы</w:t>
      </w:r>
      <w:r w:rsidRPr="00504B77">
        <w:rPr>
          <w:lang w:val="ru-RU"/>
        </w:rPr>
        <w:t xml:space="preserve"> </w:t>
      </w:r>
      <w:r w:rsidRPr="00504B77">
        <w:rPr>
          <w:color w:val="000000"/>
          <w:lang w:val="ru-RU"/>
        </w:rPr>
        <w:t xml:space="preserve">руководящим органам МСЭ, </w:t>
      </w:r>
      <w:r w:rsidR="002C200F" w:rsidRPr="00504B77">
        <w:rPr>
          <w:color w:val="000000"/>
          <w:lang w:val="ru-RU"/>
        </w:rPr>
        <w:t>направлены</w:t>
      </w:r>
      <w:r w:rsidRPr="00504B77">
        <w:rPr>
          <w:color w:val="000000"/>
          <w:lang w:val="ru-RU"/>
        </w:rPr>
        <w:t xml:space="preserve"> на</w:t>
      </w:r>
      <w:r w:rsidR="002C200F" w:rsidRPr="00504B77">
        <w:rPr>
          <w:color w:val="000000"/>
          <w:lang w:val="ru-RU"/>
        </w:rPr>
        <w:t xml:space="preserve"> </w:t>
      </w:r>
      <w:r w:rsidRPr="00504B77">
        <w:rPr>
          <w:color w:val="000000"/>
          <w:lang w:val="ru-RU"/>
        </w:rPr>
        <w:t>рассмотрени</w:t>
      </w:r>
      <w:r w:rsidR="002C200F" w:rsidRPr="00504B77">
        <w:rPr>
          <w:color w:val="000000"/>
          <w:lang w:val="ru-RU"/>
        </w:rPr>
        <w:t>е ПК-18</w:t>
      </w:r>
      <w:r w:rsidRPr="00504B77">
        <w:rPr>
          <w:color w:val="000000"/>
          <w:lang w:val="ru-RU"/>
        </w:rPr>
        <w:t>.</w:t>
      </w:r>
    </w:p>
    <w:p w:rsidR="006C1EAC" w:rsidRPr="00504B77" w:rsidRDefault="006C1EAC" w:rsidP="00B2059F">
      <w:pPr>
        <w:rPr>
          <w:lang w:val="ru-RU"/>
        </w:rPr>
      </w:pPr>
      <w:r w:rsidRPr="00504B77">
        <w:rPr>
          <w:bCs/>
          <w:lang w:val="ru-RU"/>
        </w:rPr>
        <w:t>2.</w:t>
      </w:r>
      <w:r w:rsidR="00B2059F">
        <w:rPr>
          <w:bCs/>
          <w:lang w:val="ru-RU"/>
        </w:rPr>
        <w:t>4</w:t>
      </w:r>
      <w:r w:rsidRPr="00504B77">
        <w:rPr>
          <w:bCs/>
          <w:lang w:val="ru-RU"/>
        </w:rPr>
        <w:tab/>
      </w:r>
      <w:bookmarkStart w:id="5" w:name="lt_pId043"/>
      <w:r w:rsidRPr="00504B77">
        <w:rPr>
          <w:bCs/>
          <w:lang w:val="ru-RU"/>
        </w:rPr>
        <w:t>В Приложениях I и II представлены подробные данные о ходе и плане выполнения официальных и неофициальных рекомендаций.</w:t>
      </w:r>
      <w:bookmarkEnd w:id="5"/>
    </w:p>
    <w:p w:rsidR="00856F36" w:rsidRPr="00504B77" w:rsidRDefault="00856F36" w:rsidP="00873005">
      <w:pPr>
        <w:rPr>
          <w:lang w:val="ru-RU"/>
        </w:rPr>
      </w:pPr>
    </w:p>
    <w:p w:rsidR="00856F36" w:rsidRPr="00504B77" w:rsidRDefault="00856F36" w:rsidP="00873005">
      <w:pPr>
        <w:rPr>
          <w:lang w:val="ru-RU"/>
        </w:rPr>
        <w:sectPr w:rsidR="00856F36" w:rsidRPr="00504B77" w:rsidSect="00856F36">
          <w:headerReference w:type="default" r:id="rId16"/>
          <w:footerReference w:type="default" r:id="rId17"/>
          <w:footerReference w:type="first" r:id="rId18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6C1EAC" w:rsidRPr="00504B77" w:rsidRDefault="006C1EAC" w:rsidP="00873005">
      <w:pPr>
        <w:pStyle w:val="AnnexNo"/>
        <w:spacing w:before="0"/>
        <w:rPr>
          <w:lang w:val="ru-RU"/>
        </w:rPr>
      </w:pPr>
      <w:r w:rsidRPr="00504B77">
        <w:rPr>
          <w:lang w:val="ru-RU"/>
        </w:rPr>
        <w:lastRenderedPageBreak/>
        <w:t>ПРИЛОЖЕНИЕ i</w:t>
      </w:r>
    </w:p>
    <w:p w:rsidR="006C1EAC" w:rsidRPr="00504B77" w:rsidRDefault="006C1EAC" w:rsidP="00873005">
      <w:pPr>
        <w:pStyle w:val="Annextitle"/>
        <w:rPr>
          <w:lang w:val="ru-RU"/>
        </w:rPr>
      </w:pPr>
      <w:r w:rsidRPr="00504B77">
        <w:rPr>
          <w:lang w:val="ru-RU"/>
        </w:rPr>
        <w:t>Статус выполнения официальных рекомендаций ОИГ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4111"/>
        <w:gridCol w:w="992"/>
        <w:gridCol w:w="3402"/>
        <w:gridCol w:w="1389"/>
      </w:tblGrid>
      <w:tr w:rsidR="00B75C4B" w:rsidRPr="00504B77" w:rsidTr="00873005">
        <w:trPr>
          <w:tblHeader/>
        </w:trPr>
        <w:tc>
          <w:tcPr>
            <w:tcW w:w="3544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873005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Официальная рекомендация</w:t>
            </w:r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873005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Ответствен-</w:t>
            </w: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br/>
              <w:t>ный</w:t>
            </w:r>
          </w:p>
        </w:tc>
        <w:tc>
          <w:tcPr>
            <w:tcW w:w="4111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873005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Ответ Секретариата (март 2016 г</w:t>
            </w:r>
            <w:r w:rsidR="0063581B" w:rsidRPr="00504B77">
              <w:rPr>
                <w:rFonts w:cs="Times New Roman Bold"/>
                <w:color w:val="FFFFFF" w:themeColor="background1"/>
                <w:lang w:val="ru-RU" w:eastAsia="zh-CN"/>
              </w:rPr>
              <w:t>.</w:t>
            </w: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873005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К</w:t>
            </w:r>
            <w:r w:rsidR="0063581B" w:rsidRPr="00504B77">
              <w:rPr>
                <w:rFonts w:cs="Times New Roman Bold"/>
                <w:color w:val="FFFFFF" w:themeColor="background1"/>
                <w:lang w:val="ru-RU" w:eastAsia="zh-CN"/>
              </w:rPr>
              <w:t>онтроль</w:t>
            </w:r>
            <w:r w:rsidR="00B75C4B" w:rsidRPr="00504B77">
              <w:rPr>
                <w:rFonts w:cs="Times New Roman Bold"/>
                <w:color w:val="FFFFFF" w:themeColor="background1"/>
                <w:lang w:val="ru-RU" w:eastAsia="zh-CN"/>
              </w:rPr>
              <w:t>-</w:t>
            </w: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ный этап</w:t>
            </w:r>
          </w:p>
        </w:tc>
        <w:tc>
          <w:tcPr>
            <w:tcW w:w="3402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873005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Положение на данный момент</w:t>
            </w:r>
          </w:p>
        </w:tc>
        <w:tc>
          <w:tcPr>
            <w:tcW w:w="1389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873005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Статус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Рек. 1</w:t>
            </w:r>
            <w:r w:rsidRPr="00504B77">
              <w:rPr>
                <w:lang w:val="ru-RU" w:eastAsia="zh-CN"/>
              </w:rPr>
              <w:t>. Генеральному секретарю следует рассмотреть структуру комитетов по управлению для обеспечения эффекта синергии и взаимодополняемости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избежания дублирования их мандатов, в первую очередь путем обновления существующих кругов ведения или, по мере необходимости, создания новых.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РКГ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Структура и круги ведения комитетов по управлению будут рассматриваться для обеспечения эффекта синергии и взаимодополняемости и избежания дублирования их мандатов.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Рассмотрена структура комитетов по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управлению, в необходимых случаях приняты и утверждены новые круги ведения, например в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 xml:space="preserve">отношении </w:t>
            </w:r>
            <w:r w:rsidRPr="00504B77">
              <w:rPr>
                <w:color w:val="000000"/>
                <w:lang w:val="ru-RU"/>
              </w:rPr>
              <w:t>Межсекторальной целевой координационной группы (ЦГ-МСК).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Рек. 2</w:t>
            </w:r>
            <w:r w:rsidRPr="00504B77">
              <w:rPr>
                <w:lang w:val="ru-RU" w:eastAsia="zh-CN"/>
              </w:rPr>
              <w:t xml:space="preserve">. </w:t>
            </w:r>
            <w:r w:rsidRPr="00504B77">
              <w:rPr>
                <w:lang w:val="ru-RU"/>
              </w:rPr>
              <w:t>Генеральному секретарю следует провести углубленный анализ эффективности и действенности функций управления и вспомогательных административных служб во всех подразделениях Союза, учитывая специфику и потребности каждого Сектора, и</w:t>
            </w:r>
            <w:r w:rsidR="002C200F" w:rsidRPr="00504B77">
              <w:rPr>
                <w:lang w:val="ru-RU"/>
              </w:rPr>
              <w:t xml:space="preserve"> </w:t>
            </w:r>
            <w:r w:rsidRPr="00504B77">
              <w:rPr>
                <w:lang w:val="ru-RU"/>
              </w:rPr>
              <w:t>представить Совету отчет по результатам и</w:t>
            </w:r>
            <w:r w:rsidR="002C200F" w:rsidRPr="00504B77">
              <w:rPr>
                <w:lang w:val="ru-RU"/>
              </w:rPr>
              <w:t xml:space="preserve"> </w:t>
            </w:r>
            <w:r w:rsidRPr="00504B77">
              <w:rPr>
                <w:lang w:val="ru-RU"/>
              </w:rPr>
              <w:t>предложениям в контексте разработки бюджета Союза на двухгодичный период 2018–2019 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Целевая группа по Прило-жению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Проектная группа под председательством заместителя Генерального секретаря при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участии Бюро и департаментов Генерального секретариата проведет углубленный анализ эффективности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действенности функций управления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вспомогательных административных служб во всех подразделениях Союза в целях их упрощения и преобразования в процессы электронной работы, ликвидации частичного совпадения и дублирования задач, учитывая специфику и потребности каждого Сектора. Отчет по результатам и предложениям будет представлен Совету в контексте разработки бюджета МСЭ на двухгодичный период 2018−2019 гг.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РГС-ФЛР, 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Отчет по результатам и предложениям обсуждался </w:t>
            </w:r>
            <w:r w:rsidRPr="00504B77">
              <w:rPr>
                <w:color w:val="000000"/>
                <w:lang w:val="ru-RU"/>
              </w:rPr>
              <w:t xml:space="preserve">РГС-ФЛР и был представлен Совету в контексте разработки бюджета МСЭ на двухлетний период </w:t>
            </w:r>
            <w:r w:rsidRPr="00504B77">
              <w:rPr>
                <w:lang w:val="ru-RU" w:eastAsia="zh-CN"/>
              </w:rPr>
              <w:t>2018−2019 гг.:</w:t>
            </w:r>
          </w:p>
          <w:p w:rsidR="006C1EAC" w:rsidRPr="00504B77" w:rsidRDefault="006C1EAC" w:rsidP="00576EE7">
            <w:pPr>
              <w:pStyle w:val="Tabletext"/>
              <w:ind w:left="284" w:hanging="284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−</w:t>
            </w:r>
            <w:r w:rsidRPr="00504B77">
              <w:rPr>
                <w:lang w:val="ru-RU" w:eastAsia="zh-CN"/>
              </w:rPr>
              <w:tab/>
              <w:t>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19" w:history="1">
              <w:r w:rsidRPr="00504B77">
                <w:rPr>
                  <w:rStyle w:val="Hyperlink"/>
                  <w:lang w:val="ru-RU" w:eastAsia="zh-CN"/>
                </w:rPr>
                <w:t>C17/45</w:t>
              </w:r>
            </w:hyperlink>
            <w:r w:rsidRPr="00504B77">
              <w:rPr>
                <w:lang w:val="ru-RU" w:eastAsia="zh-CN"/>
              </w:rPr>
              <w:t xml:space="preserve"> </w:t>
            </w:r>
            <w:r w:rsidRPr="00504B77">
              <w:rPr>
                <w:color w:val="000000"/>
                <w:lang w:val="ru-RU"/>
              </w:rPr>
              <w:t>по осуществлению мер, направленных на повышение эффективности</w:t>
            </w:r>
            <w:r w:rsidRPr="00504B77">
              <w:rPr>
                <w:lang w:val="ru-RU" w:eastAsia="zh-CN"/>
              </w:rPr>
              <w:t>;</w:t>
            </w:r>
          </w:p>
          <w:p w:rsidR="006C1EAC" w:rsidRPr="00504B77" w:rsidRDefault="00576EE7" w:rsidP="00873005">
            <w:pPr>
              <w:pStyle w:val="Tabletext"/>
              <w:ind w:left="284" w:hanging="284"/>
              <w:rPr>
                <w:lang w:val="ru-RU" w:eastAsia="zh-CN"/>
              </w:rPr>
            </w:pPr>
            <w:r>
              <w:rPr>
                <w:lang w:val="ru-RU" w:eastAsia="zh-CN"/>
              </w:rPr>
              <w:t>−</w:t>
            </w:r>
            <w:r>
              <w:rPr>
                <w:lang w:val="ru-RU" w:eastAsia="zh-CN"/>
              </w:rPr>
              <w:tab/>
              <w:t>Документ</w:t>
            </w:r>
            <w:r w:rsidR="006C1EAC" w:rsidRPr="00504B77">
              <w:rPr>
                <w:lang w:val="ru-RU" w:eastAsia="zh-CN"/>
              </w:rPr>
              <w:t> </w:t>
            </w:r>
            <w:hyperlink r:id="rId20" w:history="1">
              <w:r w:rsidR="006C1EAC" w:rsidRPr="00504B77">
                <w:rPr>
                  <w:rStyle w:val="Hyperlink"/>
                  <w:lang w:val="ru-RU" w:eastAsia="zh-CN"/>
                </w:rPr>
                <w:t>C17/10</w:t>
              </w:r>
            </w:hyperlink>
            <w:r w:rsidR="006C1EAC" w:rsidRPr="00504B77">
              <w:rPr>
                <w:lang w:val="ru-RU" w:eastAsia="zh-CN"/>
              </w:rPr>
              <w:t xml:space="preserve"> (</w:t>
            </w:r>
            <w:r w:rsidR="006C1EAC" w:rsidRPr="00504B77">
              <w:rPr>
                <w:color w:val="000000"/>
                <w:lang w:val="ru-RU"/>
              </w:rPr>
              <w:t>проект бюджета Союза на</w:t>
            </w:r>
            <w:r w:rsidR="006C1EAC" w:rsidRPr="00504B77">
              <w:rPr>
                <w:lang w:val="ru-RU" w:eastAsia="zh-CN"/>
              </w:rPr>
              <w:t xml:space="preserve"> 2018−2019 гг.).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keepNext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Рек. 3</w:t>
            </w:r>
            <w:r w:rsidRPr="00504B77">
              <w:rPr>
                <w:lang w:val="ru-RU" w:eastAsia="zh-CN"/>
              </w:rPr>
              <w:t>. Генеральному секретарю следует доработать и представить Совету для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утверждения на его сессии 2017 г. стратегию координации и сотрудничества в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областях, представляющих взаимный интерес для Генерального секретариата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трех Секторов, как предложено Государствами-Членами в Ре</w:t>
            </w:r>
            <w:r w:rsidR="00576EE7">
              <w:rPr>
                <w:lang w:val="ru-RU" w:eastAsia="zh-CN"/>
              </w:rPr>
              <w:t>золюции 191 (Пусан, 2014 г.), а </w:t>
            </w:r>
            <w:r w:rsidRPr="00504B77">
              <w:rPr>
                <w:lang w:val="ru-RU" w:eastAsia="zh-CN"/>
              </w:rPr>
              <w:t>также представлять Совету ежегодный отчет о ее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keepNext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ЦГ-МСК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keepNext/>
              <w:rPr>
                <w:lang w:val="ru-RU" w:eastAsia="zh-CN"/>
              </w:rPr>
            </w:pPr>
            <w:r w:rsidRPr="00504B77">
              <w:rPr>
                <w:spacing w:val="-4"/>
                <w:lang w:val="ru-RU" w:eastAsia="zh-CN"/>
              </w:rPr>
              <w:t>Межсекторальная целевая координационная группа (ЦГ-МСК) способствует координации и сотрудничеству между тремя Бюро и</w:t>
            </w:r>
            <w:r w:rsidR="002C200F" w:rsidRPr="00504B77">
              <w:rPr>
                <w:spacing w:val="-4"/>
                <w:lang w:val="ru-RU" w:eastAsia="zh-CN"/>
              </w:rPr>
              <w:t xml:space="preserve"> </w:t>
            </w:r>
            <w:r w:rsidRPr="00504B77">
              <w:rPr>
                <w:spacing w:val="-4"/>
                <w:lang w:val="ru-RU" w:eastAsia="zh-CN"/>
              </w:rPr>
              <w:t>Генеральным секретариатом в целях избежания дублирования усилий и оптимизации использования ресурсов. Генеральный секретарь доработает и представит комплексную стратегию координации и</w:t>
            </w:r>
            <w:r w:rsidR="002C200F" w:rsidRPr="00504B77">
              <w:rPr>
                <w:spacing w:val="-4"/>
                <w:lang w:val="ru-RU" w:eastAsia="zh-CN"/>
              </w:rPr>
              <w:t xml:space="preserve"> </w:t>
            </w:r>
            <w:r w:rsidRPr="00504B77">
              <w:rPr>
                <w:spacing w:val="-4"/>
                <w:lang w:val="ru-RU" w:eastAsia="zh-CN"/>
              </w:rPr>
              <w:t>сотрудничества.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keepNext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keepNext/>
              <w:rPr>
                <w:lang w:val="ru-RU" w:eastAsia="zh-CN"/>
              </w:rPr>
            </w:pPr>
            <w:r w:rsidRPr="00504B77">
              <w:rPr>
                <w:spacing w:val="-4"/>
                <w:lang w:val="ru-RU" w:eastAsia="zh-CN"/>
              </w:rPr>
              <w:t xml:space="preserve">Межсекторальная целевая координационная группа (ЦГ-МСК), официально учрежденная </w:t>
            </w:r>
            <w:r w:rsidRPr="00504B77">
              <w:rPr>
                <w:color w:val="000000"/>
                <w:lang w:val="ru-RU"/>
              </w:rPr>
              <w:t>Служебным приказом</w:t>
            </w:r>
            <w:r w:rsidRPr="00504B77">
              <w:rPr>
                <w:lang w:val="ru-RU" w:eastAsia="zh-CN"/>
              </w:rPr>
              <w:t xml:space="preserve"> № 16/13, </w:t>
            </w:r>
            <w:r w:rsidRPr="00504B77">
              <w:rPr>
                <w:spacing w:val="-4"/>
                <w:lang w:val="ru-RU" w:eastAsia="zh-CN"/>
              </w:rPr>
              <w:t>способствует координации и</w:t>
            </w:r>
            <w:r w:rsidR="002C200F" w:rsidRPr="00504B77">
              <w:rPr>
                <w:spacing w:val="-4"/>
                <w:lang w:val="ru-RU" w:eastAsia="zh-CN"/>
              </w:rPr>
              <w:t xml:space="preserve"> </w:t>
            </w:r>
            <w:r w:rsidRPr="00504B77">
              <w:rPr>
                <w:spacing w:val="-4"/>
                <w:lang w:val="ru-RU" w:eastAsia="zh-CN"/>
              </w:rPr>
              <w:t>сотрудничеству между тремя Бюро и</w:t>
            </w:r>
            <w:r w:rsidR="002C200F" w:rsidRPr="00504B77">
              <w:rPr>
                <w:spacing w:val="-4"/>
                <w:lang w:val="ru-RU" w:eastAsia="zh-CN"/>
              </w:rPr>
              <w:t xml:space="preserve"> </w:t>
            </w:r>
            <w:r w:rsidRPr="00504B77">
              <w:rPr>
                <w:spacing w:val="-4"/>
                <w:lang w:val="ru-RU" w:eastAsia="zh-CN"/>
              </w:rPr>
              <w:t>Генеральным секретариатом в</w:t>
            </w:r>
            <w:r w:rsidR="002C200F" w:rsidRPr="00504B77">
              <w:rPr>
                <w:spacing w:val="-4"/>
                <w:lang w:val="ru-RU" w:eastAsia="zh-CN"/>
              </w:rPr>
              <w:t xml:space="preserve"> </w:t>
            </w:r>
            <w:r w:rsidRPr="00504B77">
              <w:rPr>
                <w:spacing w:val="-4"/>
                <w:lang w:val="ru-RU" w:eastAsia="zh-CN"/>
              </w:rPr>
              <w:t xml:space="preserve">целях избежания дублирования усилий и оптимизации использования ресурсов. Отчет о ходе реализации </w:t>
            </w:r>
            <w:r w:rsidRPr="00504B77">
              <w:rPr>
                <w:lang w:val="ru-RU" w:eastAsia="zh-CN"/>
              </w:rPr>
              <w:t>Рез. 191 (</w:t>
            </w:r>
            <w:bookmarkStart w:id="6" w:name="_Toc407103003"/>
            <w:r w:rsidRPr="00504B77">
              <w:rPr>
                <w:lang w:val="ru-RU" w:eastAsia="zh-CN"/>
              </w:rPr>
              <w:t>Стратегия координации усилий трех Секторов Союза</w:t>
            </w:r>
            <w:bookmarkEnd w:id="6"/>
            <w:r w:rsidRPr="00504B77">
              <w:rPr>
                <w:lang w:val="ru-RU" w:eastAsia="zh-CN"/>
              </w:rPr>
              <w:t>) представляется Совету ежегодно (Док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1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C17/38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keepNext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Рек. 4</w:t>
            </w:r>
            <w:r w:rsidRPr="00504B77">
              <w:rPr>
                <w:lang w:val="ru-RU" w:eastAsia="zh-CN"/>
              </w:rPr>
              <w:t>. Генеральному секретарю следует далее разрабатывать и сводить основные элементы подотчетности в автономные принципы подотчетности МСЭ, представить их Совету на одобрение на его сессии 2017 г., а также представлять ежегодный отчет об их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FRMD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Принципы подотчетности – это документ, в</w:t>
            </w:r>
            <w:r w:rsidR="00576EE7">
              <w:rPr>
                <w:lang w:val="en-US" w:eastAsia="zh-CN"/>
              </w:rPr>
              <w:t> </w:t>
            </w:r>
            <w:r w:rsidRPr="00504B77">
              <w:rPr>
                <w:lang w:val="ru-RU" w:eastAsia="zh-CN"/>
              </w:rPr>
              <w:t>котором определяются обязательства организации, то есть ее цели, стандарты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процедуры, а также то, как она обеспечивает подотчетность перед своими членами. В связи с этим Секретариат разработает принципы подотчетности совместно с Членами Союза. То, как устанавливаются приоритеты МСЭ, как утверждается его бюджет, как мобилизуются его ресурсы и осуществляется по ним отчетность, как осуществляются наблюдение, оценка и отчетность по показателям деятельности, должно показывать, что на Союз можно положиться в отношении выполнения его мандата.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РГС-ФЛР, 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FRMD координирует подготовку проекта Принципов подотчетности для МСЭ. Документ был рассмотрен </w:t>
            </w:r>
            <w:r w:rsidRPr="00504B77">
              <w:rPr>
                <w:spacing w:val="-4"/>
                <w:lang w:val="ru-RU" w:eastAsia="zh-CN"/>
              </w:rPr>
              <w:t xml:space="preserve">ЦГ-МСК и представлен </w:t>
            </w:r>
            <w:r w:rsidRPr="00504B77">
              <w:rPr>
                <w:color w:val="000000"/>
                <w:lang w:val="ru-RU"/>
              </w:rPr>
              <w:t>РГС-ФЛР.</w:t>
            </w:r>
          </w:p>
          <w:p w:rsidR="006C1EAC" w:rsidRPr="00504B77" w:rsidRDefault="006C1EAC" w:rsidP="00576EE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2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C17/64</w:t>
              </w:r>
            </w:hyperlink>
            <w:r w:rsidRPr="00504B77">
              <w:rPr>
                <w:lang w:val="ru-RU" w:eastAsia="zh-CN"/>
              </w:rPr>
              <w:t xml:space="preserve"> вводит в действие </w:t>
            </w:r>
            <w:r w:rsidRPr="00504B77">
              <w:rPr>
                <w:color w:val="000000"/>
                <w:lang w:val="ru-RU"/>
              </w:rPr>
              <w:t>Принципы подотчетности и прозрачности</w:t>
            </w:r>
            <w:r w:rsidRPr="00504B77">
              <w:rPr>
                <w:lang w:val="ru-RU" w:eastAsia="zh-CN"/>
              </w:rPr>
              <w:t xml:space="preserve"> МСЭ.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rPr>
          <w:trHeight w:val="19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Рек. 5</w:t>
            </w:r>
            <w:r w:rsidRPr="00504B77">
              <w:rPr>
                <w:lang w:val="ru-RU" w:eastAsia="zh-CN"/>
              </w:rPr>
              <w:t>. Генеральному секретарю следует разработать комплексный план укрепления стабильности и прогнозируемости финансовой базы Союза, включая в него варианты повышения доходов и предложения по сокращению затрат,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представить его на одобрение Совету на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его сессии 2017 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FRMD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В последние годы Союз принимал многочисленные меры для повышения своей долгосрочной финансовой стабильности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прогнозируемости своей финансовой базы. Совет 2014 г. учредил фонд АСХИ с 1 января 2014 г. ПК-14 в своем Решении 5 предложила Государствам-Членам объявлять свой предварительный класс взносов за два года до четырехгодичного периода Финансового плана. В Решении 5 также предлагаются меры по сокращению расходов Союза. В Резолюции 158 признается необходимость увеличения доходов Союза путем разработки новых финансовых механизмов, к числу которых могут относиться новые продукты, пересмотр доходов по линии возмещения затрат и увеличение размера единицы взносов. Секретариат разработает комплексный план, в который войдут как эти меры, так и те, которые будут приняты в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будущем.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РГС-ФЛР, 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Комплексный план укрепления стабильности и прогнозируемости финансовой базы Союза был обсужден на заседании </w:t>
            </w:r>
            <w:r w:rsidRPr="00504B77">
              <w:rPr>
                <w:color w:val="000000"/>
                <w:lang w:val="ru-RU"/>
              </w:rPr>
              <w:t>РГС-ФЛР и</w:t>
            </w:r>
            <w:r w:rsidR="002C200F" w:rsidRPr="00504B77">
              <w:rPr>
                <w:color w:val="000000"/>
                <w:lang w:val="ru-RU"/>
              </w:rPr>
              <w:t xml:space="preserve"> </w:t>
            </w:r>
            <w:r w:rsidRPr="00504B77">
              <w:rPr>
                <w:color w:val="000000"/>
                <w:lang w:val="ru-RU"/>
              </w:rPr>
              <w:t xml:space="preserve">представлен на рассмотрение </w:t>
            </w:r>
            <w:r w:rsidRPr="00504B77">
              <w:rPr>
                <w:lang w:val="ru-RU" w:eastAsia="zh-CN"/>
              </w:rPr>
              <w:t>Совета 2017 г. (Док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3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C17/67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Рек. 6</w:t>
            </w:r>
            <w:r w:rsidRPr="00504B77">
              <w:rPr>
                <w:lang w:val="ru-RU" w:eastAsia="zh-CN"/>
              </w:rPr>
              <w:t xml:space="preserve">. </w:t>
            </w:r>
            <w:r w:rsidRPr="00504B77">
              <w:rPr>
                <w:lang w:val="ru-RU"/>
              </w:rPr>
              <w:t>Генеральному секретарю следует доработать и представить Совету для</w:t>
            </w:r>
            <w:r w:rsidR="002C200F" w:rsidRPr="00504B77">
              <w:rPr>
                <w:lang w:val="ru-RU"/>
              </w:rPr>
              <w:t xml:space="preserve"> </w:t>
            </w:r>
            <w:r w:rsidRPr="00504B77">
              <w:rPr>
                <w:lang w:val="ru-RU"/>
              </w:rPr>
              <w:t>одобрения на его сессии 2017 г., а затем регулярно обновлять политику управления рисками, которая содержала бы все элементы систематической и комплексной основы управления рисками, а</w:t>
            </w:r>
            <w:r w:rsidR="002C200F" w:rsidRPr="00504B77">
              <w:rPr>
                <w:lang w:val="ru-RU"/>
              </w:rPr>
              <w:t xml:space="preserve"> </w:t>
            </w:r>
            <w:r w:rsidRPr="00504B77">
              <w:rPr>
                <w:lang w:val="ru-RU"/>
              </w:rPr>
              <w:t>также ежегодно отчитываться перед Советом о ее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SPM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rPr>
                <w:spacing w:val="-2"/>
                <w:lang w:val="ru-RU" w:eastAsia="zh-CN"/>
              </w:rPr>
            </w:pPr>
            <w:r w:rsidRPr="00504B77">
              <w:rPr>
                <w:spacing w:val="-2"/>
                <w:lang w:val="ru-RU" w:eastAsia="zh-CN"/>
              </w:rPr>
              <w:t>В соответствии с относящимися к этому вопросу рекомендациями IMAC ведется внедрение механизма систематического управления рисками. Последняя информация о ходе работы представлена в </w:t>
            </w:r>
            <w:hyperlink r:id="rId24" w:history="1">
              <w:r w:rsidRPr="00504B77">
                <w:rPr>
                  <w:rStyle w:val="Hyperlink"/>
                  <w:spacing w:val="-2"/>
                  <w:lang w:val="ru-RU" w:eastAsia="zh-CN"/>
                </w:rPr>
                <w:t>Док</w:t>
              </w:r>
              <w:r w:rsidR="00576EE7">
                <w:rPr>
                  <w:rStyle w:val="Hyperlink"/>
                  <w:spacing w:val="-2"/>
                  <w:lang w:val="ru-RU" w:eastAsia="zh-CN"/>
                </w:rPr>
                <w:t>ументе</w:t>
              </w:r>
              <w:r w:rsidRPr="00504B77">
                <w:rPr>
                  <w:rStyle w:val="Hyperlink"/>
                  <w:spacing w:val="-2"/>
                  <w:lang w:val="ru-RU" w:eastAsia="zh-CN"/>
                </w:rPr>
                <w:t> CWG</w:t>
              </w:r>
              <w:r w:rsidR="002C200F" w:rsidRPr="00504B77">
                <w:rPr>
                  <w:rStyle w:val="Hyperlink"/>
                  <w:spacing w:val="-2"/>
                  <w:lang w:val="ru-RU" w:eastAsia="zh-CN"/>
                </w:rPr>
                <w:noBreakHyphen/>
              </w:r>
              <w:r w:rsidRPr="00504B77">
                <w:rPr>
                  <w:rStyle w:val="Hyperlink"/>
                  <w:spacing w:val="-2"/>
                  <w:lang w:val="ru-RU" w:eastAsia="zh-CN"/>
                </w:rPr>
                <w:t>FHR</w:t>
              </w:r>
              <w:r w:rsidR="002C200F" w:rsidRPr="00504B77">
                <w:rPr>
                  <w:rStyle w:val="Hyperlink"/>
                  <w:spacing w:val="-2"/>
                  <w:lang w:val="ru-RU" w:eastAsia="zh-CN"/>
                </w:rPr>
                <w:t> </w:t>
              </w:r>
              <w:r w:rsidRPr="00504B77">
                <w:rPr>
                  <w:rStyle w:val="Hyperlink"/>
                  <w:spacing w:val="-2"/>
                  <w:lang w:val="ru-RU" w:eastAsia="zh-CN"/>
                </w:rPr>
                <w:t>6/11</w:t>
              </w:r>
            </w:hyperlink>
            <w:r w:rsidRPr="00504B77">
              <w:rPr>
                <w:spacing w:val="-2"/>
                <w:lang w:val="ru-RU"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Заседа</w:t>
            </w:r>
            <w:r w:rsidR="00576EE7" w:rsidRPr="00B2059F">
              <w:rPr>
                <w:lang w:val="ru-RU" w:eastAsia="zh-CN"/>
              </w:rPr>
              <w:t>-</w:t>
            </w:r>
            <w:r w:rsidRPr="00504B77">
              <w:rPr>
                <w:lang w:val="ru-RU" w:eastAsia="zh-CN"/>
              </w:rPr>
              <w:t xml:space="preserve">ния IMAC, </w:t>
            </w:r>
            <w:r w:rsidRPr="00504B77">
              <w:rPr>
                <w:lang w:val="ru-RU" w:eastAsia="zh-CN"/>
              </w:rPr>
              <w:br/>
            </w:r>
            <w:r w:rsidRPr="00504B77">
              <w:rPr>
                <w:color w:val="000000"/>
                <w:lang w:val="ru-RU"/>
              </w:rPr>
              <w:t>РГС-ФЛР</w:t>
            </w:r>
            <w:r w:rsidRPr="00504B77">
              <w:rPr>
                <w:lang w:val="ru-RU" w:eastAsia="zh-CN"/>
              </w:rPr>
              <w:t>, 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rPr>
                <w:lang w:val="ru-RU" w:eastAsia="zh-CN"/>
              </w:rPr>
            </w:pPr>
            <w:r w:rsidRPr="00504B77">
              <w:rPr>
                <w:color w:val="000000"/>
                <w:lang w:val="ru-RU"/>
              </w:rPr>
              <w:t>Проект политики управления рисками и заявления о готовности к принятию рисков</w:t>
            </w:r>
            <w:r w:rsidRPr="00504B77">
              <w:rPr>
                <w:lang w:val="ru-RU"/>
              </w:rPr>
              <w:t xml:space="preserve"> МСЭ были подготовлены рабочей группой в</w:t>
            </w:r>
            <w:r w:rsidR="002C200F" w:rsidRPr="00504B77">
              <w:rPr>
                <w:lang w:val="ru-RU"/>
              </w:rPr>
              <w:t xml:space="preserve"> </w:t>
            </w:r>
            <w:r w:rsidRPr="00504B77">
              <w:rPr>
                <w:lang w:val="ru-RU"/>
              </w:rPr>
              <w:t xml:space="preserve">соответствии с рекомендациями </w:t>
            </w:r>
            <w:r w:rsidRPr="00504B77">
              <w:rPr>
                <w:lang w:val="ru-RU" w:eastAsia="zh-CN"/>
              </w:rPr>
              <w:t xml:space="preserve">IMAC. Документы были рассмотрены </w:t>
            </w:r>
            <w:r w:rsidRPr="00504B77">
              <w:rPr>
                <w:color w:val="000000"/>
                <w:lang w:val="ru-RU"/>
              </w:rPr>
              <w:t>РГС-ФЛР и представлены на</w:t>
            </w:r>
            <w:r w:rsidR="002C200F" w:rsidRPr="00504B77">
              <w:rPr>
                <w:color w:val="000000"/>
                <w:lang w:val="ru-RU"/>
              </w:rPr>
              <w:t xml:space="preserve"> </w:t>
            </w:r>
            <w:r w:rsidRPr="00504B77">
              <w:rPr>
                <w:color w:val="000000"/>
                <w:lang w:val="ru-RU"/>
              </w:rPr>
              <w:t xml:space="preserve">рассмотрение </w:t>
            </w:r>
            <w:r w:rsidRPr="00504B77">
              <w:rPr>
                <w:lang w:val="ru-RU" w:eastAsia="zh-CN"/>
              </w:rPr>
              <w:t>Совета 2017 г. (Док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5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C17/73</w:t>
              </w:r>
            </w:hyperlink>
            <w:r w:rsidRPr="00504B77">
              <w:rPr>
                <w:lang w:val="ru-RU" w:eastAsia="zh-CN"/>
              </w:rPr>
              <w:t xml:space="preserve"> и 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6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C17/74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Рек. 7</w:t>
            </w:r>
            <w:r w:rsidRPr="00504B77">
              <w:rPr>
                <w:lang w:val="ru-RU" w:eastAsia="zh-CN"/>
              </w:rPr>
              <w:t xml:space="preserve">. </w:t>
            </w:r>
            <w:r w:rsidRPr="00504B77">
              <w:rPr>
                <w:lang w:val="ru-RU"/>
              </w:rPr>
              <w:t>Генеральному секретарю следует разработать и представить Совету для одобрения на его сессии 2017 г. план действий с конкретными целевыми показателями, ориентировочными сроками и мерами мониторинга, направленный на</w:t>
            </w:r>
            <w:r w:rsidR="002C200F" w:rsidRPr="00504B77">
              <w:rPr>
                <w:lang w:val="ru-RU"/>
              </w:rPr>
              <w:t xml:space="preserve"> </w:t>
            </w:r>
            <w:r w:rsidRPr="00504B77">
              <w:rPr>
                <w:lang w:val="ru-RU"/>
              </w:rPr>
              <w:t>совершенствование географического представительства в категории специалистов и выше в каждом подразделении Союза, а</w:t>
            </w:r>
            <w:r w:rsidR="002C200F" w:rsidRPr="00504B77">
              <w:rPr>
                <w:lang w:val="ru-RU"/>
              </w:rPr>
              <w:t xml:space="preserve"> </w:t>
            </w:r>
            <w:r w:rsidRPr="00504B77">
              <w:rPr>
                <w:lang w:val="ru-RU"/>
              </w:rPr>
              <w:t>также ежегодно отчитываться перед Советом о его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szCs w:val="24"/>
                <w:lang w:val="ru-RU"/>
              </w:rPr>
              <w:t xml:space="preserve">Руководство МСЭ твердо намерено проводить работу в этой области </w:t>
            </w:r>
            <w:r w:rsidR="002C200F" w:rsidRPr="00504B77">
              <w:rPr>
                <w:szCs w:val="24"/>
                <w:lang w:val="ru-RU"/>
              </w:rPr>
              <w:t>путем принятия</w:t>
            </w:r>
            <w:r w:rsidRPr="00504B77">
              <w:rPr>
                <w:szCs w:val="24"/>
                <w:lang w:val="ru-RU"/>
              </w:rPr>
              <w:t xml:space="preserve"> конкретных и позитивных мер. Совету 2017 г. будет представлен план действий, направленный на</w:t>
            </w:r>
            <w:r w:rsidR="002C200F" w:rsidRPr="00504B77">
              <w:rPr>
                <w:szCs w:val="24"/>
                <w:lang w:val="ru-RU"/>
              </w:rPr>
              <w:t xml:space="preserve"> </w:t>
            </w:r>
            <w:r w:rsidRPr="00504B77">
              <w:rPr>
                <w:szCs w:val="24"/>
                <w:lang w:val="ru-RU"/>
              </w:rPr>
              <w:t>совершенствование географического представительства в категории специалистов и выше. Вместе с тем последствия возможного решения Совета МСЭ относительно решения Генеральной Ассамблеи ООН о повышении возраста обязательного выхода на пенсию до</w:t>
            </w:r>
            <w:r w:rsidR="002C200F" w:rsidRPr="00504B77">
              <w:rPr>
                <w:szCs w:val="24"/>
                <w:lang w:val="ru-RU"/>
              </w:rPr>
              <w:t xml:space="preserve"> </w:t>
            </w:r>
            <w:r w:rsidRPr="00504B77">
              <w:rPr>
                <w:szCs w:val="24"/>
                <w:lang w:val="ru-RU"/>
              </w:rPr>
              <w:t>65 лет с 1 января 2018 г. для всего персонала, состоящего в штате на эту дату, необходимо оценить, поскольку оно значительно сократит возможности маневра в</w:t>
            </w:r>
            <w:r w:rsidR="002C200F" w:rsidRPr="00504B77">
              <w:rPr>
                <w:szCs w:val="24"/>
                <w:lang w:val="ru-RU"/>
              </w:rPr>
              <w:t xml:space="preserve"> </w:t>
            </w:r>
            <w:r w:rsidRPr="00504B77">
              <w:rPr>
                <w:szCs w:val="24"/>
                <w:lang w:val="ru-RU"/>
              </w:rPr>
              <w:t>этой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Рассмотрено в Отчете о ходе выполнения Стратегического плана в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области людских ресурсов и</w:t>
            </w:r>
            <w:r w:rsidR="002C200F" w:rsidRPr="00504B77">
              <w:rPr>
                <w:lang w:val="ru-RU" w:eastAsia="zh-CN"/>
              </w:rPr>
              <w:t xml:space="preserve"> </w:t>
            </w:r>
            <w:r w:rsidRPr="00504B77">
              <w:rPr>
                <w:lang w:val="ru-RU" w:eastAsia="zh-CN"/>
              </w:rPr>
              <w:t>Резолюции</w:t>
            </w:r>
            <w:r w:rsidR="002C200F" w:rsidRPr="00504B77">
              <w:rPr>
                <w:lang w:val="ru-RU" w:eastAsia="zh-CN"/>
              </w:rPr>
              <w:t> </w:t>
            </w:r>
            <w:r w:rsidRPr="00504B77">
              <w:rPr>
                <w:lang w:val="ru-RU" w:eastAsia="zh-CN"/>
              </w:rPr>
              <w:t>48 (Пересм. Пусан, 2014 г.) (Док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7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C17/53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Рек. 8</w:t>
            </w:r>
            <w:r w:rsidRPr="00504B77">
              <w:rPr>
                <w:lang w:val="ru-RU" w:eastAsia="zh-CN"/>
              </w:rPr>
              <w:t>. Генеральному секретарю следует представить Совету для одобрения на его сессии 2017 г. план действий, который дополнял бы политику в области гендерного равенства и учета гендерных аспектов, с конкретными целевыми показателями, ориентировочными сроками и мерами мониторинга, направленный на 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szCs w:val="24"/>
                <w:lang w:val="ru-RU"/>
              </w:rPr>
              <w:t>Руководство МСЭ твердо намерено проводить работу в этой области посредством осуществления конкретных и позитивных мер. Совету 2017 г. будет представлен план действий, направленный на совершенствование гендерного баланса, в особенности на уровне руководства высшего звена. Вместе с тем последствия возможного решения Совета МСЭ относительно решения Генеральной Ассамблеи ООН о повышении возраста обязательного выхода на пенсию до 65 лет с 1 января 2018 г. для всего персонала, состоящего в штате на эту дату, необходимо оценить, поскольку оно значительно сокра</w:t>
            </w:r>
            <w:r w:rsidR="00873005" w:rsidRPr="00504B77">
              <w:rPr>
                <w:szCs w:val="24"/>
                <w:lang w:val="ru-RU"/>
              </w:rPr>
              <w:t>-</w:t>
            </w:r>
            <w:r w:rsidRPr="00504B77">
              <w:rPr>
                <w:szCs w:val="24"/>
                <w:lang w:val="ru-RU"/>
              </w:rPr>
              <w:t>тит возможности маневра в этой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Рассмотрено в Отчете о ходе выполнения Стратегического плана в области людских ресурсов и Резолюции 48 (Пересм. Пусан, 2014 г.) (Док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8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C17/53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Рек. 9</w:t>
            </w:r>
            <w:r w:rsidRPr="00504B77">
              <w:rPr>
                <w:lang w:val="ru-RU" w:eastAsia="zh-CN"/>
              </w:rPr>
              <w:t xml:space="preserve">. </w:t>
            </w:r>
            <w:r w:rsidRPr="00504B77">
              <w:rPr>
                <w:lang w:val="ru-RU"/>
              </w:rPr>
              <w:t>Генеральному секретарю следует разработать и представить Совету для одобрения на его сессии 2017 г. комплексную политику использования внештатного персонала, а также представлять Совету ежегодный сводный аналитический отчет о ее реализации в каждом подразделении Союза.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В пункте 24 Стратегического плана в области людских ресурсов на период 2010−2015 гг. говорится: "Необходимо дополнительно рассмотреть и пояснить некоторую конкретную систему контрактов, таких как контракты для пенсионеров (системы ООН и на национальном уровне), специалистов/консультантов на национальном уровне и должностных лиц категории специалистов на национальном уровне". В 2010 г. были заключены временные договоренности с учетом норм и практики, существующих в других организациях общей системы ООН. Сессии Совета 2017 г. будет представлена комплексная оценка ситуации в целях создания новых нормативно-правовых рамок. Следует также принимать во внимание предыдущие рекомендации, данные ОИГ в отчете JIU/REP/2014/8 по поводу использования внештатного персонала и связанных с этим контрактных условий в системе ООН.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Рассмотрено в Отчете о ходе выполнения Стратегического плана в области людских ресурсов и Резолюции 48 (Пересм. Пусан, 2014 г.) (Док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> </w:t>
            </w:r>
            <w:hyperlink r:id="rId29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C17/53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spacing w:after="0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Рек. 10</w:t>
            </w:r>
            <w:r w:rsidRPr="00504B77">
              <w:rPr>
                <w:lang w:val="ru-RU" w:eastAsia="zh-CN"/>
              </w:rPr>
              <w:t xml:space="preserve">. </w:t>
            </w:r>
            <w:r w:rsidRPr="00504B77">
              <w:rPr>
                <w:lang w:val="ru-RU"/>
              </w:rPr>
              <w:t>Генеральному секретарю следует обеспечить, чтобы все связанные с людскими ресурсами процессы, такие как наем, назначение и продвижение по службе, охватывались официальными процедурами, были включены в нормативно-правовую базу и сведены в комплексный справочник по людским ресурсам.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spacing w:after="0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spacing w:after="0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Секретариат разработал брошюры с руководящими указаниями по найму, и работа над ними вскоре будет завершена. Наряду с этим в течение года будет начата реализация проекта по разработке административного справочника по людским ресурсам, в который войдут все нормативно-правовые тексты, виды практики и формы.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0970D8" w:rsidP="00873005">
            <w:pPr>
              <w:pStyle w:val="Tabletext"/>
              <w:spacing w:after="0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2018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576EE7">
            <w:pPr>
              <w:pStyle w:val="Tabletext"/>
              <w:spacing w:after="0"/>
              <w:rPr>
                <w:lang w:val="ru-RU" w:eastAsia="zh-CN"/>
              </w:rPr>
            </w:pPr>
            <w:r w:rsidRPr="00504B77">
              <w:rPr>
                <w:color w:val="000000"/>
                <w:lang w:val="ru-RU"/>
              </w:rPr>
              <w:t xml:space="preserve">Для введения нового пакета вознаграждения для сотрудников категории специалистов и выше потребовалось пересмотреть соответствующую нормативно-правовую базу и внести в нее исправления </w:t>
            </w:r>
            <w:r w:rsidRPr="00504B77">
              <w:rPr>
                <w:lang w:val="ru-RU" w:eastAsia="zh-CN"/>
              </w:rPr>
              <w:t>(см. раздел 4 Док</w:t>
            </w:r>
            <w:r w:rsidR="00576EE7">
              <w:rPr>
                <w:lang w:val="ru-RU" w:eastAsia="zh-CN"/>
              </w:rPr>
              <w:t>умента</w:t>
            </w:r>
            <w:r w:rsidRPr="00504B77">
              <w:rPr>
                <w:lang w:val="ru-RU" w:eastAsia="zh-CN"/>
              </w:rPr>
              <w:t> </w:t>
            </w:r>
            <w:hyperlink r:id="rId30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C17/53</w:t>
              </w:r>
            </w:hyperlink>
            <w:r w:rsidRPr="00504B77">
              <w:rPr>
                <w:lang w:val="ru-RU" w:eastAsia="zh-CN"/>
              </w:rPr>
              <w:t xml:space="preserve">). </w:t>
            </w:r>
            <w:r w:rsidRPr="00504B77">
              <w:rPr>
                <w:color w:val="000000"/>
                <w:lang w:val="ru-RU"/>
              </w:rPr>
              <w:t>Положени</w:t>
            </w:r>
            <w:r w:rsidR="000970D8" w:rsidRPr="00504B77">
              <w:rPr>
                <w:color w:val="000000"/>
                <w:lang w:val="ru-RU"/>
              </w:rPr>
              <w:t>я</w:t>
            </w:r>
            <w:r w:rsidRPr="00504B77">
              <w:rPr>
                <w:color w:val="000000"/>
                <w:lang w:val="ru-RU"/>
              </w:rPr>
              <w:t xml:space="preserve"> о персонале и Правил</w:t>
            </w:r>
            <w:r w:rsidR="000970D8" w:rsidRPr="00504B77">
              <w:rPr>
                <w:color w:val="000000"/>
                <w:lang w:val="ru-RU"/>
              </w:rPr>
              <w:t>а</w:t>
            </w:r>
            <w:r w:rsidRPr="00504B77">
              <w:rPr>
                <w:color w:val="000000"/>
                <w:lang w:val="ru-RU"/>
              </w:rPr>
              <w:t xml:space="preserve"> о персонале</w:t>
            </w:r>
            <w:r w:rsidRPr="00504B77">
              <w:rPr>
                <w:lang w:val="ru-RU" w:eastAsia="zh-CN"/>
              </w:rPr>
              <w:t xml:space="preserve"> МСЭ, </w:t>
            </w:r>
            <w:r w:rsidRPr="00504B77">
              <w:rPr>
                <w:color w:val="000000"/>
                <w:lang w:val="ru-RU"/>
              </w:rPr>
              <w:t>применимы</w:t>
            </w:r>
            <w:r w:rsidR="000970D8" w:rsidRPr="00504B77">
              <w:rPr>
                <w:color w:val="000000"/>
                <w:lang w:val="ru-RU"/>
              </w:rPr>
              <w:t>е</w:t>
            </w:r>
            <w:r w:rsidRPr="00504B77">
              <w:rPr>
                <w:color w:val="000000"/>
                <w:lang w:val="ru-RU"/>
              </w:rPr>
              <w:t xml:space="preserve"> к избираемым </w:t>
            </w:r>
            <w:r w:rsidRPr="00504B77">
              <w:rPr>
                <w:color w:val="000000"/>
                <w:lang w:val="ru-RU"/>
              </w:rPr>
              <w:lastRenderedPageBreak/>
              <w:t>должностным лицам</w:t>
            </w:r>
            <w:r w:rsidRPr="00504B77">
              <w:rPr>
                <w:lang w:val="ru-RU" w:eastAsia="zh-CN"/>
              </w:rPr>
              <w:t xml:space="preserve">, а также существующие служебные приказы, </w:t>
            </w:r>
            <w:r w:rsidRPr="00504B77">
              <w:rPr>
                <w:color w:val="000000"/>
                <w:lang w:val="ru-RU"/>
              </w:rPr>
              <w:t xml:space="preserve">служебные меморандумы, информационные циркуляры, инструкции и все другие документы по вопросам администрации и управления кадрами </w:t>
            </w:r>
            <w:r w:rsidR="000970D8" w:rsidRPr="00504B77">
              <w:rPr>
                <w:color w:val="000000"/>
                <w:lang w:val="ru-RU"/>
              </w:rPr>
              <w:t>были сведены</w:t>
            </w:r>
            <w:r w:rsidRPr="00504B77">
              <w:rPr>
                <w:color w:val="000000"/>
                <w:lang w:val="ru-RU"/>
              </w:rPr>
              <w:t xml:space="preserve"> воедино, а также, по мере необходимости, дополн</w:t>
            </w:r>
            <w:r w:rsidR="000970D8" w:rsidRPr="00504B77">
              <w:rPr>
                <w:color w:val="000000"/>
                <w:lang w:val="ru-RU"/>
              </w:rPr>
              <w:t>ены</w:t>
            </w:r>
            <w:r w:rsidRPr="00504B77">
              <w:rPr>
                <w:color w:val="000000"/>
                <w:lang w:val="ru-RU"/>
              </w:rPr>
              <w:t xml:space="preserve"> другими практическими руководящими указаниями. </w:t>
            </w:r>
            <w:r w:rsidR="000970D8" w:rsidRPr="00504B77">
              <w:rPr>
                <w:color w:val="000000"/>
                <w:lang w:val="ru-RU"/>
              </w:rPr>
              <w:t>Это используется в качестве</w:t>
            </w:r>
            <w:r w:rsidRPr="00504B77">
              <w:rPr>
                <w:color w:val="000000"/>
                <w:lang w:val="ru-RU"/>
              </w:rPr>
              <w:t xml:space="preserve"> основ</w:t>
            </w:r>
            <w:r w:rsidR="000970D8" w:rsidRPr="00504B77">
              <w:rPr>
                <w:color w:val="000000"/>
                <w:lang w:val="ru-RU"/>
              </w:rPr>
              <w:t>ы для разработки</w:t>
            </w:r>
            <w:r w:rsidRPr="00504B77">
              <w:rPr>
                <w:color w:val="000000"/>
                <w:lang w:val="ru-RU"/>
              </w:rPr>
              <w:t xml:space="preserve"> </w:t>
            </w:r>
            <w:r w:rsidRPr="00504B77">
              <w:rPr>
                <w:lang w:val="ru-RU"/>
              </w:rPr>
              <w:t xml:space="preserve">справочника по людским ресурсам, о котором шла речь в рекомендации ОИГ.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spacing w:after="0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Выполнена</w:t>
            </w:r>
          </w:p>
        </w:tc>
      </w:tr>
      <w:tr w:rsidR="006C1EAC" w:rsidRPr="00504B77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spacing w:before="0" w:after="0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Рек. 11</w:t>
            </w:r>
            <w:r w:rsidRPr="00504B77">
              <w:rPr>
                <w:lang w:val="ru-RU" w:eastAsia="zh-CN"/>
              </w:rPr>
              <w:t>. Генеральному секретарю следует представить Совету для одобрения на его сессии 2017 г. обновленную версию стратегии в отношении информационных технологий и управления информацией, а также ежегодно отчитываться перед Советом о ее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spacing w:before="0" w:after="0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ISD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spacing w:before="0" w:after="0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Стратегия в отношении информационных технологий и управления информацией представляет собой внутренний инструмент, предназначенный в основном для исполнительного управления, тем не менее Генеральный секретарь представит Совету обновленную стратегию, включающую аспект управления информацией, для соответствующего рассмотрения.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spacing w:before="0" w:after="0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2017 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576EE7">
            <w:pPr>
              <w:pStyle w:val="Tabletext"/>
              <w:spacing w:before="0" w:after="0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Стратегия в отношении информационных технологий и управления информацией </w:t>
            </w:r>
            <w:r w:rsidRPr="00504B77">
              <w:rPr>
                <w:color w:val="000000"/>
                <w:lang w:val="ru-RU"/>
              </w:rPr>
              <w:t xml:space="preserve">представлена на рассмотрение </w:t>
            </w:r>
            <w:r w:rsidRPr="00504B77">
              <w:rPr>
                <w:lang w:val="ru-RU" w:eastAsia="zh-CN"/>
              </w:rPr>
              <w:t>Совета 2017 г. (Док</w:t>
            </w:r>
            <w:r w:rsidR="00576EE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 xml:space="preserve"> </w:t>
            </w:r>
            <w:hyperlink r:id="rId31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C17/20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spacing w:before="0" w:after="0"/>
              <w:rPr>
                <w:b/>
                <w:bCs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</w:tr>
      <w:tr w:rsidR="006C1EAC" w:rsidRPr="008E7DE0" w:rsidTr="0087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Рек. 12</w:t>
            </w:r>
            <w:r w:rsidRPr="00504B77">
              <w:rPr>
                <w:lang w:val="ru-RU" w:eastAsia="zh-CN"/>
              </w:rPr>
              <w:t xml:space="preserve">. </w:t>
            </w:r>
            <w:r w:rsidRPr="00504B77">
              <w:rPr>
                <w:lang w:val="ru-RU"/>
              </w:rPr>
              <w:t>Полномочной конференции 2018 г. следует обеспечить включение роли регионального присутствия в реализации концепции "Единого МСЭ" в Стратегический план Союза, а Совету следует обеспечить, чтобы эта роль была соответствующим образом отражена в оперативном плане каждого Сектора.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szCs w:val="24"/>
                <w:lang w:val="ru-RU"/>
              </w:rPr>
              <w:t>Эта рекомендация адресована Государствам – Членам МСЭ.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ПК-18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Рекомендация будет рассмотрена Советом и </w:t>
            </w:r>
            <w:r w:rsidRPr="00504B77">
              <w:rPr>
                <w:color w:val="000000"/>
                <w:lang w:val="ru-RU"/>
              </w:rPr>
              <w:t>Полномочной конференцией 2018 г.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D37E84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Передан</w:t>
            </w:r>
            <w:r w:rsidR="00A66402" w:rsidRPr="00504B77">
              <w:rPr>
                <w:lang w:val="ru-RU" w:eastAsia="zh-CN"/>
              </w:rPr>
              <w:t>а</w:t>
            </w:r>
            <w:r w:rsidRPr="00504B77">
              <w:rPr>
                <w:lang w:val="ru-RU" w:eastAsia="zh-CN"/>
              </w:rPr>
              <w:t xml:space="preserve"> на рассмотре</w:t>
            </w:r>
            <w:r w:rsidR="00B75C4B" w:rsidRPr="00504B77">
              <w:rPr>
                <w:lang w:val="ru-RU" w:eastAsia="zh-CN"/>
              </w:rPr>
              <w:t>-</w:t>
            </w:r>
            <w:r w:rsidRPr="00504B77">
              <w:rPr>
                <w:lang w:val="ru-RU" w:eastAsia="zh-CN"/>
              </w:rPr>
              <w:t>ние ПК-18</w:t>
            </w:r>
            <w:r w:rsidR="006C1EAC" w:rsidRPr="00504B77">
              <w:rPr>
                <w:lang w:val="ru-RU" w:eastAsia="zh-CN"/>
              </w:rPr>
              <w:t xml:space="preserve"> </w:t>
            </w:r>
          </w:p>
        </w:tc>
      </w:tr>
    </w:tbl>
    <w:p w:rsidR="006C1EAC" w:rsidRPr="00504B77" w:rsidRDefault="006C1EAC" w:rsidP="00873005">
      <w:pPr>
        <w:spacing w:before="0"/>
        <w:rPr>
          <w:sz w:val="16"/>
          <w:szCs w:val="16"/>
          <w:lang w:val="ru-RU"/>
        </w:rPr>
      </w:pPr>
      <w:r w:rsidRPr="00504B77">
        <w:rPr>
          <w:sz w:val="16"/>
          <w:szCs w:val="16"/>
          <w:lang w:val="ru-RU"/>
        </w:rPr>
        <w:br w:type="page"/>
      </w:r>
    </w:p>
    <w:p w:rsidR="006C1EAC" w:rsidRPr="00504B77" w:rsidRDefault="006C1EAC" w:rsidP="00873005">
      <w:pPr>
        <w:pStyle w:val="AnnexNo"/>
        <w:rPr>
          <w:lang w:val="ru-RU"/>
        </w:rPr>
      </w:pPr>
      <w:r w:rsidRPr="00504B77">
        <w:rPr>
          <w:lang w:val="ru-RU"/>
        </w:rPr>
        <w:lastRenderedPageBreak/>
        <w:t>ПРИЛОЖЕНИЕ II</w:t>
      </w:r>
    </w:p>
    <w:p w:rsidR="006C1EAC" w:rsidRPr="00504B77" w:rsidRDefault="006C1EAC" w:rsidP="00873005">
      <w:pPr>
        <w:pStyle w:val="Annextitle"/>
        <w:rPr>
          <w:lang w:val="ru-RU"/>
        </w:rPr>
      </w:pPr>
      <w:r w:rsidRPr="00504B77">
        <w:rPr>
          <w:lang w:val="ru-RU"/>
        </w:rPr>
        <w:t>Статус и план выполнения неофициальных рекомендаций ОИГ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21"/>
        <w:gridCol w:w="4861"/>
        <w:gridCol w:w="1559"/>
        <w:gridCol w:w="4253"/>
        <w:gridCol w:w="1701"/>
        <w:gridCol w:w="1672"/>
      </w:tblGrid>
      <w:tr w:rsidR="006F1EBF" w:rsidRPr="00504B77" w:rsidTr="00504B77">
        <w:trPr>
          <w:tblHeader/>
        </w:trPr>
        <w:tc>
          <w:tcPr>
            <w:tcW w:w="521" w:type="dxa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6F1EBF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§</w:t>
            </w:r>
          </w:p>
        </w:tc>
        <w:tc>
          <w:tcPr>
            <w:tcW w:w="4861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6F1EBF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Рекомендация</w:t>
            </w:r>
          </w:p>
        </w:tc>
        <w:tc>
          <w:tcPr>
            <w:tcW w:w="1559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6F1EBF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Ответствен-</w:t>
            </w: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br/>
              <w:t>ный</w:t>
            </w:r>
          </w:p>
        </w:tc>
        <w:tc>
          <w:tcPr>
            <w:tcW w:w="4253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6F1EBF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Положение на данный момент</w:t>
            </w:r>
          </w:p>
        </w:tc>
        <w:tc>
          <w:tcPr>
            <w:tcW w:w="1701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6F1EBF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Статус</w:t>
            </w:r>
          </w:p>
        </w:tc>
        <w:tc>
          <w:tcPr>
            <w:tcW w:w="1672" w:type="dxa"/>
            <w:tcBorders>
              <w:top w:val="single" w:sz="4" w:space="0" w:color="5B9BD5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:rsidR="006C1EAC" w:rsidRPr="00504B77" w:rsidRDefault="006C1EAC" w:rsidP="006F1EBF">
            <w:pPr>
              <w:pStyle w:val="Tablehead"/>
              <w:ind w:left="-57" w:right="-57"/>
              <w:rPr>
                <w:rFonts w:cs="Times New Roman Bold"/>
                <w:color w:val="FFFFFF" w:themeColor="background1"/>
                <w:lang w:val="ru-RU" w:eastAsia="zh-CN"/>
              </w:rPr>
            </w:pP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t>Предполагаемая</w:t>
            </w: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br/>
              <w:t>дата</w:t>
            </w:r>
            <w:r w:rsidRPr="00504B77">
              <w:rPr>
                <w:rFonts w:cs="Times New Roman Bold"/>
                <w:color w:val="FFFFFF" w:themeColor="background1"/>
                <w:lang w:val="ru-RU" w:eastAsia="zh-CN"/>
              </w:rPr>
              <w:br/>
              <w:t>осуществления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23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Инспекторы призывают продолжить работу по обеспечению равной применимости основополагающих документов в отношении всех членов.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0970D8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Рекомендация</w:t>
            </w:r>
            <w:r w:rsidR="006C1EAC" w:rsidRPr="00504B77">
              <w:rPr>
                <w:lang w:val="ru-RU" w:eastAsia="zh-CN"/>
              </w:rPr>
              <w:t xml:space="preserve"> переда</w:t>
            </w:r>
            <w:r w:rsidRPr="00504B77">
              <w:rPr>
                <w:lang w:val="ru-RU" w:eastAsia="zh-CN"/>
              </w:rPr>
              <w:t>на</w:t>
            </w:r>
            <w:r w:rsidR="006C1EAC" w:rsidRPr="00504B77">
              <w:rPr>
                <w:lang w:val="ru-RU" w:eastAsia="zh-CN"/>
              </w:rPr>
              <w:t xml:space="preserve"> на рассмотрение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Рассматривается</w:t>
            </w:r>
            <w:r w:rsidR="009917BC" w:rsidRPr="00504B77">
              <w:rPr>
                <w:b/>
                <w:bCs/>
                <w:lang w:val="ru-RU" w:eastAsia="zh-CN"/>
              </w:rPr>
              <w:t xml:space="preserve"> Государствами-Членами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9917B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Передана на рассмотрение ПК-18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24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подчеркивают, что координация имеет решающее значение для Союза. Она требует последовательного совершенствования и мониторинга силами Государств-Членов и руководства, а также эффективных механизмов осуществления и последующей деятельности.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Совет/КК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Отчет по Рез. 191 (Стратегия координации усилий трех Секторов Союза) представляется Совету</w:t>
            </w:r>
            <w:r w:rsidR="006F1EBF" w:rsidRPr="00504B77">
              <w:rPr>
                <w:lang w:val="ru-RU" w:eastAsia="zh-CN"/>
              </w:rPr>
              <w:t xml:space="preserve"> ежегодно. Служебным приказом № </w:t>
            </w:r>
            <w:r w:rsidRPr="00504B77">
              <w:rPr>
                <w:lang w:val="ru-RU" w:eastAsia="zh-CN"/>
              </w:rPr>
              <w:t xml:space="preserve">16/13 была создана </w:t>
            </w:r>
            <w:r w:rsidRPr="00504B77">
              <w:rPr>
                <w:color w:val="000000"/>
                <w:lang w:val="ru-RU"/>
              </w:rPr>
              <w:t>Межсекторальная целевая координационная группа (ЦГ</w:t>
            </w:r>
            <w:r w:rsidRPr="00504B77">
              <w:rPr>
                <w:color w:val="000000"/>
                <w:lang w:val="ru-RU"/>
              </w:rPr>
              <w:noBreakHyphen/>
              <w:t>МСК), способствующая координации и сотрудничеству между тремя Бюро и Генеральным секретариатом</w:t>
            </w:r>
            <w:r w:rsidRPr="00504B77">
              <w:rPr>
                <w:lang w:val="ru-RU"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</w:t>
            </w:r>
            <w:r w:rsidR="001D52A5" w:rsidRPr="00504B77">
              <w:rPr>
                <w:lang w:val="ru-RU" w:eastAsia="zh-CN"/>
              </w:rPr>
              <w:t>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28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предлагают различным руководящим органам Союза приступить к тщательному изучению и оценке количества и продолжительности мероприятий МСЭ, их процедур и документации, с тем чтобы выявить </w:t>
            </w:r>
            <w:r w:rsidRPr="00504B77">
              <w:rPr>
                <w:color w:val="000000"/>
                <w:lang w:val="ru-RU"/>
              </w:rPr>
              <w:t>сферы, которые можно оптимизировать, а также выработать рекомендации по внедрению экономически эффективных мер, потенциально способных обеспечить существенную экономию</w:t>
            </w:r>
            <w:r w:rsidRPr="00504B77">
              <w:rPr>
                <w:lang w:val="ru-RU"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9917B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Передана </w:t>
            </w:r>
            <w:r w:rsidR="00A57C08" w:rsidRPr="00504B77">
              <w:rPr>
                <w:lang w:val="ru-RU" w:eastAsia="zh-CN"/>
              </w:rPr>
              <w:t xml:space="preserve">Совету </w:t>
            </w:r>
            <w:r w:rsidR="006C1EAC" w:rsidRPr="00504B77">
              <w:rPr>
                <w:lang w:val="ru-RU" w:eastAsia="zh-CN"/>
              </w:rPr>
              <w:t xml:space="preserve">на рассмотрение </w:t>
            </w:r>
            <w:r w:rsidRPr="00504B77">
              <w:rPr>
                <w:lang w:val="ru-RU" w:eastAsia="zh-CN"/>
              </w:rPr>
              <w:t>и обсуждена на сессии Совета 2017 года</w:t>
            </w:r>
            <w:r w:rsidR="006C1EAC" w:rsidRPr="00504B77">
              <w:rPr>
                <w:lang w:val="ru-RU" w:eastAsia="zh-CN"/>
              </w:rPr>
              <w:t>.</w:t>
            </w:r>
          </w:p>
          <w:p w:rsidR="006C1EAC" w:rsidRPr="003C1ED5" w:rsidRDefault="006C1EAC" w:rsidP="00873005">
            <w:pPr>
              <w:pStyle w:val="Tabletext"/>
              <w:rPr>
                <w:iCs/>
                <w:lang w:val="ru-RU" w:eastAsia="zh-CN"/>
              </w:rPr>
            </w:pPr>
            <w:r w:rsidRPr="003C1ED5">
              <w:rPr>
                <w:iCs/>
                <w:lang w:val="ru-RU" w:eastAsia="zh-CN"/>
              </w:rPr>
              <w:t>Секретариат изуча</w:t>
            </w:r>
            <w:r w:rsidR="009917BC" w:rsidRPr="003C1ED5">
              <w:rPr>
                <w:iCs/>
                <w:lang w:val="ru-RU" w:eastAsia="zh-CN"/>
              </w:rPr>
              <w:t>ет</w:t>
            </w:r>
            <w:r w:rsidRPr="003C1ED5">
              <w:rPr>
                <w:iCs/>
                <w:lang w:val="ru-RU" w:eastAsia="zh-CN"/>
              </w:rPr>
              <w:t xml:space="preserve"> и оценива</w:t>
            </w:r>
            <w:r w:rsidR="009917BC" w:rsidRPr="003C1ED5">
              <w:rPr>
                <w:iCs/>
                <w:lang w:val="ru-RU" w:eastAsia="zh-CN"/>
              </w:rPr>
              <w:t>ет</w:t>
            </w:r>
            <w:r w:rsidRPr="003C1ED5">
              <w:rPr>
                <w:iCs/>
                <w:lang w:val="ru-RU" w:eastAsia="zh-CN"/>
              </w:rPr>
              <w:t xml:space="preserve"> продолжительность каждого </w:t>
            </w:r>
            <w:r w:rsidR="009917BC" w:rsidRPr="003C1ED5">
              <w:rPr>
                <w:iCs/>
                <w:lang w:val="ru-RU" w:eastAsia="zh-CN"/>
              </w:rPr>
              <w:t>мероприятия</w:t>
            </w:r>
            <w:r w:rsidRPr="003C1ED5">
              <w:rPr>
                <w:iCs/>
                <w:lang w:val="ru-RU" w:eastAsia="zh-CN"/>
              </w:rPr>
              <w:t xml:space="preserve"> и рассматрива</w:t>
            </w:r>
            <w:r w:rsidR="009917BC" w:rsidRPr="003C1ED5">
              <w:rPr>
                <w:iCs/>
                <w:lang w:val="ru-RU" w:eastAsia="zh-CN"/>
              </w:rPr>
              <w:t>ет</w:t>
            </w:r>
            <w:r w:rsidRPr="003C1ED5">
              <w:rPr>
                <w:iCs/>
                <w:lang w:val="ru-RU" w:eastAsia="zh-CN"/>
              </w:rPr>
              <w:t xml:space="preserve"> возможность принятия </w:t>
            </w:r>
            <w:r w:rsidRPr="003C1ED5">
              <w:rPr>
                <w:iCs/>
                <w:color w:val="000000"/>
                <w:lang w:val="ru-RU"/>
              </w:rPr>
              <w:t xml:space="preserve">экономически эффективных мер.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 стадии</w:t>
            </w:r>
            <w:r w:rsidRPr="00504B77">
              <w:rPr>
                <w:b/>
                <w:lang w:val="ru-RU" w:eastAsia="zh-CN"/>
              </w:rPr>
              <w:br/>
              <w:t>выполнения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921459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Передана</w:t>
            </w:r>
            <w:r w:rsidR="006C1EAC" w:rsidRPr="00504B77">
              <w:rPr>
                <w:lang w:val="ru-RU" w:eastAsia="zh-CN"/>
              </w:rPr>
              <w:t xml:space="preserve"> на</w:t>
            </w:r>
            <w:r w:rsidRPr="00504B77">
              <w:rPr>
                <w:lang w:val="ru-RU" w:eastAsia="zh-CN"/>
              </w:rPr>
              <w:t xml:space="preserve"> </w:t>
            </w:r>
            <w:r w:rsidR="006C1EAC" w:rsidRPr="00504B77">
              <w:rPr>
                <w:lang w:val="ru-RU" w:eastAsia="zh-CN"/>
              </w:rPr>
              <w:t xml:space="preserve">рассмотрение </w:t>
            </w:r>
            <w:r w:rsidRPr="00504B77">
              <w:rPr>
                <w:lang w:val="ru-RU" w:eastAsia="zh-CN"/>
              </w:rPr>
              <w:t>ПК-18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30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Инспекторы рекомендуют Государствам-Членам признать важность оценки того, в какой мере нынешняя структура Союза обеспечивает его способность в долгосрочной перспективе комплексно и экономически эффективно решать поставленные перед ним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574F84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Рекомендация</w:t>
            </w:r>
            <w:r w:rsidR="006C1EAC" w:rsidRPr="00504B77">
              <w:rPr>
                <w:lang w:val="ru-RU" w:eastAsia="zh-CN"/>
              </w:rPr>
              <w:t xml:space="preserve"> переда</w:t>
            </w:r>
            <w:r w:rsidRPr="00504B77">
              <w:rPr>
                <w:lang w:val="ru-RU" w:eastAsia="zh-CN"/>
              </w:rPr>
              <w:t>на</w:t>
            </w:r>
            <w:r w:rsidR="006C1EAC" w:rsidRPr="00504B77">
              <w:rPr>
                <w:lang w:val="ru-RU" w:eastAsia="zh-CN"/>
              </w:rPr>
              <w:t xml:space="preserve"> на рассмотрение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Рассматривается</w:t>
            </w:r>
            <w:r w:rsidR="00574F84" w:rsidRPr="00504B77">
              <w:rPr>
                <w:b/>
                <w:bCs/>
                <w:lang w:val="ru-RU" w:eastAsia="zh-CN"/>
              </w:rPr>
              <w:t xml:space="preserve"> Государствами-Членами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574F84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Передана на рассмотрение ПК-18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34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Принцип справедливого географического и сбалансированного в гендерном отношении представительства является краеугольным для организаций системы Организации Объединенных Наций. Инспекторы рекомендуют уделять повышенное внимание этим вопросам при проведении выборов на </w:t>
            </w:r>
            <w:r w:rsidRPr="00504B77">
              <w:rPr>
                <w:color w:val="000000"/>
                <w:lang w:val="ru-RU"/>
              </w:rPr>
              <w:t xml:space="preserve">Полномочной конференции, как предусмотрено статьей 9 Устава.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Меры будут приняты в ходе подготов</w:t>
            </w:r>
            <w:r w:rsidR="006F1EBF" w:rsidRPr="00504B77">
              <w:rPr>
                <w:lang w:val="ru-RU" w:eastAsia="zh-CN"/>
              </w:rPr>
              <w:t>ки ПК</w:t>
            </w:r>
            <w:r w:rsidR="006F1EBF" w:rsidRPr="00504B77">
              <w:rPr>
                <w:lang w:val="ru-RU" w:eastAsia="zh-CN"/>
              </w:rPr>
              <w:noBreakHyphen/>
            </w:r>
            <w:r w:rsidRPr="00504B77">
              <w:rPr>
                <w:lang w:val="ru-RU" w:eastAsia="zh-CN"/>
              </w:rPr>
              <w:t>18.</w:t>
            </w:r>
          </w:p>
          <w:p w:rsidR="006C1EAC" w:rsidRPr="00504B77" w:rsidRDefault="006C1EAC" w:rsidP="00873005">
            <w:pPr>
              <w:pStyle w:val="Tabletext"/>
              <w:rPr>
                <w:iCs/>
                <w:lang w:val="ru-RU" w:eastAsia="zh-CN"/>
              </w:rPr>
            </w:pPr>
            <w:r w:rsidRPr="00504B77">
              <w:rPr>
                <w:iCs/>
                <w:lang w:val="ru-RU" w:eastAsia="zh-CN"/>
              </w:rPr>
              <w:t>Секретариат намерен уделять повышенное внимание вопросам справедливого географического и</w:t>
            </w:r>
            <w:r w:rsidR="000632C2" w:rsidRPr="00504B77">
              <w:rPr>
                <w:iCs/>
                <w:lang w:val="ru-RU" w:eastAsia="zh-CN"/>
              </w:rPr>
              <w:t xml:space="preserve"> </w:t>
            </w:r>
            <w:r w:rsidRPr="00504B77">
              <w:rPr>
                <w:iCs/>
                <w:lang w:val="ru-RU" w:eastAsia="zh-CN"/>
              </w:rPr>
              <w:t>сбалансированного в гендерном отношении представительства в ходе подготовки ПК-18.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 стадии</w:t>
            </w:r>
            <w:r w:rsidRPr="00504B77">
              <w:rPr>
                <w:b/>
                <w:lang w:val="ru-RU" w:eastAsia="zh-CN"/>
              </w:rPr>
              <w:br/>
              <w:t>выполнения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574F84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Передана на рассмотрение ПК-18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39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По мнению инспекторов, Координационный комитет должен быть форумом высокого уровня, задача которого – четко определять видение и стратегические позиции Союза в целом, а также разрабатывать и проводить в жизнь эффективную культуру внутреннего 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КК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504B7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SPM было предложено </w:t>
            </w:r>
            <w:r w:rsidR="00574F84" w:rsidRPr="00504B77">
              <w:rPr>
                <w:lang w:val="ru-RU" w:eastAsia="zh-CN"/>
              </w:rPr>
              <w:t xml:space="preserve">представлять после консультаций с Бюро </w:t>
            </w:r>
            <w:r w:rsidRPr="00504B77">
              <w:rPr>
                <w:lang w:val="ru-RU" w:eastAsia="zh-CN"/>
              </w:rPr>
              <w:t>вопросы стратегического характера на</w:t>
            </w:r>
            <w:r w:rsidR="00574F84" w:rsidRPr="00504B77">
              <w:rPr>
                <w:lang w:val="ru-RU" w:eastAsia="zh-CN"/>
              </w:rPr>
              <w:t xml:space="preserve"> рассмотрение </w:t>
            </w:r>
            <w:r w:rsidR="00574F84" w:rsidRPr="00504B77">
              <w:rPr>
                <w:color w:val="000000"/>
                <w:lang w:val="ru-RU"/>
              </w:rPr>
              <w:t>Координационного комитета (КК)</w:t>
            </w:r>
            <w:r w:rsidRPr="00504B77">
              <w:rPr>
                <w:lang w:val="ru-RU" w:eastAsia="zh-CN"/>
              </w:rPr>
              <w:t>.</w:t>
            </w:r>
            <w:r w:rsidR="00574F84" w:rsidRPr="00504B77">
              <w:rPr>
                <w:lang w:val="ru-RU" w:eastAsia="zh-CN"/>
              </w:rPr>
              <w:t xml:space="preserve"> Стратегические вопросы регулярно обсуждаются в КК </w:t>
            </w:r>
            <w:r w:rsidR="00574F84" w:rsidRPr="00504B77">
              <w:rPr>
                <w:rFonts w:asciiTheme="minorHAnsi" w:hAnsiTheme="minorHAnsi"/>
                <w:color w:val="000000"/>
                <w:lang w:val="ru-RU" w:eastAsia="zh-CN"/>
              </w:rPr>
              <w:t>(краткие отчеты о заседания</w:t>
            </w:r>
            <w:r w:rsidR="00504B77" w:rsidRPr="00504B77">
              <w:rPr>
                <w:rFonts w:asciiTheme="minorHAnsi" w:hAnsiTheme="minorHAnsi"/>
                <w:color w:val="000000"/>
                <w:lang w:val="ru-RU" w:eastAsia="zh-CN"/>
              </w:rPr>
              <w:t>х Координационного комитета см. </w:t>
            </w:r>
            <w:r w:rsidR="00574F84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по адресу: </w:t>
            </w:r>
            <w:hyperlink r:id="rId32" w:history="1">
              <w:r w:rsidR="00574F84"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http://www.itu.int/en/council/Pages/coco.aspx</w:t>
              </w:r>
            </w:hyperlink>
            <w:r w:rsidR="00574F84" w:rsidRPr="00504B77">
              <w:rPr>
                <w:rFonts w:asciiTheme="minorHAnsi" w:hAnsiTheme="minorHAnsi"/>
                <w:color w:val="000000"/>
                <w:lang w:val="ru-RU" w:eastAsia="zh-CN"/>
              </w:rPr>
              <w:t>)</w:t>
            </w:r>
            <w:r w:rsidR="008E7DE0" w:rsidRPr="00504B77">
              <w:rPr>
                <w:iCs/>
                <w:lang w:val="ru-RU"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color w:val="000000" w:themeColor="text1"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8B2532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60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По мнению инспекторов, необходимо детально определить функции </w:t>
            </w:r>
            <w:r w:rsidRPr="00504B77">
              <w:rPr>
                <w:color w:val="000000"/>
                <w:lang w:val="ru-RU"/>
              </w:rPr>
              <w:t>ЦГ-МСК, с тем чтобы разграничить их и функции других существующих органов, отвечающих за координацию. Это позволит усилить влияние Группы и даст ей возможность вести свою деятельность и в других сферах в контексте стратегии корпоративной координации и сотрудничества, которую предстоит разработать.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КК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Круг ведения </w:t>
            </w:r>
            <w:r w:rsidRPr="00504B77">
              <w:rPr>
                <w:color w:val="000000"/>
                <w:lang w:val="ru-RU"/>
              </w:rPr>
              <w:t xml:space="preserve">ЦГ-МСК был разработан, изучен и утвержден Координационным комитетом (КК) и введен в действие Служебным приказом </w:t>
            </w:r>
            <w:r w:rsidRPr="00504B77">
              <w:rPr>
                <w:lang w:val="ru-RU" w:eastAsia="zh-CN"/>
              </w:rPr>
              <w:t>№ 16/13.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color w:val="000000" w:themeColor="text1"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6F1EBF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68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По мнению инспекторов, каждому </w:t>
            </w:r>
            <w:r w:rsidRPr="00504B77">
              <w:rPr>
                <w:color w:val="000000"/>
                <w:lang w:val="ru-RU"/>
              </w:rPr>
              <w:t xml:space="preserve">подразделению Союза следует пересмотреть </w:t>
            </w:r>
            <w:r w:rsidRPr="00504B77">
              <w:rPr>
                <w:lang w:val="ru-RU" w:eastAsia="zh-CN"/>
              </w:rPr>
              <w:t xml:space="preserve">свои механизмы внутренней связи, добиваясь, чтобы соответствующие решения и сведения не только доводились до сведения заинтересованных сторон, но и последовательно передавались на уровень руководства среднего звена и на операционный </w:t>
            </w:r>
            <w:r w:rsidRPr="00504B77">
              <w:rPr>
                <w:lang w:val="ru-RU" w:eastAsia="zh-CN"/>
              </w:rPr>
              <w:lastRenderedPageBreak/>
              <w:t>уровень, что позволит обеспечить согласованность и координацию в рамках МСЭ.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lastRenderedPageBreak/>
              <w:t>РКГ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6F1EBF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Материалы обсуждения и решения РКГ </w:t>
            </w:r>
            <w:r w:rsidR="007D26A2" w:rsidRPr="00504B77">
              <w:rPr>
                <w:lang w:val="ru-RU" w:eastAsia="zh-CN"/>
              </w:rPr>
              <w:t>распространяются</w:t>
            </w:r>
            <w:r w:rsidRPr="00504B77">
              <w:rPr>
                <w:lang w:val="ru-RU" w:eastAsia="zh-CN"/>
              </w:rPr>
              <w:t xml:space="preserve"> на все</w:t>
            </w:r>
            <w:r w:rsidR="007D26A2" w:rsidRPr="00504B77">
              <w:rPr>
                <w:lang w:val="ru-RU" w:eastAsia="zh-CN"/>
              </w:rPr>
              <w:t>х</w:t>
            </w:r>
            <w:r w:rsidRPr="00504B77">
              <w:rPr>
                <w:lang w:val="ru-RU" w:eastAsia="zh-CN"/>
              </w:rPr>
              <w:t xml:space="preserve"> уровн</w:t>
            </w:r>
            <w:r w:rsidR="007D26A2" w:rsidRPr="00504B77">
              <w:rPr>
                <w:lang w:val="ru-RU" w:eastAsia="zh-CN"/>
              </w:rPr>
              <w:t>ях</w:t>
            </w:r>
            <w:r w:rsidRPr="00504B77">
              <w:rPr>
                <w:lang w:val="ru-RU" w:eastAsia="zh-CN"/>
              </w:rPr>
              <w:t xml:space="preserve"> руководства</w:t>
            </w:r>
            <w:r w:rsidR="007D26A2" w:rsidRPr="00504B77">
              <w:rPr>
                <w:lang w:val="ru-RU" w:eastAsia="zh-CN"/>
              </w:rPr>
              <w:t xml:space="preserve"> (краткие отчеты о заседаниях РКГ см. по адресу:</w:t>
            </w:r>
            <w:r w:rsidR="008B2532" w:rsidRPr="00504B77">
              <w:rPr>
                <w:lang w:val="ru-RU" w:eastAsia="zh-CN"/>
              </w:rPr>
              <w:t xml:space="preserve"> </w:t>
            </w:r>
            <w:hyperlink r:id="rId33" w:history="1">
              <w:r w:rsidR="007D26A2"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http://www.itu.int/en/council/Pages/mcg.aspx</w:t>
              </w:r>
            </w:hyperlink>
            <w:r w:rsidR="006F1EBF" w:rsidRPr="00504B77">
              <w:rPr>
                <w:lang w:val="ru-RU" w:eastAsia="zh-C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color w:val="000000" w:themeColor="text1"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CE3B38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69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Руководству МСЭ следует регулярно проводить опросы сотрудников и использовать полученные данные в качестве инструмента внутренней связи и руководства.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Текущий процесс – один опрос сотрудников относительно плана медицинского страхования начат. Второй опрос находится в стадии 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color w:val="000000" w:themeColor="text1"/>
                <w:lang w:val="ru-RU" w:eastAsia="zh-CN"/>
              </w:rPr>
            </w:pPr>
            <w:r w:rsidRPr="00504B77">
              <w:rPr>
                <w:b/>
                <w:color w:val="000000" w:themeColor="text1"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73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призывают к дальнейшему совершенствованию этих показателей, которые предоставят Государствам-Членам и руководству МСЭ возможность нарастить потенциал в сфере мониторинга и помогут прояснить ряд аспектов финансового положения Союза.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FRMD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/>
              </w:rPr>
              <w:t xml:space="preserve">Ключевые показатели включаются в </w:t>
            </w:r>
            <w:r w:rsidRPr="00504B77">
              <w:rPr>
                <w:color w:val="000000"/>
                <w:lang w:val="ru-RU"/>
              </w:rPr>
              <w:t>отчет о финансовой деятельности с 2015 г. Эти ключевые показатели будут ежегодно пересматриваться, обновляться и включаться в отчет о финансовой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92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Эти механизмы отчетности необходимо совершенствовать, чтобы обеспечить получение достоверных и актуальных количественных данных, равно как и конкретной информации о мерах, принимаемых в отношении взносов. Такая система отчетности будет более прозрачной и соответствующей статье 34 Конвенции и может способствовать привлечению дополнительного финансирования.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FRMD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В представленных Совету приложениях к </w:t>
            </w:r>
            <w:r w:rsidRPr="00504B77">
              <w:rPr>
                <w:color w:val="000000"/>
                <w:lang w:val="ru-RU"/>
              </w:rPr>
              <w:t>отчету о финансовой деятельности</w:t>
            </w:r>
            <w:r w:rsidRPr="00504B77">
              <w:rPr>
                <w:lang w:val="ru-RU" w:eastAsia="zh-CN"/>
              </w:rPr>
              <w:t xml:space="preserve"> дана очень подробная финансовая информация по каждому из </w:t>
            </w:r>
            <w:r w:rsidRPr="00504B77">
              <w:rPr>
                <w:color w:val="000000"/>
                <w:lang w:val="ru-RU"/>
              </w:rPr>
              <w:t>внебюджетных взносов. Кроме того, БРЭ представило также в формате информационного документа сведения о положении дел с каждым из подписанных договоров, о полученных средствах и целях этих договоров.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94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По мнению инспекторов, разработка корпоративной стратегии мобилизации ресурсов, в которой были бы определены цели сбора средств Союзом и его подразделениями, могла бы благотворно сказаться на текущей работе, как указано в недавнем отчете ОИГ.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КК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3F0089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rFonts w:asciiTheme="minorHAnsi" w:hAnsiTheme="minorHAnsi"/>
                <w:lang w:val="ru-RU" w:eastAsia="zh-CN"/>
              </w:rPr>
              <w:t>"Стратегическая основа мобилизации ресурсов</w:t>
            </w:r>
            <w:r w:rsidR="008B2532" w:rsidRPr="00504B77">
              <w:rPr>
                <w:rFonts w:asciiTheme="minorHAnsi" w:hAnsiTheme="minorHAnsi"/>
                <w:lang w:val="ru-RU" w:eastAsia="zh-CN"/>
              </w:rPr>
              <w:t xml:space="preserve"> МСЭ</w:t>
            </w:r>
            <w:r w:rsidRPr="00504B77">
              <w:rPr>
                <w:rFonts w:asciiTheme="minorHAnsi" w:hAnsiTheme="minorHAnsi"/>
                <w:lang w:val="ru-RU" w:eastAsia="zh-CN"/>
              </w:rPr>
              <w:t>" разработана д</w:t>
            </w:r>
            <w:r w:rsidR="00C26E2F" w:rsidRPr="00504B77">
              <w:rPr>
                <w:rFonts w:asciiTheme="minorHAnsi" w:hAnsiTheme="minorHAnsi"/>
                <w:lang w:val="ru-RU" w:eastAsia="zh-CN"/>
              </w:rPr>
              <w:t>о сессии Совета 2018 года</w:t>
            </w:r>
            <w:r w:rsidR="00C26E2F" w:rsidRPr="00504B77">
              <w:rPr>
                <w:rFonts w:asciiTheme="minorHAnsi" w:hAnsiTheme="minorHAnsi"/>
                <w:color w:val="000000"/>
                <w:lang w:val="ru-RU"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C55572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2018 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089" w:rsidRPr="00504B77" w:rsidRDefault="003F0089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103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9" w:rsidRPr="00504B77" w:rsidRDefault="003F0089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призывают Государства-Члены активно участвовать в работе </w:t>
            </w:r>
            <w:r w:rsidRPr="00504B77">
              <w:rPr>
                <w:color w:val="000000"/>
                <w:lang w:val="ru-RU"/>
              </w:rPr>
              <w:t xml:space="preserve">РГС СП-ФП, поскольку разработка стратегического плана дает возможность предложить концепцию и определить </w:t>
            </w:r>
            <w:r w:rsidRPr="00504B77">
              <w:rPr>
                <w:color w:val="000000"/>
                <w:lang w:val="ru-RU"/>
              </w:rPr>
              <w:lastRenderedPageBreak/>
              <w:t>направленность работы каждого подразделения Союза в стратегическом плане.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089" w:rsidRPr="00504B77" w:rsidRDefault="003F0089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lastRenderedPageBreak/>
              <w:t>Совет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9" w:rsidRPr="00504B77" w:rsidRDefault="003F0089" w:rsidP="00C55572">
            <w:pPr>
              <w:pStyle w:val="Tabletext"/>
              <w:rPr>
                <w:lang w:val="ru-RU" w:eastAsia="zh-CN"/>
              </w:rPr>
            </w:pPr>
            <w:r w:rsidRPr="00504B77">
              <w:rPr>
                <w:color w:val="000000"/>
                <w:lang w:val="ru-RU"/>
              </w:rPr>
              <w:t>Совет-17 учредил Рабочую группу Совета по разработке Стратегического и Финансового планов (РГС-СФП).</w:t>
            </w:r>
            <w:r w:rsidRPr="00504B77">
              <w:rPr>
                <w:lang w:val="ru-RU" w:eastAsia="zh-CN"/>
              </w:rPr>
              <w:t xml:space="preserve"> Применяемая процедура стимулирует более широкое участие и </w:t>
            </w:r>
            <w:r w:rsidRPr="00504B77">
              <w:rPr>
                <w:lang w:val="ru-RU" w:eastAsia="zh-CN"/>
              </w:rPr>
              <w:lastRenderedPageBreak/>
              <w:t xml:space="preserve">представление вкладов, </w:t>
            </w:r>
            <w:r w:rsidR="008B2532" w:rsidRPr="00504B77">
              <w:rPr>
                <w:lang w:val="ru-RU" w:eastAsia="zh-CN"/>
              </w:rPr>
              <w:t>включая</w:t>
            </w:r>
            <w:r w:rsidRPr="00504B77">
              <w:rPr>
                <w:lang w:val="ru-RU" w:eastAsia="zh-CN"/>
              </w:rPr>
              <w:t xml:space="preserve"> открытые и публичные консультации, и Государства-Члены активно участвуют в собраниях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9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9" w:rsidRPr="00504B77" w:rsidRDefault="003F0089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108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Руководству МСЭ необходимо критически проанализировать ключевые </w:t>
            </w:r>
            <w:r w:rsidRPr="00504B77">
              <w:rPr>
                <w:color w:val="000000"/>
                <w:lang w:val="ru-RU"/>
              </w:rPr>
              <w:t>показатели деятельности и повторно оценить, насколько точно они измеряют результаты деятельности организации и ее подразделений.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КК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Переоценка KPI будет проведена </w:t>
            </w:r>
            <w:r w:rsidR="00FF4E00" w:rsidRPr="00504B77">
              <w:rPr>
                <w:lang w:val="ru-RU" w:eastAsia="zh-CN"/>
              </w:rPr>
              <w:t xml:space="preserve">в соответствии с </w:t>
            </w:r>
            <w:r w:rsidRPr="00504B77">
              <w:rPr>
                <w:color w:val="000000"/>
                <w:lang w:val="ru-RU"/>
              </w:rPr>
              <w:t>процесс</w:t>
            </w:r>
            <w:r w:rsidR="00FF4E00" w:rsidRPr="00504B77">
              <w:rPr>
                <w:color w:val="000000"/>
                <w:lang w:val="ru-RU"/>
              </w:rPr>
              <w:t>ом</w:t>
            </w:r>
            <w:r w:rsidRPr="00504B77">
              <w:rPr>
                <w:color w:val="000000"/>
                <w:lang w:val="ru-RU"/>
              </w:rPr>
              <w:t xml:space="preserve"> разработки </w:t>
            </w:r>
            <w:r w:rsidR="00FF4E00" w:rsidRPr="00504B77">
              <w:rPr>
                <w:color w:val="000000"/>
                <w:lang w:val="ru-RU"/>
              </w:rPr>
              <w:t xml:space="preserve">и принятия </w:t>
            </w:r>
            <w:r w:rsidRPr="00504B77">
              <w:rPr>
                <w:color w:val="000000"/>
                <w:lang w:val="ru-RU"/>
              </w:rPr>
              <w:t>нового Стратегического плана Союза</w:t>
            </w:r>
            <w:r w:rsidR="00FF4E00" w:rsidRPr="00504B77">
              <w:rPr>
                <w:color w:val="000000"/>
                <w:lang w:val="ru-RU"/>
              </w:rPr>
              <w:t xml:space="preserve"> и последующим процессо</w:t>
            </w:r>
            <w:r w:rsidR="001E35DC" w:rsidRPr="00504B77">
              <w:rPr>
                <w:color w:val="000000"/>
                <w:lang w:val="ru-RU"/>
              </w:rPr>
              <w:t>м</w:t>
            </w:r>
            <w:r w:rsidR="00FF4E00" w:rsidRPr="00504B77">
              <w:rPr>
                <w:color w:val="000000"/>
                <w:lang w:val="ru-RU"/>
              </w:rPr>
              <w:t xml:space="preserve"> оперативного планирования</w:t>
            </w:r>
            <w:r w:rsidRPr="00504B77">
              <w:rPr>
                <w:color w:val="000000"/>
                <w:lang w:val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 стадии</w:t>
            </w:r>
            <w:r w:rsidRPr="00504B77">
              <w:rPr>
                <w:b/>
                <w:lang w:val="ru-RU" w:eastAsia="zh-CN"/>
              </w:rPr>
              <w:br/>
              <w:t xml:space="preserve">выполнения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ПК-18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109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подчеркивают, что Государствам-Членам необходимо пристально следить за представлением отчетов каждым подразделением Союза, участвуя в тщательном анализе хода осуществления Стратегического плана на заседаниях Совета.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22575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В Док</w:t>
            </w:r>
            <w:r w:rsidR="00225757">
              <w:rPr>
                <w:lang w:val="ru-RU" w:eastAsia="zh-CN"/>
              </w:rPr>
              <w:t>ументе</w:t>
            </w:r>
            <w:r w:rsidRPr="00504B77">
              <w:rPr>
                <w:lang w:val="ru-RU" w:eastAsia="zh-CN"/>
              </w:rPr>
              <w:t xml:space="preserve"> 35 (</w:t>
            </w:r>
            <w:r w:rsidRPr="00504B77">
              <w:rPr>
                <w:color w:val="000000"/>
                <w:lang w:val="ru-RU"/>
              </w:rPr>
              <w:t>Ежегодный отчет о ходе работы МСЭ</w:t>
            </w:r>
            <w:r w:rsidRPr="00504B77">
              <w:rPr>
                <w:lang w:val="ru-RU" w:eastAsia="zh-CN"/>
              </w:rPr>
              <w:t>) и его версии на веб-сайте представлены отчеты всех подразделений Союза. Отчет рассматривается Советом (Док</w:t>
            </w:r>
            <w:r w:rsidR="0022575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 xml:space="preserve"> </w:t>
            </w:r>
            <w:hyperlink r:id="rId34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C17/35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116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подчеркивают, что руководящим органам настоятельно необходимо выполнять возложенные на них функции по надзору за эффективным процессом управления риском.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Совет/</w:t>
            </w:r>
            <w:r w:rsidRPr="00504B77">
              <w:rPr>
                <w:lang w:val="ru-RU" w:eastAsia="zh-CN"/>
              </w:rPr>
              <w:br/>
            </w:r>
            <w:r w:rsidRPr="00504B77">
              <w:rPr>
                <w:color w:val="000000"/>
                <w:lang w:val="ru-RU"/>
              </w:rPr>
              <w:t>РГС-ФЛР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Управление риском является составной частью мандата </w:t>
            </w:r>
            <w:r w:rsidRPr="00504B77">
              <w:rPr>
                <w:color w:val="000000"/>
                <w:lang w:val="ru-RU"/>
              </w:rPr>
              <w:t xml:space="preserve">РГС-ФЛР, тогда как </w:t>
            </w:r>
            <w:r w:rsidRPr="00504B77">
              <w:rPr>
                <w:lang w:val="ru-RU" w:eastAsia="zh-CN"/>
              </w:rPr>
              <w:t xml:space="preserve">IMAC </w:t>
            </w:r>
            <w:r w:rsidRPr="00504B77">
              <w:rPr>
                <w:color w:val="000000"/>
                <w:lang w:val="ru-RU"/>
              </w:rPr>
              <w:t xml:space="preserve">играет в этом процессе роль консультанта. Совет рассматривает реестры рисков в рамках оперативных планов, а политика управления рисками и заявление о готовности к принятию рисков МСЭ выносятся на рассмотрение Совета </w:t>
            </w:r>
            <w:r w:rsidRPr="00504B77">
              <w:rPr>
                <w:lang w:val="ru-RU" w:eastAsia="zh-CN"/>
              </w:rPr>
              <w:t>(см. Рек. 6, выше).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118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Вместе с тем инспекторы отметили, что отчеты носят слишком описательный характер; они призывают руководство МСЭ и далее совершенствовать качественный анализ, результаты которого подлежат представлению Государствам-Членам.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22575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Рассмотрено в Отчете о ходе выполнения Стратегического плана в области людских ресурсов и Резолюции 48 (Пересм. Пусан, 2014 г.) (Док</w:t>
            </w:r>
            <w:r w:rsidR="00225757">
              <w:rPr>
                <w:lang w:val="ru-RU" w:eastAsia="zh-CN"/>
              </w:rPr>
              <w:t>умент</w:t>
            </w:r>
            <w:r w:rsidRPr="00504B77">
              <w:rPr>
                <w:lang w:val="ru-RU" w:eastAsia="zh-CN"/>
              </w:rPr>
              <w:t xml:space="preserve"> </w:t>
            </w:r>
            <w:hyperlink r:id="rId35" w:history="1">
              <w:r w:rsidRPr="00504B77">
                <w:rPr>
                  <w:rStyle w:val="Hyperlink"/>
                  <w:rFonts w:asciiTheme="minorHAnsi" w:hAnsiTheme="minorHAnsi"/>
                  <w:lang w:val="ru-RU" w:eastAsia="zh-CN"/>
                </w:rPr>
                <w:t>C17/53</w:t>
              </w:r>
            </w:hyperlink>
            <w:r w:rsidRPr="00504B77">
              <w:rPr>
                <w:lang w:val="ru-RU" w:eastAsia="zh-C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138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рекомендовали провести углубленную оценку хода осуществления текущего плана, чтобы использовать соответствующие выводы и заключения как важный вклад в подготовку следующего </w:t>
            </w:r>
            <w:r w:rsidRPr="00504B77">
              <w:rPr>
                <w:color w:val="000000"/>
                <w:lang w:val="ru-RU"/>
              </w:rPr>
              <w:t>Стратегического плана по людским ресурсам.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2D4364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Оценка хода осуществления плана рассматривается в ежегодном отчете Совету "</w:t>
            </w:r>
            <w:r w:rsidRPr="00504B77">
              <w:rPr>
                <w:lang w:val="ru-RU"/>
              </w:rPr>
              <w:t>Отчет о ходе выполнения Стратегического плана в области людских ресурсов и Резолюции 48 (Пересм. Пусан, 2014 г.)</w:t>
            </w:r>
            <w:r w:rsidRPr="00504B77">
              <w:rPr>
                <w:lang w:val="ru-RU"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2018 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145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призывают руководство МСЭ завершить разработку и обеспечить осуществление принципов </w:t>
            </w:r>
            <w:r w:rsidRPr="00504B77">
              <w:rPr>
                <w:color w:val="000000"/>
                <w:lang w:val="ru-RU"/>
              </w:rPr>
              <w:t>системы аттестации, взяв за основу уже существующие внутренние инициативы, например, по корректировке системы компетенций МСЭ и по повышению значимости управления, ориентированного на результаты.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504DB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В январе 2017 г. начато о</w:t>
            </w:r>
            <w:r w:rsidR="006C1EAC" w:rsidRPr="00504B77">
              <w:rPr>
                <w:lang w:val="ru-RU" w:eastAsia="zh-CN"/>
              </w:rPr>
              <w:t xml:space="preserve">существление проекта по внедрению новой системы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149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По мнению инспекторов, руководству МСЭ следует разработать комплекс критериев, которые более четко определяли бы принципы </w:t>
            </w:r>
            <w:r w:rsidRPr="00504B77">
              <w:rPr>
                <w:color w:val="000000"/>
                <w:lang w:val="ru-RU"/>
              </w:rPr>
              <w:t>найма персонала как на внутренней, так и на внешней основе.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1E41C3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В рамках общего пересмотра процесса найма определен комплекс критериев для процессов </w:t>
            </w:r>
            <w:r w:rsidRPr="00504B77">
              <w:rPr>
                <w:color w:val="000000"/>
                <w:lang w:val="ru-RU"/>
              </w:rPr>
              <w:t>найма персонала как на внутренней, так и на внешней основе</w:t>
            </w:r>
            <w:r w:rsidR="008E7DE0" w:rsidRPr="00504B77">
              <w:rPr>
                <w:iCs/>
                <w:lang w:val="ru-RU" w:eastAsia="zh-CN"/>
              </w:rPr>
              <w:t>.</w:t>
            </w:r>
            <w:bookmarkStart w:id="7" w:name="_GoBack"/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1E35D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</w:t>
            </w:r>
            <w:r w:rsidR="006C1EAC" w:rsidRPr="00504B77">
              <w:rPr>
                <w:lang w:val="ru-RU" w:eastAsia="zh-CN"/>
              </w:rPr>
              <w:t xml:space="preserve"> 2018 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151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Генеральному секретарю следует разработать и обнародовать на уровне всей организации политику в сфере обучения и повышения квалификации сотрудников и представить ее Совету для одобрения на его сессии 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BDC" w:rsidRPr="00504B77" w:rsidRDefault="00961BD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rFonts w:asciiTheme="minorHAnsi" w:hAnsiTheme="minorHAnsi"/>
                <w:lang w:val="ru-RU" w:eastAsia="zh-CN"/>
              </w:rPr>
              <w:t xml:space="preserve">С учетом вкладов департаментов Бюро и ГС </w:t>
            </w:r>
            <w:r w:rsidR="00183392" w:rsidRPr="00504B77">
              <w:rPr>
                <w:rFonts w:asciiTheme="minorHAnsi" w:hAnsiTheme="minorHAnsi"/>
                <w:lang w:val="ru-RU" w:eastAsia="zh-CN"/>
              </w:rPr>
              <w:t>был разработан новый политический подход</w:t>
            </w:r>
            <w:r w:rsidRPr="00504B77">
              <w:rPr>
                <w:rFonts w:asciiTheme="minorHAnsi" w:hAnsiTheme="minorHAnsi"/>
                <w:lang w:val="ru-RU" w:eastAsia="zh-CN"/>
              </w:rPr>
              <w:t>.</w:t>
            </w:r>
            <w:r w:rsidR="00183392" w:rsidRPr="00504B77">
              <w:rPr>
                <w:rFonts w:asciiTheme="minorHAnsi" w:hAnsiTheme="minorHAnsi"/>
                <w:lang w:val="ru-RU" w:eastAsia="zh-CN"/>
              </w:rPr>
              <w:t xml:space="preserve"> </w:t>
            </w:r>
            <w:r w:rsidR="00151E79" w:rsidRPr="00504B77">
              <w:rPr>
                <w:rFonts w:asciiTheme="minorHAnsi" w:hAnsiTheme="minorHAnsi"/>
                <w:lang w:val="ru-RU" w:eastAsia="zh-CN"/>
              </w:rPr>
              <w:t>На основе результатов оценки потребностей в обучении и благодаря распределению имеющихся ресурсов для реализации необходимых учебных программ был с</w:t>
            </w:r>
            <w:r w:rsidR="00183392" w:rsidRPr="00504B77">
              <w:rPr>
                <w:rFonts w:asciiTheme="minorHAnsi" w:hAnsiTheme="minorHAnsi"/>
                <w:lang w:val="ru-RU" w:eastAsia="zh-CN"/>
              </w:rPr>
              <w:t xml:space="preserve">оставлен </w:t>
            </w:r>
            <w:r w:rsidR="00183392" w:rsidRPr="00504B77">
              <w:rPr>
                <w:color w:val="000000"/>
                <w:lang w:val="ru-RU"/>
              </w:rPr>
              <w:t>План обучения в МСЭ на 2018 год</w:t>
            </w:r>
            <w:r w:rsidRPr="00504B77">
              <w:rPr>
                <w:rFonts w:asciiTheme="minorHAnsi" w:hAnsiTheme="minorHAnsi"/>
                <w:lang w:val="ru-RU" w:eastAsia="zh-CN"/>
              </w:rPr>
              <w:t xml:space="preserve">. </w:t>
            </w:r>
            <w:r w:rsidR="00183392" w:rsidRPr="00504B77">
              <w:rPr>
                <w:rFonts w:asciiTheme="minorHAnsi" w:hAnsiTheme="minorHAnsi"/>
                <w:lang w:val="ru-RU" w:eastAsia="zh-CN"/>
              </w:rPr>
              <w:t xml:space="preserve">Применяются принципы </w:t>
            </w:r>
            <w:r w:rsidR="00CD3675" w:rsidRPr="00504B77">
              <w:rPr>
                <w:rFonts w:asciiTheme="minorHAnsi" w:hAnsiTheme="minorHAnsi"/>
                <w:lang w:val="ru-RU" w:eastAsia="zh-CN"/>
              </w:rPr>
              <w:t xml:space="preserve">МСЭ в области </w:t>
            </w:r>
            <w:r w:rsidR="00183392" w:rsidRPr="00504B77">
              <w:rPr>
                <w:rFonts w:asciiTheme="minorHAnsi" w:hAnsiTheme="minorHAnsi"/>
                <w:lang w:val="ru-RU" w:eastAsia="zh-CN"/>
              </w:rPr>
              <w:t>обучения и развития</w:t>
            </w:r>
            <w:r w:rsidR="00CD3675" w:rsidRPr="00504B77">
              <w:rPr>
                <w:rFonts w:asciiTheme="minorHAnsi" w:hAnsiTheme="minorHAnsi"/>
                <w:lang w:val="ru-RU" w:eastAsia="zh-CN"/>
              </w:rPr>
              <w:t xml:space="preserve">, </w:t>
            </w:r>
            <w:r w:rsidR="00CD3675" w:rsidRPr="00504B77">
              <w:rPr>
                <w:rFonts w:asciiTheme="minorHAnsi" w:hAnsiTheme="minorHAnsi" w:cs="Arial"/>
                <w:color w:val="222222"/>
                <w:lang w:val="ru-RU"/>
              </w:rPr>
              <w:t>включая справедливое распределение возможностей в рамках всей организации и стратегическую увязку приоритетов персонала и организации, в соответствии также с политическим подходом к управлению эффективностью деятельности.</w:t>
            </w:r>
            <w:r w:rsidR="00CD3675" w:rsidRPr="00504B77">
              <w:rPr>
                <w:rFonts w:asciiTheme="minorHAnsi" w:hAnsiTheme="minorHAnsi"/>
                <w:lang w:val="ru-RU"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2018 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152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рекомендуют разработать исходящую из корпоративных требований программу обязательного обучения всех сотрудников, заложив таким образом общие </w:t>
            </w:r>
            <w:r w:rsidRPr="00504B77">
              <w:rPr>
                <w:color w:val="000000"/>
                <w:lang w:val="ru-RU"/>
              </w:rPr>
              <w:t>основы квалификации и компетенции.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A8" w:rsidRPr="00504B77" w:rsidRDefault="00E05488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В результате подхода на основе консультаций между </w:t>
            </w:r>
            <w:r w:rsidRPr="00504B77">
              <w:rPr>
                <w:color w:val="000000"/>
                <w:lang w:val="ru-RU"/>
              </w:rPr>
              <w:t>Департаментом управления людскими ресурсами</w:t>
            </w:r>
            <w:r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</w:t>
            </w:r>
            <w:r w:rsidR="00501EA8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(HRMD) </w:t>
            </w:r>
            <w:r w:rsidRPr="00504B77">
              <w:rPr>
                <w:rFonts w:asciiTheme="minorHAnsi" w:hAnsiTheme="minorHAnsi"/>
                <w:color w:val="000000"/>
                <w:lang w:val="ru-RU" w:eastAsia="zh-CN"/>
              </w:rPr>
              <w:t>и Секторами, то есть департаментами Бюро и ГС, а также в соответствии с передовым опытом</w:t>
            </w:r>
            <w:r w:rsidR="00153C28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других организаций</w:t>
            </w:r>
            <w:r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о</w:t>
            </w:r>
            <w:r w:rsidR="00153C28" w:rsidRPr="00504B77">
              <w:rPr>
                <w:rFonts w:asciiTheme="minorHAnsi" w:hAnsiTheme="minorHAnsi"/>
                <w:color w:val="000000"/>
                <w:lang w:val="ru-RU" w:eastAsia="zh-CN"/>
              </w:rPr>
              <w:t>б</w:t>
            </w:r>
            <w:r w:rsidRPr="00504B77">
              <w:rPr>
                <w:rFonts w:asciiTheme="minorHAnsi" w:hAnsiTheme="minorHAnsi"/>
                <w:color w:val="000000"/>
                <w:lang w:val="ru-RU" w:eastAsia="zh-CN"/>
              </w:rPr>
              <w:t>щей системы Организации Объединенных Наций (ООН)</w:t>
            </w:r>
            <w:r w:rsidR="00153C28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МСЭ создал </w:t>
            </w:r>
            <w:r w:rsidR="00153C28" w:rsidRPr="00504B77">
              <w:rPr>
                <w:rFonts w:asciiTheme="minorHAnsi" w:hAnsiTheme="minorHAnsi"/>
                <w:color w:val="000000"/>
                <w:lang w:val="ru-RU" w:eastAsia="zh-CN"/>
              </w:rPr>
              <w:lastRenderedPageBreak/>
              <w:t>концепцию обязательного обучения, определяющую требуем</w:t>
            </w:r>
            <w:r w:rsidR="00961BDC" w:rsidRPr="00504B77">
              <w:rPr>
                <w:rFonts w:asciiTheme="minorHAnsi" w:hAnsiTheme="minorHAnsi"/>
                <w:color w:val="000000"/>
                <w:lang w:val="ru-RU" w:eastAsia="zh-CN"/>
              </w:rPr>
              <w:t>ые</w:t>
            </w:r>
            <w:r w:rsidR="00153C28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</w:t>
            </w:r>
            <w:r w:rsidR="00961BDC" w:rsidRPr="00504B77">
              <w:rPr>
                <w:rFonts w:asciiTheme="minorHAnsi" w:hAnsiTheme="minorHAnsi"/>
                <w:color w:val="000000"/>
                <w:lang w:val="ru-RU" w:eastAsia="zh-CN"/>
              </w:rPr>
              <w:t>сферы основной компетенции для сотрудников на основе обучения</w:t>
            </w:r>
            <w:r w:rsidR="00501EA8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. </w:t>
            </w:r>
            <w:r w:rsidR="00961BDC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До сведения сотрудников МСЭ был доведен </w:t>
            </w:r>
            <w:r w:rsidR="0071571A" w:rsidRPr="00504B77">
              <w:rPr>
                <w:rFonts w:asciiTheme="minorHAnsi" w:hAnsiTheme="minorHAnsi"/>
                <w:color w:val="000000"/>
                <w:lang w:val="ru-RU" w:eastAsia="zh-CN"/>
              </w:rPr>
              <w:t>ряд</w:t>
            </w:r>
            <w:r w:rsidR="00961BDC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обязательных курсов, в том числе курсы </w:t>
            </w:r>
            <w:r w:rsidR="00961BDC" w:rsidRPr="00504B77">
              <w:rPr>
                <w:color w:val="000000"/>
                <w:lang w:val="ru-RU"/>
              </w:rPr>
              <w:t>"Я знаю гендерные проблемы"</w:t>
            </w:r>
            <w:r w:rsidR="00961BDC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и "Кибербезопасность".</w:t>
            </w:r>
            <w:r w:rsidR="00501EA8" w:rsidRPr="00504B77">
              <w:rPr>
                <w:rFonts w:asciiTheme="minorHAnsi" w:hAnsiTheme="minorHAnsi"/>
                <w:color w:val="000000"/>
                <w:lang w:val="ru-RU"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2018 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157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настойчиво рекомендуют руководству МСЭ ускорить упорядочение деятельности функционального звена по вопросам этики и приветствуют подписание меморандума о взаимопонимании с Всемирной метеорологической организацией, предусматривающего введение общей для обеих организаций должности </w:t>
            </w:r>
            <w:r w:rsidRPr="00504B77">
              <w:rPr>
                <w:color w:val="000000"/>
                <w:lang w:val="ru-RU"/>
              </w:rPr>
              <w:t>сотрудника по этике.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Приступил к работе 1 ноября 2016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color w:val="2F75B5"/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161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Инспекторы считают, что благотворным для МСЭ было бы повышение эффективности и наглядности посреднической деятельности, которая отдавала бы предпочтение неофициальному урегулированию конфликтов перед использованием формальных механизмов правосудия для такого урегулирования.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HRMD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rPr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color w:val="2F75B5"/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165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Учитывая тот факт, что подобные проекты являются стратегическими по своему характеру, инспекторы предлагают обеспечивать учет этого опыта в системе работы КИКТ, создавая для этого специальные рабочие группы (как предусмотрено его кругом ведения), чтобы повысить согласованность </w:t>
            </w:r>
            <w:r w:rsidRPr="00504B77">
              <w:rPr>
                <w:color w:val="000000"/>
                <w:lang w:val="ru-RU"/>
              </w:rPr>
              <w:t>управления в сфере ИКТ</w:t>
            </w:r>
            <w:r w:rsidRPr="00504B77">
              <w:rPr>
                <w:lang w:val="ru-RU"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ISD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Для выполнения крупных проектов создан специальный отдел по управлению проектом с координационным комитетом. В ходе осуществления проекта в КИКТ регулярно направляются отчеты о ходе работы.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165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Инспекторы предлагают также руководству МСЭ предоставлять Государствам-Членам подробные отчеты об </w:t>
            </w:r>
            <w:r w:rsidRPr="00504B77">
              <w:rPr>
                <w:color w:val="000000"/>
                <w:lang w:val="ru-RU"/>
              </w:rPr>
              <w:t xml:space="preserve">общем управлении проектами, учитывая </w:t>
            </w:r>
            <w:r w:rsidRPr="00504B77">
              <w:rPr>
                <w:color w:val="000000"/>
                <w:lang w:val="ru-RU"/>
              </w:rPr>
              <w:lastRenderedPageBreak/>
              <w:t xml:space="preserve">то, что такие корпоративные проекты требуют значительных инвестиций на протяжении ряда лет.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lastRenderedPageBreak/>
              <w:t>ISD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Эта работа уже проводится для Совета 2017 г., в том числе был представлен ряд отчетов (</w:t>
            </w:r>
            <w:r w:rsidRPr="00504B77">
              <w:rPr>
                <w:color w:val="000000"/>
                <w:lang w:val="ru-RU"/>
              </w:rPr>
              <w:t xml:space="preserve">TIES, проект модернизации систем </w:t>
            </w:r>
            <w:r w:rsidRPr="00504B77">
              <w:rPr>
                <w:color w:val="000000"/>
                <w:lang w:val="ru-RU"/>
              </w:rPr>
              <w:lastRenderedPageBreak/>
              <w:t xml:space="preserve">безопасности, </w:t>
            </w:r>
            <w:r w:rsidRPr="00504B77">
              <w:rPr>
                <w:lang w:val="ru-RU" w:eastAsia="zh-CN"/>
              </w:rPr>
              <w:t xml:space="preserve">ORMS, </w:t>
            </w:r>
            <w:r w:rsidRPr="00504B77">
              <w:rPr>
                <w:color w:val="000000"/>
                <w:lang w:val="ru-RU"/>
              </w:rPr>
              <w:t>усовершенствование безопасности). В следующем году вместо отдельных документов в качестве отчета может быть представлен документ о деятельности Союза.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176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рекомендуют руководству МСЭ пересматривать </w:t>
            </w:r>
            <w:r w:rsidRPr="00504B77">
              <w:rPr>
                <w:color w:val="000000"/>
                <w:lang w:val="ru-RU"/>
              </w:rPr>
              <w:t xml:space="preserve">Устав Службы внутреннего аудита МСЭ и соответствующие положения Финансового регламента и Финансовых правил, касающиеся внутреннего аудита, </w:t>
            </w:r>
            <w:r w:rsidRPr="00504B77">
              <w:rPr>
                <w:lang w:val="ru-RU" w:eastAsia="zh-CN"/>
              </w:rPr>
              <w:t xml:space="preserve">более регулярно, то есть не реже одного раза в три–пять лет; кроме того, они полагают, что этот Устав следует представлять Совету на рассмотрение и утверждение.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IAU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Секретариат намерен пересматривать </w:t>
            </w:r>
            <w:r w:rsidRPr="00504B77">
              <w:rPr>
                <w:color w:val="000000"/>
                <w:lang w:val="ru-RU"/>
              </w:rPr>
              <w:t xml:space="preserve">Устав Службы внутреннего аудита каждые пять лет, чтобы обеспечивать его соответствие Стандартам внутреннего аудита. В ходе предыдущего пересмотра проект Устава Службы внутреннего аудита был представлен на рассмотрение </w:t>
            </w:r>
            <w:r w:rsidRPr="00504B77">
              <w:rPr>
                <w:lang w:val="ru-RU" w:eastAsia="zh-CN"/>
              </w:rPr>
              <w:t xml:space="preserve">IMAC и вслед за тем утвержден Генеральным секретарем. Считается, что этот механизм соответствует стандарту 1000 </w:t>
            </w:r>
            <w:r w:rsidRPr="00504B77">
              <w:rPr>
                <w:color w:val="000000"/>
                <w:lang w:val="ru-RU"/>
              </w:rPr>
              <w:t xml:space="preserve">Стандартов внутреннего аудита и кругу ведения </w:t>
            </w:r>
            <w:r w:rsidRPr="00504B77">
              <w:rPr>
                <w:lang w:val="ru-RU" w:eastAsia="zh-CN"/>
              </w:rPr>
              <w:t xml:space="preserve">IMAC (как </w:t>
            </w:r>
            <w:r w:rsidRPr="00504B77">
              <w:rPr>
                <w:color w:val="000000"/>
                <w:lang w:val="ru-RU"/>
              </w:rPr>
              <w:t>вспомогательного органа Совета МСЭ</w:t>
            </w:r>
            <w:r w:rsidRPr="00504B77">
              <w:rPr>
                <w:lang w:val="ru-RU" w:eastAsia="zh-CN"/>
              </w:rPr>
              <w:t>).</w:t>
            </w:r>
            <w:r w:rsidR="00935E99" w:rsidRPr="00504B77">
              <w:rPr>
                <w:lang w:val="ru-RU" w:eastAsia="zh-CN"/>
              </w:rPr>
              <w:t xml:space="preserve"> Совет 2017 г. принял подход, согласно которому обновленный Устав будет представлен Совету на рассмотрение и утверждение в ходе его следующего пересмотра.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 стадии</w:t>
            </w:r>
            <w:r w:rsidRPr="00504B77">
              <w:rPr>
                <w:b/>
                <w:lang w:val="ru-RU" w:eastAsia="zh-CN"/>
              </w:rPr>
              <w:br/>
              <w:t>выполнения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30 июня 2018 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177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призывают руководство МСЭ проводить подобную независимую оценку регулярно.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IAU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В целях выполнения стандарта 1300 </w:t>
            </w:r>
            <w:r w:rsidRPr="00504B77">
              <w:rPr>
                <w:color w:val="000000"/>
                <w:lang w:val="ru-RU"/>
              </w:rPr>
              <w:t>Стандартов внутреннего аудита</w:t>
            </w:r>
            <w:r w:rsidRPr="00504B77">
              <w:rPr>
                <w:lang w:val="ru-RU" w:eastAsia="zh-CN"/>
              </w:rPr>
              <w:t xml:space="preserve"> Секретариат намерен проводить независ</w:t>
            </w:r>
            <w:r w:rsidR="0082738C" w:rsidRPr="00504B77">
              <w:rPr>
                <w:lang w:val="ru-RU" w:eastAsia="zh-CN"/>
              </w:rPr>
              <w:t>и</w:t>
            </w:r>
            <w:r w:rsidRPr="00504B77">
              <w:rPr>
                <w:lang w:val="ru-RU" w:eastAsia="zh-CN"/>
              </w:rPr>
              <w:t xml:space="preserve">мую оценку каждые пять лет.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 стадии</w:t>
            </w:r>
            <w:r w:rsidRPr="00504B77">
              <w:rPr>
                <w:b/>
                <w:lang w:val="ru-RU" w:eastAsia="zh-CN"/>
              </w:rPr>
              <w:br/>
              <w:t>выполнения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31 декабря 2019 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178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полагают, что Генеральному секретарю следует наращивать общий потенциал </w:t>
            </w:r>
            <w:r w:rsidRPr="00504B77">
              <w:rPr>
                <w:color w:val="000000"/>
                <w:lang w:val="ru-RU"/>
              </w:rPr>
              <w:t xml:space="preserve">Подразделения внутреннего аудита, чтобы дать ему возможность увеличить охват важнейших и основных рисков, с которыми сталкивается Союз, как рекомендуют </w:t>
            </w:r>
            <w:r w:rsidRPr="00504B77">
              <w:rPr>
                <w:lang w:val="ru-RU" w:eastAsia="zh-CN"/>
              </w:rPr>
              <w:t xml:space="preserve">IMAC и внешний аудитор.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IAU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Генеральный секретарь, с учетом </w:t>
            </w:r>
            <w:r w:rsidRPr="00504B77">
              <w:rPr>
                <w:color w:val="000000"/>
                <w:lang w:val="ru-RU"/>
              </w:rPr>
              <w:t xml:space="preserve">бюджетных ограничений Союза, в полной мере осознает необходимость наращивать потенциал и повышать эффективность Подразделения внутреннего аудита, чтобы оно было в состоянии выполнять свой мандат. Генеральный секретарь сопоставил данные </w:t>
            </w:r>
            <w:r w:rsidRPr="00504B77">
              <w:rPr>
                <w:color w:val="000000"/>
                <w:lang w:val="ru-RU"/>
              </w:rPr>
              <w:lastRenderedPageBreak/>
              <w:t>о деятельности Подразделения внутреннего аудита МСЭ с данными таблицы, приведенной в Приложении </w:t>
            </w:r>
            <w:r w:rsidRPr="00504B77">
              <w:rPr>
                <w:lang w:val="ru-RU" w:eastAsia="zh-CN"/>
              </w:rPr>
              <w:t>V к отчету ОИГ 2016/8 "</w:t>
            </w:r>
            <w:r w:rsidRPr="00504B77">
              <w:rPr>
                <w:bCs/>
                <w:lang w:val="ru-RU" w:eastAsia="zh-CN"/>
              </w:rPr>
              <w:t xml:space="preserve">Состояние функции внутренней ревизии в системе Организации Объединенных Наций", и сделал вывод о том, что уровень МСЭ соответствует уровню других организаций. </w:t>
            </w:r>
            <w:r w:rsidRPr="00504B77">
              <w:rPr>
                <w:lang w:val="ru-RU" w:eastAsia="zh-CN"/>
              </w:rPr>
              <w:t>IMAC также рассматривает вопрос о ресурсах внутреннего аудита на каждом своем заседании и в случае необходимости предлагает рекомендации для Генерального секретаря.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32C1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1-й квартал 2017</w:t>
            </w:r>
            <w:r w:rsidR="00832C15">
              <w:rPr>
                <w:lang w:val="ru-RU" w:eastAsia="zh-CN"/>
              </w:rPr>
              <w:t> </w:t>
            </w:r>
            <w:r w:rsidRPr="00504B77">
              <w:rPr>
                <w:lang w:val="ru-RU" w:eastAsia="zh-CN"/>
              </w:rPr>
              <w:t>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179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осведомлены о финансовых последствиях, однако полагают, что институционализация функции оценки может содействовать </w:t>
            </w:r>
            <w:r w:rsidRPr="00504B77">
              <w:rPr>
                <w:color w:val="000000"/>
                <w:lang w:val="ru-RU"/>
              </w:rPr>
              <w:t xml:space="preserve">определению стратегической направленности действий, обучению и обмену знаниями во всех подразделениях Союза при условии, что это функциональное звено будет располагать профессиональным опытом и достаточным потенциалом.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РКГ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4B" w:rsidRPr="00504B77" w:rsidRDefault="006E0D4B" w:rsidP="00225757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Во 2-м квартале 2017 г. </w:t>
            </w:r>
            <w:r w:rsidR="000C3D6C" w:rsidRPr="00504B77">
              <w:rPr>
                <w:lang w:val="ru-RU" w:eastAsia="zh-CN"/>
              </w:rPr>
              <w:t>технико-экономическо</w:t>
            </w:r>
            <w:r w:rsidR="00C714E1" w:rsidRPr="00504B77">
              <w:rPr>
                <w:lang w:val="ru-RU" w:eastAsia="zh-CN"/>
              </w:rPr>
              <w:t>е</w:t>
            </w:r>
            <w:r w:rsidR="000C3D6C" w:rsidRPr="00504B77">
              <w:rPr>
                <w:lang w:val="ru-RU" w:eastAsia="zh-CN"/>
              </w:rPr>
              <w:t xml:space="preserve"> обоснование функции оценки в МСЭ было представлено руководству МСЭ, а</w:t>
            </w:r>
            <w:r w:rsidR="00225757">
              <w:rPr>
                <w:lang w:val="ru-RU" w:eastAsia="zh-CN"/>
              </w:rPr>
              <w:t> </w:t>
            </w:r>
            <w:r w:rsidR="000C3D6C" w:rsidRPr="00504B77">
              <w:rPr>
                <w:lang w:val="ru-RU" w:eastAsia="zh-CN"/>
              </w:rPr>
              <w:t xml:space="preserve">также </w:t>
            </w:r>
            <w:r w:rsidRPr="00504B77">
              <w:rPr>
                <w:rFonts w:asciiTheme="minorHAnsi" w:hAnsiTheme="minorHAnsi"/>
                <w:lang w:val="ru-RU" w:eastAsia="zh-CN"/>
              </w:rPr>
              <w:t xml:space="preserve">IMAC </w:t>
            </w:r>
            <w:r w:rsidR="000C3D6C" w:rsidRPr="00504B77">
              <w:rPr>
                <w:rFonts w:asciiTheme="minorHAnsi" w:hAnsiTheme="minorHAnsi"/>
                <w:lang w:val="ru-RU" w:eastAsia="zh-CN"/>
              </w:rPr>
              <w:t>на рассмотрение</w:t>
            </w:r>
            <w:r w:rsidRPr="00504B77">
              <w:rPr>
                <w:rFonts w:asciiTheme="minorHAnsi" w:hAnsiTheme="minorHAnsi"/>
                <w:lang w:val="ru-RU" w:eastAsia="zh-CN"/>
              </w:rPr>
              <w:t xml:space="preserve">. </w:t>
            </w:r>
            <w:r w:rsidR="000C3D6C" w:rsidRPr="00504B77">
              <w:rPr>
                <w:rFonts w:asciiTheme="minorHAnsi" w:hAnsiTheme="minorHAnsi"/>
                <w:lang w:val="ru-RU" w:eastAsia="zh-CN"/>
              </w:rPr>
              <w:t>С учетом мнений</w:t>
            </w:r>
            <w:r w:rsidRPr="00504B77">
              <w:rPr>
                <w:rFonts w:asciiTheme="minorHAnsi" w:hAnsiTheme="minorHAnsi"/>
                <w:lang w:val="ru-RU" w:eastAsia="zh-CN"/>
              </w:rPr>
              <w:t xml:space="preserve"> IMAC </w:t>
            </w:r>
            <w:r w:rsidR="000C3D6C" w:rsidRPr="00504B77">
              <w:rPr>
                <w:rFonts w:asciiTheme="minorHAnsi" w:hAnsiTheme="minorHAnsi"/>
                <w:lang w:val="ru-RU" w:eastAsia="zh-CN"/>
              </w:rPr>
              <w:t xml:space="preserve">предложенная политика и руководящие принципы оценки были </w:t>
            </w:r>
            <w:r w:rsidR="00C714E1" w:rsidRPr="00504B77">
              <w:rPr>
                <w:rFonts w:asciiTheme="minorHAnsi" w:hAnsiTheme="minorHAnsi"/>
                <w:lang w:val="ru-RU" w:eastAsia="zh-CN"/>
              </w:rPr>
              <w:t xml:space="preserve">в </w:t>
            </w:r>
            <w:r w:rsidR="000C3D6C" w:rsidRPr="00504B77">
              <w:rPr>
                <w:rFonts w:asciiTheme="minorHAnsi" w:hAnsiTheme="minorHAnsi"/>
                <w:lang w:val="ru-RU" w:eastAsia="zh-CN"/>
              </w:rPr>
              <w:t>предварительно</w:t>
            </w:r>
            <w:r w:rsidR="00C714E1" w:rsidRPr="00504B77">
              <w:rPr>
                <w:rFonts w:asciiTheme="minorHAnsi" w:hAnsiTheme="minorHAnsi"/>
                <w:lang w:val="ru-RU" w:eastAsia="zh-CN"/>
              </w:rPr>
              <w:t>м порядке</w:t>
            </w:r>
            <w:r w:rsidR="000C3D6C" w:rsidRPr="00504B77">
              <w:rPr>
                <w:rFonts w:asciiTheme="minorHAnsi" w:hAnsiTheme="minorHAnsi"/>
                <w:lang w:val="ru-RU" w:eastAsia="zh-CN"/>
              </w:rPr>
              <w:t xml:space="preserve"> приняты Генеральным секретарем и составят основу для эксперимента, включенного в план работы </w:t>
            </w:r>
            <w:r w:rsidR="009C5C76" w:rsidRPr="00504B77">
              <w:rPr>
                <w:color w:val="000000"/>
                <w:lang w:val="ru-RU"/>
              </w:rPr>
              <w:t>по внутреннему аудиту</w:t>
            </w:r>
            <w:r w:rsidR="000C3D6C" w:rsidRPr="00504B77">
              <w:rPr>
                <w:rFonts w:asciiTheme="minorHAnsi" w:hAnsiTheme="minorHAnsi"/>
                <w:lang w:val="ru-RU" w:eastAsia="zh-CN"/>
              </w:rPr>
              <w:t xml:space="preserve"> на 2018 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В стадии</w:t>
            </w:r>
            <w:r w:rsidRPr="00504B77">
              <w:rPr>
                <w:b/>
                <w:lang w:val="ru-RU" w:eastAsia="zh-CN"/>
              </w:rPr>
              <w:br/>
              <w:t>выполнения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9C5C76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4</w:t>
            </w:r>
            <w:r w:rsidR="006C1EAC" w:rsidRPr="00504B77">
              <w:rPr>
                <w:lang w:val="ru-RU" w:eastAsia="zh-CN"/>
              </w:rPr>
              <w:t xml:space="preserve">-й квартал </w:t>
            </w:r>
            <w:r w:rsidR="00884A11">
              <w:rPr>
                <w:lang w:val="ru-RU" w:eastAsia="zh-CN"/>
              </w:rPr>
              <w:br/>
            </w:r>
            <w:r w:rsidR="006C1EAC" w:rsidRPr="00504B77">
              <w:rPr>
                <w:lang w:val="ru-RU" w:eastAsia="zh-CN"/>
              </w:rPr>
              <w:t>201</w:t>
            </w:r>
            <w:r w:rsidRPr="00504B77">
              <w:rPr>
                <w:lang w:val="ru-RU" w:eastAsia="zh-CN"/>
              </w:rPr>
              <w:t>8</w:t>
            </w:r>
            <w:r w:rsidR="006C1EAC" w:rsidRPr="00504B77">
              <w:rPr>
                <w:lang w:val="ru-RU" w:eastAsia="zh-CN"/>
              </w:rPr>
              <w:t xml:space="preserve"> 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180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полагают, что руководству МСЭ следует разработать собственную систему проведения расследований (политику и процедуры) и продумать меры, которые обеспечивали бы проведение расследований профессиональными следователями.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РКГ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8C" w:rsidRPr="00504B77" w:rsidRDefault="0082738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rFonts w:asciiTheme="minorHAnsi" w:hAnsiTheme="minorHAnsi"/>
                <w:lang w:val="ru-RU" w:eastAsia="zh-CN"/>
              </w:rPr>
              <w:t xml:space="preserve">Окончательный проект руководящих указаний по проведению расследований был утвержден Генеральным секретарем. Эти руководящие указания вместе с политикой </w:t>
            </w:r>
            <w:r w:rsidR="008A7D67" w:rsidRPr="00504B77">
              <w:rPr>
                <w:rFonts w:asciiTheme="minorHAnsi" w:hAnsiTheme="minorHAnsi"/>
                <w:lang w:val="ru-RU" w:eastAsia="zh-CN"/>
              </w:rPr>
              <w:t>недопущения мошенничества и другой запрещенной практики находятся в процессе издания в форме служебного приказа</w:t>
            </w:r>
            <w:r w:rsidRPr="00504B77">
              <w:rPr>
                <w:rFonts w:asciiTheme="minorHAnsi" w:hAnsiTheme="minorHAnsi"/>
                <w:lang w:val="ru-RU" w:eastAsia="zh-CN"/>
              </w:rPr>
              <w:t xml:space="preserve"> (</w:t>
            </w:r>
            <w:r w:rsidR="008A7D67" w:rsidRPr="00504B77">
              <w:rPr>
                <w:rFonts w:asciiTheme="minorHAnsi" w:hAnsiTheme="minorHAnsi"/>
                <w:lang w:val="ru-RU" w:eastAsia="zh-CN"/>
              </w:rPr>
              <w:t xml:space="preserve">применение в МСЭ в целом) и составят основу, на которую будут ссылаться инспекторы, включая определение </w:t>
            </w:r>
            <w:r w:rsidR="008A7D67" w:rsidRPr="00504B77">
              <w:rPr>
                <w:rFonts w:asciiTheme="minorHAnsi" w:hAnsiTheme="minorHAnsi"/>
                <w:lang w:val="ru-RU" w:eastAsia="zh-CN"/>
              </w:rPr>
              <w:lastRenderedPageBreak/>
              <w:t>профессиональных следователей</w:t>
            </w:r>
            <w:r w:rsidR="00710C2B" w:rsidRPr="00504B77">
              <w:rPr>
                <w:rFonts w:asciiTheme="minorHAnsi" w:hAnsiTheme="minorHAnsi"/>
                <w:lang w:val="ru-RU" w:eastAsia="zh-CN"/>
              </w:rPr>
              <w:t>, в зав</w:t>
            </w:r>
            <w:r w:rsidR="008A7D67" w:rsidRPr="00504B77">
              <w:rPr>
                <w:rFonts w:asciiTheme="minorHAnsi" w:hAnsiTheme="minorHAnsi"/>
                <w:lang w:val="ru-RU" w:eastAsia="zh-CN"/>
              </w:rPr>
              <w:t>исимости от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lastRenderedPageBreak/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color w:val="2F75B5"/>
                <w:lang w:val="ru-RU" w:eastAsia="zh-CN"/>
              </w:rPr>
            </w:pPr>
            <w:r w:rsidRPr="00504B77">
              <w:rPr>
                <w:lang w:val="ru-RU" w:eastAsia="zh-CN"/>
              </w:rPr>
              <w:t>Совет 2018 г.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188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color w:val="000000"/>
                <w:lang w:val="ru-RU"/>
              </w:rPr>
              <w:t xml:space="preserve">Это позитивное развитие событий должно сопровождаться институционализацией официального механизма, чтобы обеспечить должное внимание со стороны всех руководящих органов к отчетам ОИГ и содержащимся в них рекомендациям, а также к комментариям, подготовленным руководством МСЭ по рекомендациям в адрес как руководящих органов, так и Генерального секретаря. Это обеспечит соблюдение МСЭ положений Статута ОИГ и целого ряда резолюций Генеральной Ассамблеи Организации Объединенных Наций.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ЗГС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Предложение о должном рассмотрении руководящими органами отчетов и рекомендаций ОИГ было внесено и получило поддержку со стороны </w:t>
            </w:r>
            <w:r w:rsidRPr="00504B77">
              <w:rPr>
                <w:color w:val="000000"/>
                <w:lang w:val="ru-RU"/>
              </w:rPr>
              <w:t xml:space="preserve">РГС-ФЛР, отвечающей за все вопросы работы с ОИГ. ЦГ-МСК координирует работу внутреннего механизма рассмотрения всех новых отчетов ОИГ и подготовки рекомендаций со стороны руководства МСЭ по методам их осуществления и направляет полученные ответы на одобрение </w:t>
            </w:r>
            <w:r w:rsidRPr="00504B77">
              <w:rPr>
                <w:lang w:val="ru-RU" w:eastAsia="zh-CN"/>
              </w:rPr>
              <w:t xml:space="preserve">РКГ, а затем – </w:t>
            </w:r>
            <w:r w:rsidRPr="00504B77">
              <w:rPr>
                <w:color w:val="000000"/>
                <w:lang w:val="ru-RU"/>
              </w:rPr>
              <w:t xml:space="preserve">руководящим органам МСЭ.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191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Инспекторы полагают, что в ежегодных отчетах </w:t>
            </w:r>
            <w:r w:rsidRPr="00504B77">
              <w:rPr>
                <w:color w:val="000000"/>
                <w:lang w:val="ru-RU"/>
              </w:rPr>
              <w:t>Подразделения внутреннего аудита следует усилить аналитическую составляющую выводов и заключений. Еще одной возможной мерой по повышению качества может стать проведение комплексного анализа вопросов, затрагиваемых в рекомендациях различных надзорных органов, которые могли бы привлечь внимание к системным проблемам, обеспечить всестороннее выполнение этих рекомендаций и выступить в качестве динамичного средства управления.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IAU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Это было сделано при подготовке отчета к сессии Совета 2016 г. в той мере, в какой это оказалось возможным на основании отчетов об итогах аудиторских проверок за предыдущие годы. Некоторые выводы, возможно, повторяются недостаточно часто для того, чтобы быть репрезентативными. Этот вопрос </w:t>
            </w:r>
            <w:r w:rsidR="0082738C" w:rsidRPr="00504B77">
              <w:rPr>
                <w:lang w:val="ru-RU" w:eastAsia="zh-CN"/>
              </w:rPr>
              <w:t>был повторно</w:t>
            </w:r>
            <w:r w:rsidRPr="00504B77">
              <w:rPr>
                <w:lang w:val="ru-RU" w:eastAsia="zh-CN"/>
              </w:rPr>
              <w:t xml:space="preserve"> рассмотрен при подготовке отчета к сессии Совета 2017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1E35D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t>195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По мнению инспекторов, адресованная Совету рекомендация в отчете ОИГ за 2009 г. "</w:t>
            </w:r>
            <w:r w:rsidRPr="00504B77">
              <w:rPr>
                <w:color w:val="000000"/>
                <w:lang w:val="ru-RU"/>
              </w:rPr>
              <w:t xml:space="preserve">утвердить общий четко сформулированный мандат для регионального присутствия МСЭ с конкретными задачами для региональных отделений" остается в силе. Руководству МСЭ необходимо разработать конкретный круг ведения для каждого регионального </w:t>
            </w:r>
            <w:r w:rsidRPr="00504B77">
              <w:rPr>
                <w:color w:val="000000"/>
                <w:lang w:val="ru-RU"/>
              </w:rPr>
              <w:lastRenderedPageBreak/>
              <w:t>и зонального отделения, определив в нем их соответствующие роли и функции с учетом особенностей их регионов, региональных инициатив, приоритетов и условий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lastRenderedPageBreak/>
              <w:t>КК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Региональное присутствие, равно как и все другие </w:t>
            </w:r>
            <w:r w:rsidRPr="00504B77">
              <w:rPr>
                <w:color w:val="000000"/>
                <w:lang w:val="ru-RU"/>
              </w:rPr>
              <w:t>департаменты штаб-квартиры МСЭ,</w:t>
            </w:r>
            <w:r w:rsidRPr="00504B77">
              <w:rPr>
                <w:lang w:val="ru-RU" w:eastAsia="zh-CN"/>
              </w:rPr>
              <w:t xml:space="preserve"> является составной частью </w:t>
            </w:r>
            <w:r w:rsidRPr="00504B77">
              <w:rPr>
                <w:color w:val="000000"/>
                <w:lang w:val="ru-RU"/>
              </w:rPr>
              <w:t>механизма обеспечения деятельности в рамках новой структуры управления, ориентированного на результат. Определение задач будет проводиться на глобальном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color w:val="2F75B5"/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  <w:tr w:rsidR="00504B77" w:rsidRPr="00504B77" w:rsidTr="00504B7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lang w:val="ru-RU" w:eastAsia="zh-CN"/>
              </w:rPr>
              <w:lastRenderedPageBreak/>
              <w:t>197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По мнению инспекторов, руководству МСЭ следует в дальнейшем доводить анализ достижений и проблем соответствующих подразделений до сведения заинтересованных сторон, чтобы обеспечить возможность в полной мере выявить накопленный опыт и примеры наиболее эффективной практики для их дальнейшего распространения во всех регионах присутствия МСЭ. Это позволит более наглядно продемонстрировать роль регионального присутствия и поможет повысить уровень осведомленности членов МСЭ и степень поддержки с их стороны.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>КК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lang w:val="ru-RU" w:eastAsia="zh-CN"/>
              </w:rPr>
            </w:pPr>
            <w:r w:rsidRPr="00504B77">
              <w:rPr>
                <w:lang w:val="ru-RU" w:eastAsia="zh-CN"/>
              </w:rPr>
              <w:t xml:space="preserve">Отчеты по Резолюции 25 представляются в Совет регулярно.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A66402" w:rsidP="00873005">
            <w:pPr>
              <w:pStyle w:val="Tabletext"/>
              <w:rPr>
                <w:b/>
                <w:lang w:val="ru-RU" w:eastAsia="zh-CN"/>
              </w:rPr>
            </w:pPr>
            <w:r w:rsidRPr="00504B77">
              <w:rPr>
                <w:b/>
                <w:bCs/>
                <w:lang w:val="ru-RU" w:eastAsia="zh-CN"/>
              </w:rPr>
              <w:t>Выполнена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AC" w:rsidRPr="00504B77" w:rsidRDefault="006C1EAC" w:rsidP="00873005">
            <w:pPr>
              <w:pStyle w:val="Tabletext"/>
              <w:rPr>
                <w:color w:val="2F75B5"/>
                <w:lang w:val="ru-RU" w:eastAsia="zh-CN"/>
              </w:rPr>
            </w:pPr>
            <w:r w:rsidRPr="00504B77">
              <w:rPr>
                <w:lang w:val="ru-RU" w:eastAsia="zh-CN"/>
              </w:rPr>
              <w:t>Не применимо</w:t>
            </w:r>
          </w:p>
        </w:tc>
      </w:tr>
    </w:tbl>
    <w:p w:rsidR="004D17F4" w:rsidRPr="00504B77" w:rsidRDefault="006C1EAC" w:rsidP="00504B77">
      <w:pPr>
        <w:spacing w:before="840"/>
        <w:jc w:val="center"/>
        <w:rPr>
          <w:lang w:val="ru-RU"/>
        </w:rPr>
      </w:pPr>
      <w:r w:rsidRPr="00504B77">
        <w:rPr>
          <w:lang w:val="ru-RU"/>
        </w:rPr>
        <w:t>______________</w:t>
      </w:r>
    </w:p>
    <w:sectPr w:rsidR="004D17F4" w:rsidRPr="00504B77" w:rsidSect="00856F36">
      <w:headerReference w:type="default" r:id="rId36"/>
      <w:footerReference w:type="default" r:id="rId37"/>
      <w:headerReference w:type="first" r:id="rId38"/>
      <w:footerReference w:type="first" r:id="rId39"/>
      <w:pgSz w:w="16834" w:h="11907" w:orient="landscape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9F" w:rsidRDefault="00B2059F">
      <w:r>
        <w:separator/>
      </w:r>
    </w:p>
  </w:endnote>
  <w:endnote w:type="continuationSeparator" w:id="0">
    <w:p w:rsidR="00B2059F" w:rsidRDefault="00B2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F" w:rsidRPr="00856F36" w:rsidRDefault="008E7DE0" w:rsidP="00856F36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2059F" w:rsidRPr="00856F36">
      <w:rPr>
        <w:lang w:val="fr-CH"/>
      </w:rPr>
      <w:t>P</w:t>
    </w:r>
    <w:r w:rsidR="00B2059F">
      <w:t>:\RUS\SG\CONSEIL\C18\000\039R.docx</w:t>
    </w:r>
    <w:r>
      <w:fldChar w:fldCharType="end"/>
    </w:r>
    <w:r w:rsidR="00B2059F" w:rsidRPr="003624A0">
      <w:rPr>
        <w:lang w:val="fr-CH"/>
      </w:rPr>
      <w:t xml:space="preserve"> (</w:t>
    </w:r>
    <w:r w:rsidR="00B2059F">
      <w:rPr>
        <w:lang w:val="fr-CH"/>
      </w:rPr>
      <w:t>429720</w:t>
    </w:r>
    <w:r w:rsidR="00B2059F" w:rsidRPr="003624A0">
      <w:rPr>
        <w:lang w:val="fr-CH"/>
      </w:rPr>
      <w:t>)</w:t>
    </w:r>
    <w:r w:rsidR="00B2059F" w:rsidRPr="003624A0">
      <w:rPr>
        <w:lang w:val="fr-CH"/>
      </w:rPr>
      <w:tab/>
    </w:r>
    <w:r w:rsidR="00B2059F">
      <w:fldChar w:fldCharType="begin"/>
    </w:r>
    <w:r w:rsidR="00B2059F">
      <w:instrText xml:space="preserve"> SAVEDATE \@ DD.MM.YY </w:instrText>
    </w:r>
    <w:r w:rsidR="00B2059F">
      <w:fldChar w:fldCharType="separate"/>
    </w:r>
    <w:r w:rsidR="00D54A38">
      <w:t>05.04.18</w:t>
    </w:r>
    <w:r w:rsidR="00B2059F">
      <w:fldChar w:fldCharType="end"/>
    </w:r>
    <w:r w:rsidR="00B2059F" w:rsidRPr="003624A0">
      <w:rPr>
        <w:lang w:val="fr-CH"/>
      </w:rPr>
      <w:tab/>
    </w:r>
    <w:r w:rsidR="00B2059F">
      <w:fldChar w:fldCharType="begin"/>
    </w:r>
    <w:r w:rsidR="00B2059F">
      <w:instrText xml:space="preserve"> PRINTDATE \@ DD.MM.YY </w:instrText>
    </w:r>
    <w:r w:rsidR="00B2059F">
      <w:fldChar w:fldCharType="separate"/>
    </w:r>
    <w:r w:rsidR="00B2059F">
      <w:t>15.03.18</w:t>
    </w:r>
    <w:r w:rsidR="00B2059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F" w:rsidRDefault="00B2059F" w:rsidP="00856F3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2059F" w:rsidRPr="00856F36" w:rsidRDefault="008E7DE0" w:rsidP="00856F36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2059F" w:rsidRPr="00856F36">
      <w:rPr>
        <w:lang w:val="fr-CH"/>
      </w:rPr>
      <w:t>P</w:t>
    </w:r>
    <w:r w:rsidR="00B2059F">
      <w:t>:\RUS\SG\CONSEIL\C18\000\039R.docx</w:t>
    </w:r>
    <w:r>
      <w:fldChar w:fldCharType="end"/>
    </w:r>
    <w:r w:rsidR="00B2059F" w:rsidRPr="003624A0">
      <w:rPr>
        <w:lang w:val="fr-CH"/>
      </w:rPr>
      <w:t xml:space="preserve"> (</w:t>
    </w:r>
    <w:r w:rsidR="00B2059F">
      <w:rPr>
        <w:lang w:val="fr-CH"/>
      </w:rPr>
      <w:t>429720</w:t>
    </w:r>
    <w:r w:rsidR="00B2059F" w:rsidRPr="003624A0">
      <w:rPr>
        <w:lang w:val="fr-CH"/>
      </w:rPr>
      <w:t>)</w:t>
    </w:r>
    <w:r w:rsidR="00B2059F" w:rsidRPr="003624A0">
      <w:rPr>
        <w:lang w:val="fr-CH"/>
      </w:rPr>
      <w:tab/>
    </w:r>
    <w:r w:rsidR="00B2059F">
      <w:fldChar w:fldCharType="begin"/>
    </w:r>
    <w:r w:rsidR="00B2059F">
      <w:instrText xml:space="preserve"> SAVEDATE \@ DD.MM.YY </w:instrText>
    </w:r>
    <w:r w:rsidR="00B2059F">
      <w:fldChar w:fldCharType="separate"/>
    </w:r>
    <w:r w:rsidR="00D54A38">
      <w:t>05.04.18</w:t>
    </w:r>
    <w:r w:rsidR="00B2059F">
      <w:fldChar w:fldCharType="end"/>
    </w:r>
    <w:r w:rsidR="00B2059F" w:rsidRPr="003624A0">
      <w:rPr>
        <w:lang w:val="fr-CH"/>
      </w:rPr>
      <w:tab/>
    </w:r>
    <w:r w:rsidR="00B2059F">
      <w:fldChar w:fldCharType="begin"/>
    </w:r>
    <w:r w:rsidR="00B2059F">
      <w:instrText xml:space="preserve"> PRINTDATE \@ DD.MM.YY </w:instrText>
    </w:r>
    <w:r w:rsidR="00B2059F">
      <w:fldChar w:fldCharType="separate"/>
    </w:r>
    <w:r w:rsidR="00B2059F">
      <w:t>15.03.18</w:t>
    </w:r>
    <w:r w:rsidR="00B205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F" w:rsidRPr="00856F36" w:rsidRDefault="008E7DE0" w:rsidP="00856F36">
    <w:pPr>
      <w:pStyle w:val="Footer"/>
      <w:tabs>
        <w:tab w:val="clear" w:pos="5954"/>
        <w:tab w:val="clear" w:pos="9639"/>
        <w:tab w:val="left" w:pos="9072"/>
        <w:tab w:val="right" w:pos="13892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2059F" w:rsidRPr="00856F36">
      <w:rPr>
        <w:lang w:val="fr-CH"/>
      </w:rPr>
      <w:t>P</w:t>
    </w:r>
    <w:r w:rsidR="00B2059F">
      <w:t>:\RUS\SG\CONSEIL\C18\000\039R.docx</w:t>
    </w:r>
    <w:r>
      <w:fldChar w:fldCharType="end"/>
    </w:r>
    <w:r w:rsidR="00B2059F" w:rsidRPr="008A6E54">
      <w:rPr>
        <w:lang w:val="fr-CH"/>
      </w:rPr>
      <w:t xml:space="preserve"> (</w:t>
    </w:r>
    <w:r w:rsidR="00B2059F">
      <w:rPr>
        <w:lang w:val="fr-CH"/>
      </w:rPr>
      <w:t>429720</w:t>
    </w:r>
    <w:r w:rsidR="00B2059F" w:rsidRPr="008A6E54">
      <w:rPr>
        <w:lang w:val="fr-CH"/>
      </w:rPr>
      <w:t>)</w:t>
    </w:r>
    <w:r w:rsidR="00B2059F" w:rsidRPr="008A6E54">
      <w:rPr>
        <w:lang w:val="fr-CH"/>
      </w:rPr>
      <w:tab/>
    </w:r>
    <w:r w:rsidR="00B2059F">
      <w:fldChar w:fldCharType="begin"/>
    </w:r>
    <w:r w:rsidR="00B2059F">
      <w:instrText xml:space="preserve"> SAVEDATE \@ DD.MM.YY </w:instrText>
    </w:r>
    <w:r w:rsidR="00B2059F">
      <w:fldChar w:fldCharType="separate"/>
    </w:r>
    <w:r w:rsidR="00D54A38">
      <w:t>05.04.18</w:t>
    </w:r>
    <w:r w:rsidR="00B2059F">
      <w:fldChar w:fldCharType="end"/>
    </w:r>
    <w:r w:rsidR="00B2059F" w:rsidRPr="008A6E54">
      <w:rPr>
        <w:lang w:val="fr-CH"/>
      </w:rPr>
      <w:tab/>
    </w:r>
    <w:r w:rsidR="00B2059F">
      <w:fldChar w:fldCharType="begin"/>
    </w:r>
    <w:r w:rsidR="00B2059F">
      <w:instrText xml:space="preserve"> PRINTDATE \@ DD.MM.YY </w:instrText>
    </w:r>
    <w:r w:rsidR="00B2059F">
      <w:fldChar w:fldCharType="separate"/>
    </w:r>
    <w:r w:rsidR="00B2059F">
      <w:t>15.03.18</w:t>
    </w:r>
    <w:r w:rsidR="00B2059F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F" w:rsidRPr="008A6E54" w:rsidRDefault="008E7DE0" w:rsidP="00856F36">
    <w:pPr>
      <w:pStyle w:val="Footer"/>
      <w:tabs>
        <w:tab w:val="clear" w:pos="5954"/>
        <w:tab w:val="clear" w:pos="9639"/>
        <w:tab w:val="left" w:pos="9072"/>
        <w:tab w:val="right" w:pos="13892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2059F" w:rsidRPr="00856F36">
      <w:rPr>
        <w:lang w:val="fr-CH"/>
      </w:rPr>
      <w:t>P</w:t>
    </w:r>
    <w:r w:rsidR="00B2059F">
      <w:t>:\RUS\SG\CONSEIL\C18\000\039R.docx</w:t>
    </w:r>
    <w:r>
      <w:fldChar w:fldCharType="end"/>
    </w:r>
    <w:r w:rsidR="00B2059F" w:rsidRPr="008A6E54">
      <w:rPr>
        <w:lang w:val="fr-CH"/>
      </w:rPr>
      <w:t xml:space="preserve"> (</w:t>
    </w:r>
    <w:r w:rsidR="00B2059F">
      <w:rPr>
        <w:lang w:val="fr-CH"/>
      </w:rPr>
      <w:t>429720</w:t>
    </w:r>
    <w:r w:rsidR="00B2059F" w:rsidRPr="008A6E54">
      <w:rPr>
        <w:lang w:val="fr-CH"/>
      </w:rPr>
      <w:t>)</w:t>
    </w:r>
    <w:r w:rsidR="00B2059F" w:rsidRPr="008A6E54">
      <w:rPr>
        <w:lang w:val="fr-CH"/>
      </w:rPr>
      <w:tab/>
    </w:r>
    <w:r w:rsidR="00B2059F">
      <w:fldChar w:fldCharType="begin"/>
    </w:r>
    <w:r w:rsidR="00B2059F">
      <w:instrText xml:space="preserve"> SAVEDATE \@ DD.MM.YY </w:instrText>
    </w:r>
    <w:r w:rsidR="00B2059F">
      <w:fldChar w:fldCharType="separate"/>
    </w:r>
    <w:r w:rsidR="00D54A38">
      <w:t>05.04.18</w:t>
    </w:r>
    <w:r w:rsidR="00B2059F">
      <w:fldChar w:fldCharType="end"/>
    </w:r>
    <w:r w:rsidR="00B2059F" w:rsidRPr="008A6E54">
      <w:rPr>
        <w:lang w:val="fr-CH"/>
      </w:rPr>
      <w:tab/>
    </w:r>
    <w:r w:rsidR="00B2059F">
      <w:fldChar w:fldCharType="begin"/>
    </w:r>
    <w:r w:rsidR="00B2059F">
      <w:instrText xml:space="preserve"> PRINTDATE \@ DD.MM.YY </w:instrText>
    </w:r>
    <w:r w:rsidR="00B2059F">
      <w:fldChar w:fldCharType="separate"/>
    </w:r>
    <w:r w:rsidR="00B2059F">
      <w:t>15.03.18</w:t>
    </w:r>
    <w:r w:rsidR="00B2059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9F" w:rsidRDefault="00B2059F">
      <w:r>
        <w:t>____________________</w:t>
      </w:r>
    </w:p>
  </w:footnote>
  <w:footnote w:type="continuationSeparator" w:id="0">
    <w:p w:rsidR="00B2059F" w:rsidRDefault="00B2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F" w:rsidRDefault="00B2059F" w:rsidP="00856F36">
    <w:pPr>
      <w:pStyle w:val="Header"/>
    </w:pPr>
    <w:r>
      <w:fldChar w:fldCharType="begin"/>
    </w:r>
    <w:r>
      <w:instrText>PAGE</w:instrText>
    </w:r>
    <w:r>
      <w:fldChar w:fldCharType="separate"/>
    </w:r>
    <w:r w:rsidR="008E7DE0">
      <w:rPr>
        <w:noProof/>
      </w:rPr>
      <w:t>3</w:t>
    </w:r>
    <w:r>
      <w:rPr>
        <w:noProof/>
      </w:rPr>
      <w:fldChar w:fldCharType="end"/>
    </w:r>
  </w:p>
  <w:p w:rsidR="00B2059F" w:rsidRDefault="00B2059F" w:rsidP="00856F36">
    <w:pPr>
      <w:pStyle w:val="Header"/>
    </w:pPr>
    <w:r>
      <w:t>C18/</w:t>
    </w:r>
    <w:r>
      <w:rPr>
        <w:lang w:val="ru-RU"/>
      </w:rPr>
      <w:t>3</w:t>
    </w:r>
    <w:r>
      <w:rPr>
        <w:lang w:val="fr-CH"/>
      </w:rPr>
      <w:t>9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F" w:rsidRDefault="00B2059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E7DE0">
      <w:rPr>
        <w:noProof/>
      </w:rPr>
      <w:t>18</w:t>
    </w:r>
    <w:r>
      <w:rPr>
        <w:noProof/>
      </w:rPr>
      <w:fldChar w:fldCharType="end"/>
    </w:r>
  </w:p>
  <w:p w:rsidR="00B2059F" w:rsidRDefault="00B2059F" w:rsidP="00856F36">
    <w:pPr>
      <w:pStyle w:val="Header"/>
    </w:pPr>
    <w:r>
      <w:t>C18/</w:t>
    </w:r>
    <w:r>
      <w:rPr>
        <w:lang w:val="fr-CH"/>
      </w:rPr>
      <w:t>39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9F" w:rsidRDefault="00B2059F" w:rsidP="00856F36">
    <w:pPr>
      <w:pStyle w:val="Header"/>
    </w:pPr>
    <w:r>
      <w:fldChar w:fldCharType="begin"/>
    </w:r>
    <w:r>
      <w:instrText>PAGE</w:instrText>
    </w:r>
    <w:r>
      <w:fldChar w:fldCharType="separate"/>
    </w:r>
    <w:r w:rsidR="008E7DE0">
      <w:rPr>
        <w:noProof/>
      </w:rPr>
      <w:t>4</w:t>
    </w:r>
    <w:r>
      <w:rPr>
        <w:noProof/>
      </w:rPr>
      <w:fldChar w:fldCharType="end"/>
    </w:r>
  </w:p>
  <w:p w:rsidR="00B2059F" w:rsidRDefault="00B2059F" w:rsidP="00856F36">
    <w:pPr>
      <w:pStyle w:val="Header"/>
    </w:pPr>
    <w:r>
      <w:t>C18/</w:t>
    </w:r>
    <w:r>
      <w:rPr>
        <w:lang w:val="fr-CH"/>
      </w:rPr>
      <w:t>39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B0A29"/>
    <w:multiLevelType w:val="hybridMultilevel"/>
    <w:tmpl w:val="CFCA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E267A"/>
    <w:multiLevelType w:val="hybridMultilevel"/>
    <w:tmpl w:val="CFCA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1B"/>
    <w:rsid w:val="0002183E"/>
    <w:rsid w:val="0003330A"/>
    <w:rsid w:val="000569B4"/>
    <w:rsid w:val="000632C2"/>
    <w:rsid w:val="00080E82"/>
    <w:rsid w:val="000970D8"/>
    <w:rsid w:val="000C3D6C"/>
    <w:rsid w:val="000C5DAE"/>
    <w:rsid w:val="000C6E89"/>
    <w:rsid w:val="000E568E"/>
    <w:rsid w:val="0014734F"/>
    <w:rsid w:val="00151E79"/>
    <w:rsid w:val="00153C28"/>
    <w:rsid w:val="0015710D"/>
    <w:rsid w:val="00163A32"/>
    <w:rsid w:val="00172F05"/>
    <w:rsid w:val="00183392"/>
    <w:rsid w:val="00192B41"/>
    <w:rsid w:val="001B7B09"/>
    <w:rsid w:val="001D52A5"/>
    <w:rsid w:val="001E35DC"/>
    <w:rsid w:val="001E41C3"/>
    <w:rsid w:val="001E6719"/>
    <w:rsid w:val="002151A3"/>
    <w:rsid w:val="00221801"/>
    <w:rsid w:val="00223049"/>
    <w:rsid w:val="00225368"/>
    <w:rsid w:val="00225757"/>
    <w:rsid w:val="00227FF0"/>
    <w:rsid w:val="00291EB6"/>
    <w:rsid w:val="002C200F"/>
    <w:rsid w:val="002D2F57"/>
    <w:rsid w:val="002D4364"/>
    <w:rsid w:val="002D48C5"/>
    <w:rsid w:val="002D7A94"/>
    <w:rsid w:val="00305C8E"/>
    <w:rsid w:val="003073DC"/>
    <w:rsid w:val="0032784D"/>
    <w:rsid w:val="003349CC"/>
    <w:rsid w:val="003C1ED5"/>
    <w:rsid w:val="003C66DE"/>
    <w:rsid w:val="003F0089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4D17F4"/>
    <w:rsid w:val="00501EA8"/>
    <w:rsid w:val="00504B77"/>
    <w:rsid w:val="00504DBC"/>
    <w:rsid w:val="00574F84"/>
    <w:rsid w:val="00576EE7"/>
    <w:rsid w:val="005A64D5"/>
    <w:rsid w:val="005F69B8"/>
    <w:rsid w:val="00600D7F"/>
    <w:rsid w:val="00601994"/>
    <w:rsid w:val="00630B43"/>
    <w:rsid w:val="0063581B"/>
    <w:rsid w:val="00647892"/>
    <w:rsid w:val="0069211B"/>
    <w:rsid w:val="006C1EAC"/>
    <w:rsid w:val="006E0D4B"/>
    <w:rsid w:val="006E2D42"/>
    <w:rsid w:val="006F1EBF"/>
    <w:rsid w:val="00703676"/>
    <w:rsid w:val="00707304"/>
    <w:rsid w:val="00710C2B"/>
    <w:rsid w:val="00713064"/>
    <w:rsid w:val="0071571A"/>
    <w:rsid w:val="00732269"/>
    <w:rsid w:val="00785ABD"/>
    <w:rsid w:val="007A2DD4"/>
    <w:rsid w:val="007D26A2"/>
    <w:rsid w:val="007D38B5"/>
    <w:rsid w:val="007E7EA0"/>
    <w:rsid w:val="00807255"/>
    <w:rsid w:val="0081023E"/>
    <w:rsid w:val="008173AA"/>
    <w:rsid w:val="0082738C"/>
    <w:rsid w:val="00832C15"/>
    <w:rsid w:val="00840A14"/>
    <w:rsid w:val="00856F36"/>
    <w:rsid w:val="00873005"/>
    <w:rsid w:val="00884A11"/>
    <w:rsid w:val="00890911"/>
    <w:rsid w:val="008A6E54"/>
    <w:rsid w:val="008A7D67"/>
    <w:rsid w:val="008B2532"/>
    <w:rsid w:val="008B62B4"/>
    <w:rsid w:val="008D1FDC"/>
    <w:rsid w:val="008D2D7B"/>
    <w:rsid w:val="008E0737"/>
    <w:rsid w:val="008E26B3"/>
    <w:rsid w:val="008E7DE0"/>
    <w:rsid w:val="008F7C2C"/>
    <w:rsid w:val="00921459"/>
    <w:rsid w:val="00935E99"/>
    <w:rsid w:val="00940E96"/>
    <w:rsid w:val="00961BDC"/>
    <w:rsid w:val="009917BC"/>
    <w:rsid w:val="009A6880"/>
    <w:rsid w:val="009B0BAE"/>
    <w:rsid w:val="009C1C89"/>
    <w:rsid w:val="009C5C76"/>
    <w:rsid w:val="009F3448"/>
    <w:rsid w:val="00A01CF9"/>
    <w:rsid w:val="00A57C08"/>
    <w:rsid w:val="00A66402"/>
    <w:rsid w:val="00A71773"/>
    <w:rsid w:val="00AA63B6"/>
    <w:rsid w:val="00AE2C85"/>
    <w:rsid w:val="00B12A37"/>
    <w:rsid w:val="00B2059F"/>
    <w:rsid w:val="00B63EF2"/>
    <w:rsid w:val="00B75C4B"/>
    <w:rsid w:val="00BA7D89"/>
    <w:rsid w:val="00BC0D39"/>
    <w:rsid w:val="00BC7BC0"/>
    <w:rsid w:val="00BD57B7"/>
    <w:rsid w:val="00BE63E2"/>
    <w:rsid w:val="00BE6FA2"/>
    <w:rsid w:val="00C26E2F"/>
    <w:rsid w:val="00C55572"/>
    <w:rsid w:val="00C714E1"/>
    <w:rsid w:val="00CD2009"/>
    <w:rsid w:val="00CD3675"/>
    <w:rsid w:val="00CE3B38"/>
    <w:rsid w:val="00CF629C"/>
    <w:rsid w:val="00D045F9"/>
    <w:rsid w:val="00D32ADD"/>
    <w:rsid w:val="00D37E84"/>
    <w:rsid w:val="00D54A38"/>
    <w:rsid w:val="00D92EEA"/>
    <w:rsid w:val="00DA5D4E"/>
    <w:rsid w:val="00E01754"/>
    <w:rsid w:val="00E05488"/>
    <w:rsid w:val="00E176BA"/>
    <w:rsid w:val="00E3077E"/>
    <w:rsid w:val="00E423EC"/>
    <w:rsid w:val="00E55121"/>
    <w:rsid w:val="00E87549"/>
    <w:rsid w:val="00EB4FCB"/>
    <w:rsid w:val="00EC6BC5"/>
    <w:rsid w:val="00EF41A7"/>
    <w:rsid w:val="00F35898"/>
    <w:rsid w:val="00F5225B"/>
    <w:rsid w:val="00F872AD"/>
    <w:rsid w:val="00FB1E0E"/>
    <w:rsid w:val="00FB652B"/>
    <w:rsid w:val="00FD18D1"/>
    <w:rsid w:val="00FD2D6F"/>
    <w:rsid w:val="00FD4801"/>
    <w:rsid w:val="00FE5701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AAAD3A9-B9E6-48D6-9742-CB88B074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04B77"/>
    <w:pPr>
      <w:keepNext/>
      <w:keepLines/>
      <w:spacing w:before="48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504B7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rFonts w:ascii="Calibri" w:hAnsi="Calibri"/>
      <w:i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0C6E89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0C6E89"/>
    <w:rPr>
      <w:rFonts w:ascii="Tahoma" w:eastAsia="SimSu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C6E89"/>
  </w:style>
  <w:style w:type="paragraph" w:styleId="NormalWeb">
    <w:name w:val="Normal (Web)"/>
    <w:basedOn w:val="Normal"/>
    <w:uiPriority w:val="99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50" w:line="348" w:lineRule="auto"/>
      <w:textAlignment w:val="auto"/>
    </w:pPr>
    <w:rPr>
      <w:rFonts w:ascii="Times New Roman" w:eastAsia="SimSun" w:hAnsi="Times New Roman"/>
      <w:color w:val="303030"/>
      <w:sz w:val="24"/>
      <w:szCs w:val="24"/>
      <w:lang w:val="en-US" w:eastAsia="zh-CN"/>
    </w:rPr>
  </w:style>
  <w:style w:type="character" w:styleId="Strong">
    <w:name w:val="Strong"/>
    <w:uiPriority w:val="22"/>
    <w:qFormat/>
    <w:rsid w:val="000C6E89"/>
    <w:rPr>
      <w:b/>
      <w:bCs/>
    </w:rPr>
  </w:style>
  <w:style w:type="character" w:styleId="CommentReference">
    <w:name w:val="annotation reference"/>
    <w:semiHidden/>
    <w:rsid w:val="000C6E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0C6E89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C6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6E89"/>
    <w:rPr>
      <w:rFonts w:ascii="Arial" w:eastAsia="SimSun" w:hAnsi="Arial"/>
      <w:b/>
      <w:bCs/>
    </w:rPr>
  </w:style>
  <w:style w:type="character" w:customStyle="1" w:styleId="stdnobr">
    <w:name w:val="std nobr"/>
    <w:basedOn w:val="DefaultParagraphFont"/>
    <w:rsid w:val="000C6E89"/>
  </w:style>
  <w:style w:type="paragraph" w:styleId="ListParagraph">
    <w:name w:val="List Paragraph"/>
    <w:basedOn w:val="Normal"/>
    <w:uiPriority w:val="34"/>
    <w:qFormat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Arial" w:eastAsia="SimSun" w:hAnsi="Arial"/>
      <w:szCs w:val="24"/>
      <w:lang w:val="en-US" w:eastAsia="zh-CN"/>
    </w:rPr>
  </w:style>
  <w:style w:type="character" w:customStyle="1" w:styleId="Heading3Char">
    <w:name w:val="Heading 3 Char"/>
    <w:link w:val="Heading3"/>
    <w:uiPriority w:val="9"/>
    <w:rsid w:val="000C6E89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0C6E89"/>
  </w:style>
  <w:style w:type="character" w:styleId="Emphasis">
    <w:name w:val="Emphasis"/>
    <w:uiPriority w:val="20"/>
    <w:qFormat/>
    <w:rsid w:val="000C6E89"/>
    <w:rPr>
      <w:i/>
      <w:iCs/>
    </w:rPr>
  </w:style>
  <w:style w:type="paragraph" w:styleId="Revision">
    <w:name w:val="Revision"/>
    <w:hidden/>
    <w:uiPriority w:val="99"/>
    <w:semiHidden/>
    <w:rsid w:val="000C6E89"/>
    <w:rPr>
      <w:rFonts w:ascii="Arial" w:eastAsia="SimSun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504B77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0C6E89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04B77"/>
    <w:rPr>
      <w:rFonts w:ascii="Calibri" w:hAnsi="Calibri"/>
      <w:b/>
      <w:sz w:val="22"/>
      <w:lang w:val="en-GB" w:eastAsia="en-US"/>
    </w:rPr>
  </w:style>
  <w:style w:type="paragraph" w:customStyle="1" w:styleId="text-sm-justify">
    <w:name w:val="text-sm-justify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icon">
    <w:name w:val="icon"/>
    <w:basedOn w:val="DefaultParagraphFont"/>
    <w:rsid w:val="000C6E89"/>
  </w:style>
  <w:style w:type="paragraph" w:styleId="NoSpacing">
    <w:name w:val="No Spacing"/>
    <w:uiPriority w:val="1"/>
    <w:qFormat/>
    <w:rsid w:val="000C6E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0C6E89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xl65">
    <w:name w:val="xl65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2"/>
      <w:lang w:val="en-US" w:eastAsia="zh-CN"/>
    </w:rPr>
  </w:style>
  <w:style w:type="paragraph" w:customStyle="1" w:styleId="xl66">
    <w:name w:val="xl66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67">
    <w:name w:val="xl67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68">
    <w:name w:val="xl68"/>
    <w:basedOn w:val="Normal"/>
    <w:rsid w:val="000C6E8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2"/>
      <w:lang w:val="en-US" w:eastAsia="zh-CN"/>
    </w:rPr>
  </w:style>
  <w:style w:type="paragraph" w:customStyle="1" w:styleId="xl69">
    <w:name w:val="xl69"/>
    <w:basedOn w:val="Normal"/>
    <w:rsid w:val="000C6E8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2"/>
      <w:lang w:val="en-US" w:eastAsia="zh-CN"/>
    </w:rPr>
  </w:style>
  <w:style w:type="paragraph" w:customStyle="1" w:styleId="xl70">
    <w:name w:val="xl70"/>
    <w:basedOn w:val="Normal"/>
    <w:rsid w:val="000C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2"/>
      <w:lang w:val="en-US" w:eastAsia="zh-CN"/>
    </w:rPr>
  </w:style>
  <w:style w:type="paragraph" w:customStyle="1" w:styleId="xl71">
    <w:name w:val="xl71"/>
    <w:basedOn w:val="Normal"/>
    <w:rsid w:val="000C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2"/>
      <w:lang w:val="en-US" w:eastAsia="zh-CN"/>
    </w:rPr>
  </w:style>
  <w:style w:type="paragraph" w:customStyle="1" w:styleId="xl72">
    <w:name w:val="xl72"/>
    <w:basedOn w:val="Normal"/>
    <w:rsid w:val="000C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2"/>
      <w:lang w:val="en-US" w:eastAsia="zh-CN"/>
    </w:rPr>
  </w:style>
  <w:style w:type="paragraph" w:customStyle="1" w:styleId="xl73">
    <w:name w:val="xl73"/>
    <w:basedOn w:val="Normal"/>
    <w:rsid w:val="000C6E89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2"/>
      <w:lang w:val="en-US" w:eastAsia="zh-CN"/>
    </w:rPr>
  </w:style>
  <w:style w:type="paragraph" w:customStyle="1" w:styleId="xl74">
    <w:name w:val="xl74"/>
    <w:basedOn w:val="Normal"/>
    <w:rsid w:val="000C6E89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2"/>
      <w:lang w:val="en-US" w:eastAsia="zh-CN"/>
    </w:rPr>
  </w:style>
  <w:style w:type="paragraph" w:customStyle="1" w:styleId="xl75">
    <w:name w:val="xl75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2"/>
      <w:lang w:val="en-US" w:eastAsia="zh-CN"/>
    </w:rPr>
  </w:style>
  <w:style w:type="paragraph" w:customStyle="1" w:styleId="xl76">
    <w:name w:val="xl76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2"/>
      <w:lang w:val="en-US" w:eastAsia="zh-CN"/>
    </w:rPr>
  </w:style>
  <w:style w:type="paragraph" w:customStyle="1" w:styleId="xl77">
    <w:name w:val="xl77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2"/>
      <w:lang w:val="en-US" w:eastAsia="zh-CN"/>
    </w:rPr>
  </w:style>
  <w:style w:type="paragraph" w:customStyle="1" w:styleId="xl78">
    <w:name w:val="xl78"/>
    <w:basedOn w:val="Normal"/>
    <w:rsid w:val="000C6E89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79">
    <w:name w:val="xl79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80">
    <w:name w:val="xl80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81">
    <w:name w:val="xl81"/>
    <w:basedOn w:val="Normal"/>
    <w:rsid w:val="000C6E89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82">
    <w:name w:val="xl82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83">
    <w:name w:val="xl83"/>
    <w:basedOn w:val="Normal"/>
    <w:rsid w:val="000C6E89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2"/>
      <w:lang w:val="en-US" w:eastAsia="zh-CN"/>
    </w:rPr>
  </w:style>
  <w:style w:type="paragraph" w:customStyle="1" w:styleId="xl84">
    <w:name w:val="xl84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70C0"/>
      <w:szCs w:val="22"/>
      <w:lang w:val="en-US" w:eastAsia="zh-CN"/>
    </w:rPr>
  </w:style>
  <w:style w:type="paragraph" w:customStyle="1" w:styleId="xl85">
    <w:name w:val="xl85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86">
    <w:name w:val="xl86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paragraph" w:customStyle="1" w:styleId="xl87">
    <w:name w:val="xl87"/>
    <w:basedOn w:val="Normal"/>
    <w:rsid w:val="000C6E8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2"/>
      <w:lang w:val="en-US" w:eastAsia="zh-CN"/>
    </w:rPr>
  </w:style>
  <w:style w:type="paragraph" w:customStyle="1" w:styleId="xl88">
    <w:name w:val="xl88"/>
    <w:basedOn w:val="Normal"/>
    <w:rsid w:val="000C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2"/>
      <w:lang w:val="en-US" w:eastAsia="zh-CN"/>
    </w:rPr>
  </w:style>
  <w:style w:type="paragraph" w:customStyle="1" w:styleId="xl89">
    <w:name w:val="xl89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2"/>
      <w:lang w:val="en-US" w:eastAsia="zh-CN"/>
    </w:rPr>
  </w:style>
  <w:style w:type="paragraph" w:customStyle="1" w:styleId="xl90">
    <w:name w:val="xl90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2"/>
      <w:lang w:val="en-US" w:eastAsia="zh-CN"/>
    </w:rPr>
  </w:style>
  <w:style w:type="paragraph" w:customStyle="1" w:styleId="xl91">
    <w:name w:val="xl91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2"/>
      <w:u w:val="single"/>
      <w:lang w:val="en-US" w:eastAsia="zh-CN"/>
    </w:rPr>
  </w:style>
  <w:style w:type="paragraph" w:customStyle="1" w:styleId="xl92">
    <w:name w:val="xl92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2"/>
      <w:lang w:val="en-US" w:eastAsia="zh-CN"/>
    </w:rPr>
  </w:style>
  <w:style w:type="paragraph" w:customStyle="1" w:styleId="xl93">
    <w:name w:val="xl93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FF0000"/>
      <w:szCs w:val="22"/>
      <w:lang w:val="en-US" w:eastAsia="zh-CN"/>
    </w:rPr>
  </w:style>
  <w:style w:type="paragraph" w:customStyle="1" w:styleId="xl94">
    <w:name w:val="xl94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2"/>
      <w:lang w:val="en-US" w:eastAsia="zh-CN"/>
    </w:rPr>
  </w:style>
  <w:style w:type="paragraph" w:customStyle="1" w:styleId="xl95">
    <w:name w:val="xl95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B0F0"/>
      <w:szCs w:val="22"/>
      <w:lang w:val="en-US" w:eastAsia="zh-CN"/>
    </w:rPr>
  </w:style>
  <w:style w:type="paragraph" w:customStyle="1" w:styleId="xl96">
    <w:name w:val="xl96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2"/>
      <w:lang w:val="en-US" w:eastAsia="zh-CN"/>
    </w:rPr>
  </w:style>
  <w:style w:type="paragraph" w:customStyle="1" w:styleId="xl97">
    <w:name w:val="xl97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2"/>
      <w:lang w:val="en-US" w:eastAsia="zh-CN"/>
    </w:rPr>
  </w:style>
  <w:style w:type="paragraph" w:customStyle="1" w:styleId="xl98">
    <w:name w:val="xl98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2"/>
      <w:lang w:val="en-US" w:eastAsia="zh-CN"/>
    </w:rPr>
  </w:style>
  <w:style w:type="paragraph" w:customStyle="1" w:styleId="xl99">
    <w:name w:val="xl99"/>
    <w:basedOn w:val="Normal"/>
    <w:rsid w:val="000C6E89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2"/>
      <w:lang w:val="en-US" w:eastAsia="zh-CN"/>
    </w:rPr>
  </w:style>
  <w:style w:type="paragraph" w:customStyle="1" w:styleId="xl100">
    <w:name w:val="xl100"/>
    <w:basedOn w:val="Normal"/>
    <w:rsid w:val="000C6E89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2"/>
      <w:lang w:val="en-US" w:eastAsia="zh-CN"/>
    </w:rPr>
  </w:style>
  <w:style w:type="paragraph" w:customStyle="1" w:styleId="xl101">
    <w:name w:val="xl101"/>
    <w:basedOn w:val="Normal"/>
    <w:rsid w:val="000C6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Cs w:val="22"/>
      <w:lang w:val="en-US" w:eastAsia="zh-CN"/>
    </w:rPr>
  </w:style>
  <w:style w:type="paragraph" w:customStyle="1" w:styleId="xl63">
    <w:name w:val="xl63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2"/>
      <w:lang w:val="en-US" w:eastAsia="zh-CN"/>
    </w:rPr>
  </w:style>
  <w:style w:type="paragraph" w:customStyle="1" w:styleId="xl64">
    <w:name w:val="xl64"/>
    <w:basedOn w:val="Normal"/>
    <w:rsid w:val="000C6E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C6E89"/>
    <w:rPr>
      <w:rFonts w:ascii="Calibri" w:hAnsi="Calibri"/>
      <w:sz w:val="18"/>
      <w:lang w:val="fr-FR" w:eastAsia="en-US"/>
    </w:rPr>
  </w:style>
  <w:style w:type="table" w:styleId="GridTable1Light-Accent1">
    <w:name w:val="Grid Table 1 Light Accent 1"/>
    <w:basedOn w:val="TableNormal"/>
    <w:uiPriority w:val="46"/>
    <w:rsid w:val="000C6E89"/>
    <w:rPr>
      <w:rFonts w:ascii="Times New Roman" w:eastAsia="SimSun" w:hAnsi="Times New Roman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iu.org/en/reports-notes/JIU%20Products/JIU_REP_2016_1_English.pdf" TargetMode="External"/><Relationship Id="rId13" Type="http://schemas.openxmlformats.org/officeDocument/2006/relationships/hyperlink" Target="https://www.itu.int/md/S17-CL-C-0049/en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itu.int/md/S17-CL-C-0074/en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038/en" TargetMode="External"/><Relationship Id="rId34" Type="http://schemas.openxmlformats.org/officeDocument/2006/relationships/hyperlink" Target="https://www.itu.int/md/S17-CL-C-003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6-CL-C-0049/en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itu.int/md/S17-CL-C-0073/en" TargetMode="External"/><Relationship Id="rId33" Type="http://schemas.openxmlformats.org/officeDocument/2006/relationships/hyperlink" Target="http://www.itu.int/en/council/Pages/mcg.aspx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www.itu.int/md/S17-CL-C-0010/en" TargetMode="External"/><Relationship Id="rId29" Type="http://schemas.openxmlformats.org/officeDocument/2006/relationships/hyperlink" Target="https://www.itu.int/md/S17-CL-C-0053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6-CL-C-0049/en" TargetMode="External"/><Relationship Id="rId24" Type="http://schemas.openxmlformats.org/officeDocument/2006/relationships/hyperlink" Target="http://www.itu.int/md/S16-CLCWGFHRM6-C-0011/en" TargetMode="External"/><Relationship Id="rId32" Type="http://schemas.openxmlformats.org/officeDocument/2006/relationships/hyperlink" Target="http://www.itu.int/en/council/Pages/coco.aspx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hyperlink" Target="https://www.itu.int/md/S17-CL-C-0067/en" TargetMode="External"/><Relationship Id="rId28" Type="http://schemas.openxmlformats.org/officeDocument/2006/relationships/hyperlink" Target="https://www.itu.int/md/S17-CL-C-0053/en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itu.int/md/S16-CL-C-0067/en" TargetMode="External"/><Relationship Id="rId19" Type="http://schemas.openxmlformats.org/officeDocument/2006/relationships/hyperlink" Target="https://www.itu.int/md/S17-CL-C-0045/en" TargetMode="External"/><Relationship Id="rId31" Type="http://schemas.openxmlformats.org/officeDocument/2006/relationships/hyperlink" Target="https://www.itu.int/md/S17-CL-C-002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49/en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s://www.itu.int/md/S17-CL-C-0064/en" TargetMode="External"/><Relationship Id="rId27" Type="http://schemas.openxmlformats.org/officeDocument/2006/relationships/hyperlink" Target="https://www.itu.int/md/S17-CL-C-0053/en" TargetMode="External"/><Relationship Id="rId30" Type="http://schemas.openxmlformats.org/officeDocument/2006/relationships/hyperlink" Target="https://www.itu.int/md/S17-CL-C-0053/en" TargetMode="External"/><Relationship Id="rId35" Type="http://schemas.openxmlformats.org/officeDocument/2006/relationships/hyperlink" Target="https://www.itu.int/md/S17-CL-C-005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СТАТУС ВЫПОЛНЕНИЯ ОФИЦИАЛЬНЫХ РЕКОМЕНДАЦИЙ ОИГ</a:t>
            </a:r>
            <a:endParaRPr lang="en-GB" sz="10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788699852407396"/>
          <c:y val="0.19249726107427251"/>
          <c:w val="0.40471616555719386"/>
          <c:h val="0.6735747039595215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3383CB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649B3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8.9518331973673704E-2"/>
                  <c:y val="-0.1027314806514864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0"/>
                      <a:t>1; </a:t>
                    </a:r>
                    <a:fld id="{2EBFBFB8-E265-4138-ACDA-F88FAF23AA67}" type="PERCENTAGE">
                      <a:rPr lang="en-US" b="0"/>
                      <a:pPr>
                        <a:defRPr b="0"/>
                      </a:pPr>
                      <a:t>[PERCENTAGE]</a:t>
                    </a:fld>
                    <a:endParaRPr lang="en-US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3885464836067272"/>
                  <c:y val="-5.6193987781144393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0"/>
                      <a:t>11; </a:t>
                    </a:r>
                    <a:fld id="{215CC831-68C3-4B58-ABCD-2E123AC9F51D}" type="PERCENTAGE">
                      <a:rPr lang="en-US" b="0"/>
                      <a:pPr>
                        <a:defRPr b="0"/>
                      </a:pPr>
                      <a:t>[PERCENTAGE]</a:t>
                    </a:fld>
                    <a:endParaRPr lang="en-US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Направлено на рассмотрение ПК-18</c:v>
                </c:pt>
                <c:pt idx="1">
                  <c:v>Выполнено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807120940868307"/>
          <c:y val="0.34173719964967564"/>
          <c:w val="0.25504079595684342"/>
          <c:h val="0.419149448424210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112</TotalTime>
  <Pages>19</Pages>
  <Words>4570</Words>
  <Characters>32769</Characters>
  <Application>Microsoft Office Word</Application>
  <DocSecurity>0</DocSecurity>
  <Lines>273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37265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15</cp:revision>
  <cp:lastPrinted>2018-03-15T13:11:00Z</cp:lastPrinted>
  <dcterms:created xsi:type="dcterms:W3CDTF">2018-04-03T14:03:00Z</dcterms:created>
  <dcterms:modified xsi:type="dcterms:W3CDTF">2018-04-05T08:46:00Z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