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290728" w:rsidP="00FE7FCA">
            <w:pPr>
              <w:spacing w:before="160"/>
              <w:jc w:val="left"/>
              <w:rPr>
                <w:b/>
                <w:bCs/>
                <w:lang w:bidi="ar-EG"/>
              </w:rPr>
            </w:pPr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ال‍مجلس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2018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27-17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أبريل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2018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E708AE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E708AE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E708AE">
        <w:trPr>
          <w:cantSplit/>
        </w:trPr>
        <w:tc>
          <w:tcPr>
            <w:tcW w:w="6620" w:type="dxa"/>
          </w:tcPr>
          <w:p w:rsidR="00290728" w:rsidRPr="005A3170" w:rsidRDefault="00BB4BB3" w:rsidP="004C0583">
            <w:pPr>
              <w:spacing w:before="20" w:after="20" w:line="300" w:lineRule="exact"/>
              <w:rPr>
                <w:b/>
                <w:bCs/>
                <w:highlight w:val="yellow"/>
                <w:lang w:bidi="ar-EG"/>
              </w:rPr>
            </w:pPr>
            <w:r w:rsidRPr="00BB4BB3">
              <w:rPr>
                <w:rFonts w:hint="cs"/>
                <w:b/>
                <w:bCs/>
                <w:rtl/>
                <w:lang w:bidi="ar-EG"/>
              </w:rPr>
              <w:t xml:space="preserve">بند جدول الأعمال: </w:t>
            </w:r>
            <w:r w:rsidRPr="00BB4BB3">
              <w:rPr>
                <w:b/>
                <w:bCs/>
                <w:lang w:bidi="ar-EG"/>
              </w:rPr>
              <w:t>ADM</w:t>
            </w:r>
            <w:r w:rsidR="004C0583">
              <w:rPr>
                <w:b/>
                <w:bCs/>
                <w:lang w:bidi="ar-EG"/>
              </w:rPr>
              <w:t> </w:t>
            </w:r>
            <w:r w:rsidRPr="00BB4BB3">
              <w:rPr>
                <w:b/>
                <w:bCs/>
                <w:lang w:bidi="ar-EG"/>
              </w:rPr>
              <w:t>16</w:t>
            </w:r>
          </w:p>
        </w:tc>
        <w:tc>
          <w:tcPr>
            <w:tcW w:w="3052" w:type="dxa"/>
            <w:vAlign w:val="center"/>
          </w:tcPr>
          <w:p w:rsidR="00290728" w:rsidRPr="00290728" w:rsidRDefault="00BB4BB3" w:rsidP="004C0583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BB4BB3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BB4BB3">
              <w:rPr>
                <w:b/>
                <w:bCs/>
                <w:lang w:bidi="ar-EG"/>
              </w:rPr>
              <w:t>C18/38-A</w:t>
            </w:r>
          </w:p>
        </w:tc>
      </w:tr>
      <w:tr w:rsidR="00290728" w:rsidRPr="00290728" w:rsidTr="00E708AE">
        <w:trPr>
          <w:cantSplit/>
        </w:trPr>
        <w:tc>
          <w:tcPr>
            <w:tcW w:w="6620" w:type="dxa"/>
          </w:tcPr>
          <w:p w:rsidR="00290728" w:rsidRPr="00290728" w:rsidRDefault="00290728" w:rsidP="004C0583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BB4BB3" w:rsidP="004C0583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BB4BB3">
              <w:rPr>
                <w:b/>
                <w:bCs/>
                <w:lang w:bidi="ar-SY"/>
              </w:rPr>
              <w:t>8</w:t>
            </w:r>
            <w:r w:rsidRPr="00BB4BB3">
              <w:rPr>
                <w:rFonts w:hint="cs"/>
                <w:b/>
                <w:bCs/>
                <w:rtl/>
                <w:lang w:bidi="ar-EG"/>
              </w:rPr>
              <w:t xml:space="preserve"> مارس </w:t>
            </w:r>
            <w:r w:rsidRPr="00BB4BB3">
              <w:rPr>
                <w:b/>
                <w:bCs/>
                <w:lang w:bidi="ar-SY"/>
              </w:rPr>
              <w:t>2018</w:t>
            </w:r>
          </w:p>
        </w:tc>
      </w:tr>
      <w:tr w:rsidR="00290728" w:rsidRPr="00290728" w:rsidTr="00E708AE">
        <w:trPr>
          <w:cantSplit/>
        </w:trPr>
        <w:tc>
          <w:tcPr>
            <w:tcW w:w="6620" w:type="dxa"/>
          </w:tcPr>
          <w:p w:rsidR="00290728" w:rsidRPr="0069200F" w:rsidRDefault="00290728" w:rsidP="004C0583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BB4BB3" w:rsidP="004C0583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BB4BB3">
              <w:rPr>
                <w:b/>
                <w:bCs/>
                <w:rtl/>
                <w:lang w:bidi="ar-EG"/>
              </w:rPr>
              <w:t xml:space="preserve">الأصل: </w:t>
            </w:r>
            <w:r w:rsidRPr="00BB4BB3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:rsidTr="00E708AE">
        <w:trPr>
          <w:cantSplit/>
        </w:trPr>
        <w:tc>
          <w:tcPr>
            <w:tcW w:w="9672" w:type="dxa"/>
            <w:gridSpan w:val="2"/>
          </w:tcPr>
          <w:p w:rsidR="00290728" w:rsidRPr="00290728" w:rsidRDefault="00BB4BB3" w:rsidP="00BB4BB3">
            <w:pPr>
              <w:pStyle w:val="Source"/>
              <w:rPr>
                <w:rtl/>
                <w:lang w:bidi="ar-SY"/>
              </w:rPr>
            </w:pPr>
            <w:r w:rsidRPr="00BB4BB3">
              <w:rPr>
                <w:rFonts w:hint="cs"/>
                <w:rtl/>
              </w:rPr>
              <w:t>تقرير من الأمين العام</w:t>
            </w:r>
          </w:p>
        </w:tc>
      </w:tr>
      <w:tr w:rsidR="00290728" w:rsidRPr="00290728" w:rsidTr="00E708AE">
        <w:trPr>
          <w:cantSplit/>
        </w:trPr>
        <w:tc>
          <w:tcPr>
            <w:tcW w:w="9672" w:type="dxa"/>
            <w:gridSpan w:val="2"/>
          </w:tcPr>
          <w:p w:rsidR="00290728" w:rsidRPr="00383829" w:rsidRDefault="00BB4BB3" w:rsidP="00BB4BB3">
            <w:pPr>
              <w:pStyle w:val="Title1"/>
              <w:rPr>
                <w:rtl/>
              </w:rPr>
            </w:pPr>
            <w:r w:rsidRPr="00BB4BB3">
              <w:rPr>
                <w:rtl/>
              </w:rPr>
              <w:t xml:space="preserve">تقرير عن تنفيذ القرار </w:t>
            </w:r>
            <w:r w:rsidRPr="00BB4BB3">
              <w:t>191</w:t>
            </w:r>
            <w:r w:rsidRPr="00BB4BB3">
              <w:rPr>
                <w:rtl/>
              </w:rPr>
              <w:t xml:space="preserve"> (بوسان، </w:t>
            </w:r>
            <w:r w:rsidRPr="00BB4BB3">
              <w:t>2014</w:t>
            </w:r>
            <w:r w:rsidRPr="00BB4BB3">
              <w:rPr>
                <w:rtl/>
              </w:rPr>
              <w:t>)</w:t>
            </w:r>
            <w:r w:rsidRPr="00BB4BB3">
              <w:rPr>
                <w:rtl/>
              </w:rPr>
              <w:br/>
              <w:t>"استراتيجية تنسيق الجهود بين قطاعات الاتحاد الثلاثة"</w:t>
            </w:r>
          </w:p>
        </w:tc>
      </w:tr>
      <w:tr w:rsidR="00A6683B" w:rsidRPr="00290728" w:rsidTr="00E708AE">
        <w:trPr>
          <w:cantSplit/>
        </w:trPr>
        <w:tc>
          <w:tcPr>
            <w:tcW w:w="9672" w:type="dxa"/>
            <w:gridSpan w:val="2"/>
          </w:tcPr>
          <w:p w:rsidR="00A6683B" w:rsidRPr="00383829" w:rsidRDefault="00A6683B" w:rsidP="00383829">
            <w:pPr>
              <w:pStyle w:val="Title2"/>
              <w:framePr w:hSpace="0" w:wrap="auto" w:yAlign="inline"/>
              <w:rPr>
                <w:rtl/>
                <w:lang w:bidi="ar-EG"/>
              </w:rPr>
            </w:pPr>
          </w:p>
        </w:tc>
      </w:tr>
    </w:tbl>
    <w:p w:rsidR="00BB4BB3" w:rsidRPr="000E4FF0" w:rsidRDefault="00BB4BB3" w:rsidP="00BB4BB3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</w:pPr>
    </w:p>
    <w:tbl>
      <w:tblPr>
        <w:tblStyle w:val="TableGrid"/>
        <w:bidiVisual/>
        <w:tblW w:w="8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BB4BB3" w:rsidRPr="000E4FF0" w:rsidTr="00E708AE">
        <w:trPr>
          <w:jc w:val="center"/>
        </w:trPr>
        <w:tc>
          <w:tcPr>
            <w:tcW w:w="7230" w:type="dxa"/>
          </w:tcPr>
          <w:p w:rsidR="00BB4BB3" w:rsidRPr="000E4FF0" w:rsidRDefault="00BB4BB3" w:rsidP="00E708A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b/>
                <w:bCs/>
                <w:rtl/>
                <w:lang w:bidi="ar-SY"/>
              </w:rPr>
            </w:pPr>
            <w:r w:rsidRPr="000E4FF0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:rsidR="00BB4BB3" w:rsidRPr="000E4FF0" w:rsidRDefault="00BB4BB3" w:rsidP="00E708A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lang w:bidi="ar-SY"/>
              </w:rPr>
            </w:pPr>
            <w:r w:rsidRPr="00A4011E">
              <w:rPr>
                <w:rFonts w:hint="cs"/>
                <w:rtl/>
              </w:rPr>
              <w:t>تعرض</w:t>
            </w:r>
            <w:r w:rsidRPr="00A4011E">
              <w:rPr>
                <w:rFonts w:hint="cs"/>
                <w:rtl/>
                <w:lang w:bidi="ar-LB"/>
              </w:rPr>
              <w:t xml:space="preserve"> هذه الوثيقة تقرير</w:t>
            </w:r>
            <w:r w:rsidRPr="00A4011E">
              <w:rPr>
                <w:rFonts w:hint="cs"/>
                <w:rtl/>
                <w:lang w:bidi="ar-EG"/>
              </w:rPr>
              <w:t>اً</w:t>
            </w:r>
            <w:r w:rsidRPr="00A4011E">
              <w:rPr>
                <w:rFonts w:hint="cs"/>
                <w:rtl/>
                <w:lang w:bidi="ar-LB"/>
              </w:rPr>
              <w:t xml:space="preserve"> بشأن تنفيذ القرار </w:t>
            </w:r>
            <w:r w:rsidRPr="00A4011E">
              <w:rPr>
                <w:lang w:bidi="ar-SY"/>
              </w:rPr>
              <w:t>191</w:t>
            </w:r>
            <w:r w:rsidRPr="00A4011E">
              <w:rPr>
                <w:rFonts w:hint="cs"/>
                <w:rtl/>
              </w:rPr>
              <w:t xml:space="preserve"> (بوسان، </w:t>
            </w:r>
            <w:r w:rsidRPr="00A4011E">
              <w:rPr>
                <w:lang w:bidi="ar-SY"/>
              </w:rPr>
              <w:t>2014</w:t>
            </w:r>
            <w:r w:rsidRPr="00A4011E">
              <w:rPr>
                <w:rFonts w:hint="cs"/>
                <w:rtl/>
              </w:rPr>
              <w:t>) المتعلق ب</w:t>
            </w:r>
            <w:r w:rsidRPr="00A4011E">
              <w:rPr>
                <w:rFonts w:hint="eastAsia"/>
                <w:rtl/>
              </w:rPr>
              <w:t>استراتيجية</w:t>
            </w:r>
            <w:r w:rsidRPr="00A4011E">
              <w:rPr>
                <w:rtl/>
              </w:rPr>
              <w:t xml:space="preserve"> </w:t>
            </w:r>
            <w:r w:rsidRPr="00A4011E">
              <w:rPr>
                <w:rFonts w:hint="eastAsia"/>
                <w:rtl/>
              </w:rPr>
              <w:t>تنسيق</w:t>
            </w:r>
            <w:r w:rsidRPr="00A4011E">
              <w:rPr>
                <w:rtl/>
              </w:rPr>
              <w:t xml:space="preserve"> </w:t>
            </w:r>
            <w:r w:rsidRPr="00A4011E">
              <w:rPr>
                <w:rFonts w:hint="eastAsia"/>
                <w:rtl/>
              </w:rPr>
              <w:t>الجهود</w:t>
            </w:r>
            <w:r w:rsidRPr="00A4011E">
              <w:rPr>
                <w:rtl/>
              </w:rPr>
              <w:t xml:space="preserve"> </w:t>
            </w:r>
            <w:r w:rsidRPr="00A4011E">
              <w:rPr>
                <w:rFonts w:hint="eastAsia"/>
                <w:rtl/>
              </w:rPr>
              <w:t>بين</w:t>
            </w:r>
            <w:r w:rsidRPr="00A4011E">
              <w:rPr>
                <w:rtl/>
              </w:rPr>
              <w:t xml:space="preserve"> </w:t>
            </w:r>
            <w:r w:rsidRPr="00A4011E">
              <w:rPr>
                <w:rFonts w:hint="eastAsia"/>
                <w:rtl/>
              </w:rPr>
              <w:t>قطاعات</w:t>
            </w:r>
            <w:r w:rsidRPr="00A4011E">
              <w:rPr>
                <w:rtl/>
              </w:rPr>
              <w:t xml:space="preserve"> </w:t>
            </w:r>
            <w:r w:rsidRPr="00A4011E">
              <w:rPr>
                <w:rFonts w:hint="eastAsia"/>
                <w:rtl/>
              </w:rPr>
              <w:t>الاتحاد</w:t>
            </w:r>
            <w:r w:rsidRPr="00A4011E">
              <w:rPr>
                <w:rtl/>
              </w:rPr>
              <w:t xml:space="preserve"> </w:t>
            </w:r>
            <w:r w:rsidRPr="00A4011E">
              <w:rPr>
                <w:rFonts w:hint="eastAsia"/>
                <w:rtl/>
              </w:rPr>
              <w:t>الثلاثة</w:t>
            </w:r>
            <w:r w:rsidRPr="00A4011E">
              <w:rPr>
                <w:rFonts w:hint="cs"/>
                <w:rtl/>
              </w:rPr>
              <w:t>.</w:t>
            </w:r>
          </w:p>
          <w:p w:rsidR="00BB4BB3" w:rsidRPr="000E4FF0" w:rsidRDefault="00BB4BB3" w:rsidP="00E708A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b/>
                <w:bCs/>
                <w:rtl/>
                <w:lang w:bidi="ar-SY"/>
              </w:rPr>
            </w:pPr>
            <w:r w:rsidRPr="000E4FF0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:rsidR="00BB4BB3" w:rsidRPr="000E4FF0" w:rsidRDefault="00BB4BB3" w:rsidP="00E708A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tl/>
                <w:lang w:bidi="ar-SY"/>
              </w:rPr>
            </w:pPr>
            <w:r w:rsidRPr="00A4011E">
              <w:rPr>
                <w:rFonts w:hint="cs"/>
                <w:rtl/>
              </w:rPr>
              <w:t xml:space="preserve">يرجى من المجلس </w:t>
            </w:r>
            <w:r w:rsidRPr="00A4011E">
              <w:rPr>
                <w:rFonts w:hint="cs"/>
                <w:b/>
                <w:bCs/>
                <w:rtl/>
              </w:rPr>
              <w:t>الإحاطة علماً</w:t>
            </w:r>
            <w:r w:rsidRPr="00A4011E">
              <w:rPr>
                <w:rFonts w:hint="cs"/>
                <w:rtl/>
              </w:rPr>
              <w:t xml:space="preserve"> بهذا التقرير.</w:t>
            </w:r>
          </w:p>
          <w:p w:rsidR="00BB4BB3" w:rsidRPr="000E4FF0" w:rsidRDefault="00BB4BB3" w:rsidP="00E708A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rPr>
                <w:rtl/>
                <w:lang w:bidi="ar-SY"/>
              </w:rPr>
            </w:pPr>
            <w:r w:rsidRPr="000E4FF0">
              <w:rPr>
                <w:rFonts w:hint="cs"/>
                <w:rtl/>
                <w:lang w:bidi="ar-SY"/>
              </w:rPr>
              <w:t>_________</w:t>
            </w:r>
          </w:p>
          <w:p w:rsidR="00BB4BB3" w:rsidRPr="000E4FF0" w:rsidRDefault="00BB4BB3" w:rsidP="00E708A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b/>
                <w:bCs/>
                <w:rtl/>
                <w:lang w:bidi="ar-SY"/>
              </w:rPr>
            </w:pPr>
            <w:r w:rsidRPr="000E4FF0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:rsidR="00BB4BB3" w:rsidRPr="000E4FF0" w:rsidRDefault="00D06EC0" w:rsidP="00E708A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jc w:val="left"/>
              <w:rPr>
                <w:i/>
                <w:iCs/>
                <w:rtl/>
                <w:lang w:bidi="ar-SY"/>
              </w:rPr>
            </w:pPr>
            <w:hyperlink r:id="rId9" w:history="1">
              <w:r w:rsidR="00BB4BB3" w:rsidRPr="008C7143">
                <w:rPr>
                  <w:rStyle w:val="Hyperlink"/>
                  <w:rFonts w:hint="cs"/>
                  <w:i/>
                  <w:iCs/>
                  <w:rtl/>
                </w:rPr>
                <w:t xml:space="preserve">القرار </w:t>
              </w:r>
              <w:r w:rsidR="00BB4BB3" w:rsidRPr="008C7143">
                <w:rPr>
                  <w:rStyle w:val="Hyperlink"/>
                  <w:i/>
                  <w:iCs/>
                  <w:lang w:bidi="ar-SY"/>
                </w:rPr>
                <w:t>191</w:t>
              </w:r>
              <w:r w:rsidR="00BB4BB3" w:rsidRPr="008C7143">
                <w:rPr>
                  <w:rStyle w:val="Hyperlink"/>
                  <w:rFonts w:hint="cs"/>
                  <w:i/>
                  <w:iCs/>
                  <w:rtl/>
                </w:rPr>
                <w:t xml:space="preserve"> (المراجَع في بوسان، </w:t>
              </w:r>
              <w:r w:rsidR="00BB4BB3" w:rsidRPr="008C7143">
                <w:rPr>
                  <w:rStyle w:val="Hyperlink"/>
                  <w:i/>
                  <w:iCs/>
                  <w:lang w:bidi="ar-SY"/>
                </w:rPr>
                <w:t>2014</w:t>
              </w:r>
              <w:r w:rsidR="00BB4BB3" w:rsidRPr="008C7143">
                <w:rPr>
                  <w:rStyle w:val="Hyperlink"/>
                  <w:rFonts w:hint="cs"/>
                  <w:i/>
                  <w:iCs/>
                  <w:rtl/>
                </w:rPr>
                <w:t>)</w:t>
              </w:r>
            </w:hyperlink>
          </w:p>
        </w:tc>
      </w:tr>
    </w:tbl>
    <w:p w:rsidR="00BB4BB3" w:rsidRPr="00A63202" w:rsidRDefault="00BB4BB3" w:rsidP="00BB4BB3">
      <w:pPr>
        <w:pStyle w:val="Heading1"/>
        <w:rPr>
          <w:rtl/>
        </w:rPr>
      </w:pPr>
      <w:r>
        <w:t>1</w:t>
      </w:r>
      <w:r w:rsidRPr="00A63202">
        <w:rPr>
          <w:rtl/>
        </w:rPr>
        <w:tab/>
      </w:r>
      <w:r>
        <w:rPr>
          <w:rFonts w:hint="cs"/>
          <w:rtl/>
        </w:rPr>
        <w:t>خلفية</w:t>
      </w:r>
    </w:p>
    <w:p w:rsidR="00BB4BB3" w:rsidRPr="00A63202" w:rsidRDefault="00BB4BB3" w:rsidP="00BB4BB3">
      <w:pPr>
        <w:rPr>
          <w:rtl/>
          <w:lang w:val="fr-CH"/>
        </w:rPr>
      </w:pPr>
      <w:proofErr w:type="gramStart"/>
      <w:r w:rsidRPr="00A63202">
        <w:rPr>
          <w:bCs/>
        </w:rPr>
        <w:t>1</w:t>
      </w:r>
      <w:r w:rsidRPr="00A63202">
        <w:rPr>
          <w:bCs/>
          <w:lang w:val="fr-CH"/>
        </w:rPr>
        <w:t>.1</w:t>
      </w:r>
      <w:proofErr w:type="gramEnd"/>
      <w:r w:rsidRPr="00A63202">
        <w:rPr>
          <w:bCs/>
          <w:rtl/>
          <w:lang w:bidi="ar-LB"/>
        </w:rPr>
        <w:tab/>
      </w:r>
      <w:r w:rsidRPr="00A63202">
        <w:rPr>
          <w:rFonts w:hint="cs"/>
          <w:rtl/>
        </w:rPr>
        <w:t xml:space="preserve">اعتمد مؤتمر المندوبين المفوضين لعام </w:t>
      </w:r>
      <w:r>
        <w:t>(PP-14) </w:t>
      </w:r>
      <w:r w:rsidRPr="00A63202">
        <w:rPr>
          <w:lang w:val="fr-CH"/>
        </w:rPr>
        <w:t>2014</w:t>
      </w:r>
      <w:r w:rsidRPr="00A63202">
        <w:rPr>
          <w:rFonts w:hint="cs"/>
          <w:rtl/>
          <w:lang w:val="fr-CH"/>
        </w:rPr>
        <w:t xml:space="preserve"> القرار </w:t>
      </w:r>
      <w:r w:rsidRPr="00A63202">
        <w:rPr>
          <w:lang w:val="fr-CH"/>
        </w:rPr>
        <w:t>191</w:t>
      </w:r>
      <w:r w:rsidRPr="00A63202">
        <w:rPr>
          <w:rFonts w:hint="cs"/>
          <w:rtl/>
          <w:lang w:val="fr-CH"/>
        </w:rPr>
        <w:t xml:space="preserve"> (بوسان، </w:t>
      </w:r>
      <w:r w:rsidRPr="00A63202">
        <w:rPr>
          <w:lang w:val="fr-CH"/>
        </w:rPr>
        <w:t>2014</w:t>
      </w:r>
      <w:r w:rsidRPr="00A63202">
        <w:rPr>
          <w:rFonts w:hint="cs"/>
          <w:rtl/>
          <w:lang w:val="fr-CH"/>
        </w:rPr>
        <w:t>) بشأن "</w:t>
      </w:r>
      <w:r w:rsidRPr="00A63202">
        <w:rPr>
          <w:rFonts w:hint="eastAsia"/>
          <w:rtl/>
          <w:lang w:val="fr-CH"/>
        </w:rPr>
        <w:t>استراتيجية</w:t>
      </w:r>
      <w:r w:rsidRPr="00A63202">
        <w:rPr>
          <w:rtl/>
          <w:lang w:val="fr-CH"/>
        </w:rPr>
        <w:t xml:space="preserve"> </w:t>
      </w:r>
      <w:r w:rsidRPr="00A63202">
        <w:rPr>
          <w:rFonts w:hint="eastAsia"/>
          <w:rtl/>
          <w:lang w:val="fr-CH"/>
        </w:rPr>
        <w:t>تنسيق</w:t>
      </w:r>
      <w:r w:rsidRPr="00A63202">
        <w:rPr>
          <w:rtl/>
          <w:lang w:val="fr-CH"/>
        </w:rPr>
        <w:t xml:space="preserve"> </w:t>
      </w:r>
      <w:r w:rsidRPr="00A63202">
        <w:rPr>
          <w:rFonts w:hint="eastAsia"/>
          <w:rtl/>
          <w:lang w:val="fr-CH"/>
        </w:rPr>
        <w:t>الجهود</w:t>
      </w:r>
      <w:r w:rsidRPr="00A63202">
        <w:rPr>
          <w:rtl/>
          <w:lang w:val="fr-CH"/>
        </w:rPr>
        <w:t xml:space="preserve"> </w:t>
      </w:r>
      <w:r w:rsidRPr="00A63202">
        <w:rPr>
          <w:rFonts w:hint="eastAsia"/>
          <w:rtl/>
          <w:lang w:val="fr-CH"/>
        </w:rPr>
        <w:t>بين</w:t>
      </w:r>
      <w:r w:rsidRPr="00A63202">
        <w:rPr>
          <w:rtl/>
          <w:lang w:val="fr-CH"/>
        </w:rPr>
        <w:t xml:space="preserve"> </w:t>
      </w:r>
      <w:r w:rsidRPr="00A63202">
        <w:rPr>
          <w:rFonts w:hint="eastAsia"/>
          <w:rtl/>
          <w:lang w:val="fr-CH"/>
        </w:rPr>
        <w:t>قطاعات</w:t>
      </w:r>
      <w:r w:rsidRPr="00A63202">
        <w:rPr>
          <w:rtl/>
          <w:lang w:val="fr-CH"/>
        </w:rPr>
        <w:t xml:space="preserve"> </w:t>
      </w:r>
      <w:r w:rsidRPr="00A63202">
        <w:rPr>
          <w:rFonts w:hint="eastAsia"/>
          <w:rtl/>
          <w:lang w:val="fr-CH"/>
        </w:rPr>
        <w:t>الاتحاد</w:t>
      </w:r>
      <w:r>
        <w:rPr>
          <w:rFonts w:hint="cs"/>
          <w:rtl/>
        </w:rPr>
        <w:t> </w:t>
      </w:r>
      <w:r w:rsidRPr="00A63202">
        <w:rPr>
          <w:rFonts w:hint="eastAsia"/>
          <w:rtl/>
          <w:lang w:val="fr-CH"/>
        </w:rPr>
        <w:t>الثلاثة</w:t>
      </w:r>
      <w:r w:rsidRPr="00A63202">
        <w:rPr>
          <w:rFonts w:hint="cs"/>
          <w:rtl/>
          <w:lang w:val="fr-CH"/>
        </w:rPr>
        <w:t>".</w:t>
      </w:r>
    </w:p>
    <w:p w:rsidR="00BB4BB3" w:rsidRPr="00A63202" w:rsidRDefault="00BB4BB3" w:rsidP="00BB4BB3">
      <w:pPr>
        <w:rPr>
          <w:rtl/>
        </w:rPr>
      </w:pPr>
      <w:proofErr w:type="gramStart"/>
      <w:r w:rsidRPr="00A63202">
        <w:t>2.1</w:t>
      </w:r>
      <w:proofErr w:type="gramEnd"/>
      <w:r w:rsidRPr="00A63202">
        <w:rPr>
          <w:rFonts w:hint="cs"/>
          <w:rtl/>
        </w:rPr>
        <w:tab/>
      </w:r>
      <w:r w:rsidRPr="00A63202">
        <w:rPr>
          <w:rFonts w:hint="cs"/>
          <w:spacing w:val="2"/>
          <w:rtl/>
          <w:lang w:bidi="ar-SY"/>
        </w:rPr>
        <w:t>و</w:t>
      </w:r>
      <w:r w:rsidRPr="00A63202">
        <w:rPr>
          <w:rFonts w:hint="cs"/>
          <w:i/>
          <w:iCs/>
          <w:spacing w:val="2"/>
          <w:rtl/>
          <w:lang w:bidi="ar-SY"/>
        </w:rPr>
        <w:t>يكلف</w:t>
      </w:r>
      <w:r w:rsidRPr="00A63202">
        <w:rPr>
          <w:rFonts w:hint="cs"/>
          <w:spacing w:val="2"/>
          <w:rtl/>
          <w:lang w:bidi="ar-SY"/>
        </w:rPr>
        <w:t xml:space="preserve"> القرار</w:t>
      </w:r>
      <w:r w:rsidRPr="00A63202">
        <w:rPr>
          <w:rFonts w:hint="cs"/>
          <w:rtl/>
        </w:rPr>
        <w:t xml:space="preserve"> الأمين العام بضمان </w:t>
      </w:r>
      <w:r w:rsidRPr="00A63202">
        <w:rPr>
          <w:rFonts w:hint="eastAsia"/>
          <w:rtl/>
        </w:rPr>
        <w:t>وضع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استراتيجية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للتنسيق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والتعاون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توخيا</w:t>
      </w:r>
      <w:r w:rsidRPr="00A63202">
        <w:rPr>
          <w:rFonts w:hint="cs"/>
          <w:rtl/>
        </w:rPr>
        <w:t xml:space="preserve">ً </w:t>
      </w:r>
      <w:r w:rsidRPr="00A63202">
        <w:rPr>
          <w:rFonts w:hint="eastAsia"/>
          <w:rtl/>
        </w:rPr>
        <w:t>لفعالية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وكفاءة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الجهود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في</w:t>
      </w:r>
      <w:r>
        <w:rPr>
          <w:rFonts w:hint="cs"/>
          <w:rtl/>
        </w:rPr>
        <w:t> </w:t>
      </w:r>
      <w:r w:rsidRPr="00A63202">
        <w:rPr>
          <w:rFonts w:hint="cs"/>
          <w:rtl/>
        </w:rPr>
        <w:t>المجالات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ذات</w:t>
      </w:r>
      <w:r>
        <w:rPr>
          <w:rFonts w:hint="cs"/>
          <w:rtl/>
        </w:rPr>
        <w:t> </w:t>
      </w:r>
      <w:r w:rsidRPr="00A63202">
        <w:rPr>
          <w:rFonts w:hint="eastAsia"/>
          <w:rtl/>
        </w:rPr>
        <w:t>الاهتمام</w:t>
      </w:r>
      <w:r w:rsidRPr="00A63202">
        <w:rPr>
          <w:rFonts w:hint="cs"/>
          <w:rtl/>
        </w:rPr>
        <w:t xml:space="preserve"> </w:t>
      </w:r>
      <w:r w:rsidRPr="00A63202">
        <w:rPr>
          <w:rFonts w:hint="eastAsia"/>
          <w:rtl/>
        </w:rPr>
        <w:t>المشترك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لقطاعات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الاتحاد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الثلاثة،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بغية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تجنب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ازدواجية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الجهود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وتحقيق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الاستخدام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الأمثل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للموارد؛</w:t>
      </w:r>
      <w:r w:rsidRPr="00A63202">
        <w:rPr>
          <w:rFonts w:hint="cs"/>
          <w:rtl/>
        </w:rPr>
        <w:t xml:space="preserve"> و</w:t>
      </w:r>
      <w:r w:rsidRPr="00A63202">
        <w:rPr>
          <w:rFonts w:hint="eastAsia"/>
          <w:rtl/>
        </w:rPr>
        <w:t>بضمان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إعداد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قائمة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محد</w:t>
      </w:r>
      <w:r w:rsidR="007F1407">
        <w:rPr>
          <w:rFonts w:hint="cs"/>
          <w:rtl/>
        </w:rPr>
        <w:t>َّ</w:t>
      </w:r>
      <w:r w:rsidRPr="00A63202">
        <w:rPr>
          <w:rFonts w:hint="eastAsia"/>
          <w:rtl/>
        </w:rPr>
        <w:t>ثة</w:t>
      </w:r>
      <w:r w:rsidRPr="00A63202">
        <w:rPr>
          <w:rtl/>
        </w:rPr>
        <w:t xml:space="preserve"> </w:t>
      </w:r>
      <w:r w:rsidRPr="00A63202">
        <w:rPr>
          <w:rFonts w:hint="cs"/>
          <w:rtl/>
        </w:rPr>
        <w:t>تتضمن</w:t>
      </w:r>
      <w:r w:rsidRPr="00A63202">
        <w:rPr>
          <w:rtl/>
        </w:rPr>
        <w:t xml:space="preserve"> </w:t>
      </w:r>
      <w:r w:rsidRPr="00A63202">
        <w:rPr>
          <w:rFonts w:hint="cs"/>
          <w:rtl/>
        </w:rPr>
        <w:t>المجالات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ذات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الاهتمام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المشترك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للقطاعات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الثلاثة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وفقا</w:t>
      </w:r>
      <w:r w:rsidRPr="00A63202">
        <w:rPr>
          <w:rFonts w:hint="cs"/>
          <w:rtl/>
        </w:rPr>
        <w:t xml:space="preserve">ً </w:t>
      </w:r>
      <w:r w:rsidRPr="00A63202">
        <w:rPr>
          <w:rFonts w:hint="eastAsia"/>
          <w:rtl/>
        </w:rPr>
        <w:t>لولاية كل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جمعية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ومؤتمر</w:t>
      </w:r>
      <w:r w:rsidRPr="00A63202">
        <w:rPr>
          <w:rFonts w:hint="cs"/>
          <w:rtl/>
        </w:rPr>
        <w:t> </w:t>
      </w:r>
      <w:r w:rsidRPr="00A63202">
        <w:rPr>
          <w:rFonts w:hint="eastAsia"/>
          <w:rtl/>
        </w:rPr>
        <w:t>للاتحاد</w:t>
      </w:r>
      <w:r w:rsidRPr="00A63202">
        <w:rPr>
          <w:rFonts w:hint="cs"/>
          <w:rtl/>
        </w:rPr>
        <w:t>.</w:t>
      </w:r>
    </w:p>
    <w:p w:rsidR="00BB4BB3" w:rsidRPr="00A63202" w:rsidRDefault="00BB4BB3" w:rsidP="004C0583">
      <w:pPr>
        <w:rPr>
          <w:rtl/>
        </w:rPr>
      </w:pPr>
      <w:proofErr w:type="gramStart"/>
      <w:r w:rsidRPr="00A63202">
        <w:t>3</w:t>
      </w:r>
      <w:r w:rsidRPr="00A63202">
        <w:rPr>
          <w:lang w:val="fr-CH"/>
        </w:rPr>
        <w:t>.1</w:t>
      </w:r>
      <w:proofErr w:type="gramEnd"/>
      <w:r w:rsidRPr="00A63202">
        <w:rPr>
          <w:rFonts w:hint="cs"/>
          <w:rtl/>
        </w:rPr>
        <w:tab/>
        <w:t xml:space="preserve">وفضلاً عن ذلك، </w:t>
      </w:r>
      <w:r w:rsidRPr="00A63202">
        <w:rPr>
          <w:rFonts w:hint="cs"/>
          <w:i/>
          <w:iCs/>
          <w:rtl/>
        </w:rPr>
        <w:t>يكلف</w:t>
      </w:r>
      <w:r w:rsidRPr="00A63202">
        <w:rPr>
          <w:rFonts w:hint="cs"/>
          <w:rtl/>
        </w:rPr>
        <w:t xml:space="preserve"> القرار مديري المكاتب </w:t>
      </w:r>
      <w:r w:rsidRPr="00A63202">
        <w:rPr>
          <w:rFonts w:hint="eastAsia"/>
          <w:rtl/>
        </w:rPr>
        <w:t>بضمان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إدراج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التنسيق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مع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القطاعين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الآخرين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في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جداول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أعمال</w:t>
      </w:r>
      <w:r w:rsidRPr="00A63202">
        <w:rPr>
          <w:rFonts w:hint="cs"/>
          <w:rtl/>
        </w:rPr>
        <w:t xml:space="preserve"> </w:t>
      </w:r>
      <w:r w:rsidRPr="00A63202">
        <w:rPr>
          <w:rFonts w:hint="eastAsia"/>
          <w:rtl/>
        </w:rPr>
        <w:t>كل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من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الأفرقة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الاستشارية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المعنية</w:t>
      </w:r>
      <w:r w:rsidRPr="00A63202">
        <w:rPr>
          <w:rFonts w:hint="cs"/>
          <w:rtl/>
        </w:rPr>
        <w:t xml:space="preserve"> </w:t>
      </w:r>
      <w:r w:rsidRPr="00A63202">
        <w:rPr>
          <w:rFonts w:hint="eastAsia"/>
          <w:rtl/>
        </w:rPr>
        <w:t>بحيث</w:t>
      </w:r>
      <w:r w:rsidRPr="00A63202">
        <w:rPr>
          <w:rFonts w:hint="cs"/>
          <w:rtl/>
        </w:rPr>
        <w:t xml:space="preserve"> ت</w:t>
      </w:r>
      <w:r w:rsidRPr="00A63202">
        <w:rPr>
          <w:rFonts w:hint="eastAsia"/>
          <w:rtl/>
        </w:rPr>
        <w:t>ُقترح</w:t>
      </w:r>
      <w:r w:rsidRPr="00A63202">
        <w:rPr>
          <w:rFonts w:hint="cs"/>
          <w:rtl/>
        </w:rPr>
        <w:t xml:space="preserve"> اس</w:t>
      </w:r>
      <w:r w:rsidRPr="00A63202">
        <w:rPr>
          <w:rFonts w:hint="eastAsia"/>
          <w:rtl/>
        </w:rPr>
        <w:t>تراتيجيات</w:t>
      </w:r>
      <w:r w:rsidRPr="00A63202">
        <w:rPr>
          <w:rtl/>
        </w:rPr>
        <w:t xml:space="preserve"> </w:t>
      </w:r>
      <w:r w:rsidR="004C0583">
        <w:rPr>
          <w:rFonts w:hint="cs"/>
          <w:rtl/>
        </w:rPr>
        <w:t>وتدابير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لتحقيق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التطوير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الأمثل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للمجالات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ذات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الاهتمام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المشترك</w:t>
      </w:r>
      <w:r w:rsidRPr="00A63202">
        <w:rPr>
          <w:rFonts w:hint="cs"/>
          <w:rtl/>
        </w:rPr>
        <w:t>؛ وب</w:t>
      </w:r>
      <w:r w:rsidRPr="00A63202">
        <w:rPr>
          <w:rFonts w:hint="eastAsia"/>
          <w:rtl/>
          <w:lang w:val="fr-CH"/>
        </w:rPr>
        <w:t>تقديم</w:t>
      </w:r>
      <w:r w:rsidRPr="00A63202">
        <w:rPr>
          <w:rtl/>
          <w:lang w:val="fr-CH"/>
        </w:rPr>
        <w:t xml:space="preserve"> </w:t>
      </w:r>
      <w:r w:rsidRPr="00A63202">
        <w:rPr>
          <w:rFonts w:hint="eastAsia"/>
          <w:rtl/>
          <w:lang w:val="fr-CH"/>
        </w:rPr>
        <w:t>الدعم</w:t>
      </w:r>
      <w:r w:rsidRPr="00A63202">
        <w:rPr>
          <w:rtl/>
          <w:lang w:val="fr-CH"/>
        </w:rPr>
        <w:t xml:space="preserve"> </w:t>
      </w:r>
      <w:r w:rsidRPr="00A63202">
        <w:rPr>
          <w:rFonts w:hint="eastAsia"/>
          <w:rtl/>
          <w:lang w:val="fr-CH"/>
        </w:rPr>
        <w:t>إلى</w:t>
      </w:r>
      <w:r w:rsidRPr="00A63202">
        <w:rPr>
          <w:rtl/>
          <w:lang w:val="fr-CH"/>
        </w:rPr>
        <w:t xml:space="preserve"> </w:t>
      </w:r>
      <w:r w:rsidRPr="00A63202">
        <w:rPr>
          <w:rFonts w:hint="eastAsia"/>
          <w:rtl/>
          <w:lang w:val="fr-CH"/>
        </w:rPr>
        <w:t>الأفرقة</w:t>
      </w:r>
      <w:r w:rsidRPr="00A63202">
        <w:rPr>
          <w:rtl/>
          <w:lang w:val="fr-CH"/>
        </w:rPr>
        <w:t xml:space="preserve"> </w:t>
      </w:r>
      <w:r w:rsidRPr="00A63202">
        <w:rPr>
          <w:rFonts w:hint="eastAsia"/>
          <w:rtl/>
          <w:lang w:val="fr-CH"/>
        </w:rPr>
        <w:t>الاستشارية</w:t>
      </w:r>
      <w:r w:rsidRPr="00A63202">
        <w:rPr>
          <w:rtl/>
          <w:lang w:val="fr-CH"/>
        </w:rPr>
        <w:t xml:space="preserve"> </w:t>
      </w:r>
      <w:r w:rsidRPr="00A63202">
        <w:rPr>
          <w:rFonts w:hint="eastAsia"/>
          <w:rtl/>
          <w:lang w:val="fr-CH"/>
        </w:rPr>
        <w:t>للقطاعات</w:t>
      </w:r>
      <w:r w:rsidRPr="00A63202">
        <w:rPr>
          <w:rtl/>
          <w:lang w:val="fr-CH"/>
        </w:rPr>
        <w:t xml:space="preserve"> </w:t>
      </w:r>
      <w:r w:rsidRPr="00A63202">
        <w:rPr>
          <w:rFonts w:hint="eastAsia"/>
          <w:rtl/>
          <w:lang w:val="fr-CH"/>
        </w:rPr>
        <w:t>في</w:t>
      </w:r>
      <w:r w:rsidRPr="00A63202">
        <w:rPr>
          <w:rtl/>
          <w:lang w:val="fr-CH"/>
        </w:rPr>
        <w:t xml:space="preserve"> </w:t>
      </w:r>
      <w:r w:rsidRPr="00A63202">
        <w:rPr>
          <w:rFonts w:hint="eastAsia"/>
          <w:rtl/>
          <w:lang w:val="fr-CH"/>
        </w:rPr>
        <w:t>أنشطة</w:t>
      </w:r>
      <w:r w:rsidRPr="00A63202">
        <w:rPr>
          <w:rtl/>
          <w:lang w:val="fr-CH"/>
        </w:rPr>
        <w:t xml:space="preserve"> </w:t>
      </w:r>
      <w:r w:rsidRPr="00A63202">
        <w:rPr>
          <w:rFonts w:hint="eastAsia"/>
          <w:rtl/>
          <w:lang w:val="fr-CH"/>
        </w:rPr>
        <w:t>التنسيق</w:t>
      </w:r>
      <w:r w:rsidRPr="00A63202">
        <w:rPr>
          <w:rtl/>
          <w:lang w:val="fr-CH"/>
        </w:rPr>
        <w:t xml:space="preserve"> </w:t>
      </w:r>
      <w:r w:rsidRPr="00A63202">
        <w:rPr>
          <w:rFonts w:hint="eastAsia"/>
          <w:rtl/>
          <w:lang w:val="fr-CH"/>
        </w:rPr>
        <w:t>بين</w:t>
      </w:r>
      <w:r w:rsidRPr="00A63202">
        <w:rPr>
          <w:rtl/>
          <w:lang w:val="fr-CH"/>
        </w:rPr>
        <w:t xml:space="preserve"> </w:t>
      </w:r>
      <w:r w:rsidRPr="00A63202">
        <w:rPr>
          <w:rFonts w:hint="eastAsia"/>
          <w:rtl/>
          <w:lang w:val="fr-CH"/>
        </w:rPr>
        <w:t>القطاعات</w:t>
      </w:r>
      <w:r w:rsidRPr="00A63202">
        <w:rPr>
          <w:rtl/>
          <w:lang w:val="fr-CH"/>
        </w:rPr>
        <w:t xml:space="preserve"> </w:t>
      </w:r>
      <w:r w:rsidRPr="00A63202">
        <w:rPr>
          <w:rFonts w:hint="eastAsia"/>
          <w:rtl/>
          <w:lang w:val="fr-CH"/>
        </w:rPr>
        <w:t>في</w:t>
      </w:r>
      <w:r w:rsidRPr="00A63202">
        <w:rPr>
          <w:rtl/>
          <w:lang w:val="fr-CH"/>
        </w:rPr>
        <w:t xml:space="preserve"> </w:t>
      </w:r>
      <w:r w:rsidRPr="00A63202">
        <w:rPr>
          <w:rFonts w:hint="cs"/>
          <w:rtl/>
          <w:lang w:val="fr-CH"/>
        </w:rPr>
        <w:t>المجالات ذات الاهتمام</w:t>
      </w:r>
      <w:r w:rsidRPr="00A63202">
        <w:rPr>
          <w:rFonts w:hint="cs"/>
          <w:rtl/>
        </w:rPr>
        <w:t> </w:t>
      </w:r>
      <w:r w:rsidRPr="00A63202">
        <w:rPr>
          <w:rFonts w:hint="cs"/>
          <w:rtl/>
          <w:lang w:val="fr-CH"/>
        </w:rPr>
        <w:t>المشترك</w:t>
      </w:r>
      <w:r w:rsidRPr="00A63202">
        <w:rPr>
          <w:rFonts w:hint="cs"/>
          <w:rtl/>
        </w:rPr>
        <w:t>.</w:t>
      </w:r>
    </w:p>
    <w:p w:rsidR="00BB4BB3" w:rsidRPr="00A63202" w:rsidRDefault="00BB4BB3" w:rsidP="00BB4BB3">
      <w:pPr>
        <w:rPr>
          <w:rtl/>
        </w:rPr>
      </w:pPr>
      <w:proofErr w:type="gramStart"/>
      <w:r w:rsidRPr="00A63202">
        <w:lastRenderedPageBreak/>
        <w:t>4.1</w:t>
      </w:r>
      <w:proofErr w:type="gramEnd"/>
      <w:r w:rsidRPr="00A63202">
        <w:rPr>
          <w:rFonts w:hint="cs"/>
          <w:rtl/>
        </w:rPr>
        <w:tab/>
        <w:t xml:space="preserve">كما </w:t>
      </w:r>
      <w:r w:rsidRPr="00A63202">
        <w:rPr>
          <w:rFonts w:hint="cs"/>
          <w:i/>
          <w:iCs/>
          <w:rtl/>
        </w:rPr>
        <w:t>يكلف</w:t>
      </w:r>
      <w:r w:rsidRPr="00A63202">
        <w:rPr>
          <w:rFonts w:hint="cs"/>
          <w:rtl/>
        </w:rPr>
        <w:t xml:space="preserve"> القرار الأمين العام ومديري المكاتب ب</w:t>
      </w:r>
      <w:r w:rsidRPr="00A63202">
        <w:rPr>
          <w:rFonts w:hint="eastAsia"/>
          <w:rtl/>
        </w:rPr>
        <w:t>ضمان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تقديم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تقارير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إلى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المجلس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عن</w:t>
      </w:r>
      <w:r w:rsidRPr="00A63202">
        <w:rPr>
          <w:rtl/>
        </w:rPr>
        <w:t xml:space="preserve"> </w:t>
      </w:r>
      <w:r>
        <w:rPr>
          <w:rFonts w:hint="cs"/>
          <w:rtl/>
        </w:rPr>
        <w:t>أنشطة التنسيق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المنفذة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بين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القطاعات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المختلفة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في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كل</w:t>
      </w:r>
      <w:r w:rsidRPr="00A63202">
        <w:rPr>
          <w:rFonts w:hint="cs"/>
          <w:rtl/>
        </w:rPr>
        <w:t xml:space="preserve"> </w:t>
      </w:r>
      <w:r w:rsidRPr="00A63202">
        <w:rPr>
          <w:rFonts w:hint="eastAsia"/>
          <w:rtl/>
        </w:rPr>
        <w:t>مجال</w:t>
      </w:r>
      <w:r w:rsidRPr="00A63202">
        <w:rPr>
          <w:rtl/>
        </w:rPr>
        <w:t xml:space="preserve"> </w:t>
      </w:r>
      <w:r w:rsidRPr="00A63202">
        <w:rPr>
          <w:rFonts w:hint="cs"/>
          <w:rtl/>
        </w:rPr>
        <w:t>من هذه المجالات</w:t>
      </w:r>
      <w:r w:rsidRPr="00A63202">
        <w:rPr>
          <w:rFonts w:hint="eastAsia"/>
          <w:rtl/>
        </w:rPr>
        <w:t>،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فضل</w:t>
      </w:r>
      <w:r w:rsidRPr="00A63202">
        <w:rPr>
          <w:rFonts w:hint="cs"/>
          <w:rtl/>
        </w:rPr>
        <w:t xml:space="preserve">اً </w:t>
      </w:r>
      <w:r w:rsidRPr="00A63202">
        <w:rPr>
          <w:rFonts w:hint="eastAsia"/>
          <w:rtl/>
        </w:rPr>
        <w:t>عن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النتائج</w:t>
      </w:r>
      <w:r w:rsidRPr="00A63202">
        <w:rPr>
          <w:rtl/>
        </w:rPr>
        <w:t xml:space="preserve"> </w:t>
      </w:r>
      <w:r w:rsidRPr="00A63202">
        <w:rPr>
          <w:rFonts w:hint="cs"/>
          <w:rtl/>
        </w:rPr>
        <w:t>التي تم التوصل </w:t>
      </w:r>
      <w:r w:rsidRPr="00A63202">
        <w:rPr>
          <w:rFonts w:hint="eastAsia"/>
          <w:rtl/>
        </w:rPr>
        <w:t>إليها</w:t>
      </w:r>
      <w:r w:rsidRPr="00A63202">
        <w:rPr>
          <w:rFonts w:hint="cs"/>
          <w:rtl/>
        </w:rPr>
        <w:t>.</w:t>
      </w:r>
    </w:p>
    <w:p w:rsidR="00BB4BB3" w:rsidRPr="00A63202" w:rsidRDefault="00BB4BB3" w:rsidP="00BB4BB3">
      <w:pPr>
        <w:pStyle w:val="Heading1"/>
        <w:rPr>
          <w:rtl/>
        </w:rPr>
      </w:pPr>
      <w:r w:rsidRPr="00A63202">
        <w:t>2</w:t>
      </w:r>
      <w:r w:rsidRPr="00A63202">
        <w:rPr>
          <w:rtl/>
        </w:rPr>
        <w:tab/>
      </w:r>
      <w:r w:rsidRPr="00A63202">
        <w:rPr>
          <w:rFonts w:hint="cs"/>
          <w:rtl/>
        </w:rPr>
        <w:t>التنسيق داخل الأمانة</w:t>
      </w:r>
    </w:p>
    <w:p w:rsidR="00BB4BB3" w:rsidRPr="00A63202" w:rsidRDefault="00BB4BB3" w:rsidP="00BB4BB3">
      <w:pPr>
        <w:pStyle w:val="Headingb"/>
        <w:rPr>
          <w:rtl/>
        </w:rPr>
      </w:pPr>
      <w:r w:rsidRPr="00A63202">
        <w:rPr>
          <w:rFonts w:hint="cs"/>
          <w:rtl/>
          <w:lang w:bidi="ar-SY"/>
        </w:rPr>
        <w:t>فريق المهام المعني بالتنسيق بين القطاعات</w:t>
      </w:r>
      <w:r>
        <w:rPr>
          <w:rFonts w:hint="cs"/>
          <w:rtl/>
          <w:lang w:bidi="ar-SY"/>
        </w:rPr>
        <w:t xml:space="preserve"> </w:t>
      </w:r>
      <w:r>
        <w:rPr>
          <w:lang w:bidi="ar-SY"/>
        </w:rPr>
        <w:t>(ISC-TF)</w:t>
      </w:r>
    </w:p>
    <w:p w:rsidR="00BB4BB3" w:rsidRPr="00EE18EB" w:rsidRDefault="00BB4BB3" w:rsidP="00BB4BB3">
      <w:pPr>
        <w:rPr>
          <w:rtl/>
          <w:lang w:bidi="ar-EG"/>
        </w:rPr>
      </w:pPr>
      <w:r w:rsidRPr="00A63202">
        <w:t>1.2</w:t>
      </w:r>
      <w:r w:rsidRPr="00A63202">
        <w:rPr>
          <w:rFonts w:hint="cs"/>
          <w:rtl/>
        </w:rPr>
        <w:tab/>
      </w:r>
      <w:r w:rsidRPr="0076483A">
        <w:rPr>
          <w:rFonts w:hint="cs"/>
          <w:rtl/>
        </w:rPr>
        <w:t xml:space="preserve">كما ورد سابقاً في التقارير المقدمة إلى دورة المجلس لعام </w:t>
      </w:r>
      <w:r>
        <w:t>2017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ar-EG"/>
        </w:rPr>
        <w:t xml:space="preserve">(الوثيقة </w:t>
      </w:r>
      <w:hyperlink r:id="rId10" w:history="1">
        <w:r w:rsidRPr="008C7143">
          <w:rPr>
            <w:rStyle w:val="Hyperlink"/>
            <w:lang w:bidi="ar-EG"/>
          </w:rPr>
          <w:t>C17/38</w:t>
        </w:r>
      </w:hyperlink>
      <w:proofErr w:type="gramStart"/>
      <w:r>
        <w:rPr>
          <w:rFonts w:hint="cs"/>
          <w:rtl/>
          <w:lang w:bidi="ar-EG"/>
        </w:rPr>
        <w:t>)</w:t>
      </w:r>
      <w:r w:rsidRPr="0076483A">
        <w:rPr>
          <w:rFonts w:hint="cs"/>
          <w:rtl/>
        </w:rPr>
        <w:t>،</w:t>
      </w:r>
      <w:proofErr w:type="gramEnd"/>
      <w:r w:rsidRPr="0076483A">
        <w:rPr>
          <w:rFonts w:hint="cs"/>
          <w:rtl/>
        </w:rPr>
        <w:t xml:space="preserve"> بشأن المضي قدماً في</w:t>
      </w:r>
      <w:r>
        <w:rPr>
          <w:rFonts w:hint="eastAsia"/>
          <w:rtl/>
        </w:rPr>
        <w:t> </w:t>
      </w:r>
      <w:r w:rsidRPr="0076483A">
        <w:rPr>
          <w:rFonts w:hint="cs"/>
          <w:rtl/>
        </w:rPr>
        <w:t>تنفيذ القرار</w:t>
      </w:r>
      <w:r w:rsidRPr="0076483A">
        <w:rPr>
          <w:rFonts w:hint="eastAsia"/>
          <w:rtl/>
        </w:rPr>
        <w:t> </w:t>
      </w:r>
      <w:r w:rsidRPr="0076483A">
        <w:t>191</w:t>
      </w:r>
      <w:r w:rsidRPr="0076483A">
        <w:rPr>
          <w:rFonts w:hint="eastAsia"/>
          <w:rtl/>
        </w:rPr>
        <w:t> </w:t>
      </w:r>
      <w:r w:rsidRPr="0076483A">
        <w:rPr>
          <w:rFonts w:hint="cs"/>
          <w:rtl/>
        </w:rPr>
        <w:t>(بوسان،</w:t>
      </w:r>
      <w:r w:rsidRPr="0076483A">
        <w:rPr>
          <w:rFonts w:hint="eastAsia"/>
          <w:rtl/>
        </w:rPr>
        <w:t> </w:t>
      </w:r>
      <w:r w:rsidRPr="0076483A">
        <w:t>2014</w:t>
      </w:r>
      <w:r w:rsidRPr="0076483A">
        <w:rPr>
          <w:rFonts w:hint="cs"/>
          <w:rtl/>
        </w:rPr>
        <w:t>)</w:t>
      </w:r>
      <w:r w:rsidRPr="0076483A">
        <w:rPr>
          <w:rFonts w:hint="cs"/>
          <w:rtl/>
          <w:lang w:bidi="ar-SY"/>
        </w:rPr>
        <w:t>، أنشئ فريق المهام المعني بالتنسيق بين القطاعات</w:t>
      </w:r>
      <w:r w:rsidRPr="0076483A">
        <w:rPr>
          <w:rFonts w:hint="eastAsia"/>
          <w:rtl/>
          <w:lang w:bidi="ar-SY"/>
        </w:rPr>
        <w:t> </w:t>
      </w:r>
      <w:r w:rsidRPr="0076483A">
        <w:rPr>
          <w:lang w:bidi="ar-SY"/>
        </w:rPr>
        <w:t>(ISC</w:t>
      </w:r>
      <w:r w:rsidRPr="0076483A">
        <w:rPr>
          <w:lang w:bidi="ar-SY"/>
        </w:rPr>
        <w:noBreakHyphen/>
        <w:t>TF)</w:t>
      </w:r>
      <w:r w:rsidRPr="0076483A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لتعزيز</w:t>
      </w:r>
      <w:r w:rsidRPr="0076483A">
        <w:rPr>
          <w:rFonts w:hint="cs"/>
          <w:rtl/>
          <w:lang w:bidi="ar-SY"/>
        </w:rPr>
        <w:t xml:space="preserve"> التنسيق والتعاون بين مكاتب القطاعات الثلاثة والأمانة العامة بغية </w:t>
      </w:r>
      <w:r w:rsidRPr="0076483A">
        <w:rPr>
          <w:rFonts w:hint="eastAsia"/>
          <w:rtl/>
        </w:rPr>
        <w:t>تجنب</w:t>
      </w:r>
      <w:r w:rsidRPr="0076483A">
        <w:rPr>
          <w:rtl/>
        </w:rPr>
        <w:t xml:space="preserve"> </w:t>
      </w:r>
      <w:r w:rsidRPr="0076483A">
        <w:rPr>
          <w:rFonts w:hint="eastAsia"/>
          <w:rtl/>
        </w:rPr>
        <w:t>ازدواجية</w:t>
      </w:r>
      <w:r w:rsidRPr="0076483A">
        <w:rPr>
          <w:rtl/>
        </w:rPr>
        <w:t xml:space="preserve"> </w:t>
      </w:r>
      <w:r w:rsidRPr="0076483A">
        <w:rPr>
          <w:rFonts w:hint="eastAsia"/>
          <w:rtl/>
        </w:rPr>
        <w:t>الجهود</w:t>
      </w:r>
      <w:r w:rsidRPr="0076483A">
        <w:rPr>
          <w:rtl/>
        </w:rPr>
        <w:t xml:space="preserve"> </w:t>
      </w:r>
      <w:r w:rsidRPr="0076483A">
        <w:rPr>
          <w:rFonts w:hint="eastAsia"/>
          <w:rtl/>
        </w:rPr>
        <w:t>وتحقيق</w:t>
      </w:r>
      <w:r w:rsidRPr="0076483A">
        <w:rPr>
          <w:rtl/>
        </w:rPr>
        <w:t xml:space="preserve"> </w:t>
      </w:r>
      <w:r w:rsidRPr="0076483A">
        <w:rPr>
          <w:rFonts w:hint="eastAsia"/>
          <w:rtl/>
        </w:rPr>
        <w:t>الاستخدام</w:t>
      </w:r>
      <w:r w:rsidRPr="0076483A">
        <w:rPr>
          <w:rtl/>
        </w:rPr>
        <w:t xml:space="preserve"> </w:t>
      </w:r>
      <w:r w:rsidRPr="0076483A">
        <w:rPr>
          <w:rFonts w:hint="eastAsia"/>
          <w:rtl/>
        </w:rPr>
        <w:t>الأمثل</w:t>
      </w:r>
      <w:r w:rsidRPr="0076483A">
        <w:rPr>
          <w:rFonts w:hint="cs"/>
          <w:rtl/>
        </w:rPr>
        <w:t> </w:t>
      </w:r>
      <w:r w:rsidRPr="0076483A">
        <w:rPr>
          <w:rFonts w:hint="eastAsia"/>
          <w:rtl/>
        </w:rPr>
        <w:t>للموارد</w:t>
      </w:r>
      <w:r w:rsidRPr="0076483A">
        <w:rPr>
          <w:rFonts w:hint="cs"/>
          <w:rtl/>
          <w:lang w:bidi="ar-SY"/>
        </w:rPr>
        <w:t xml:space="preserve">. </w:t>
      </w:r>
      <w:r w:rsidRPr="0076483A">
        <w:rPr>
          <w:rFonts w:hint="cs"/>
          <w:rtl/>
          <w:lang w:bidi="ar-EG"/>
        </w:rPr>
        <w:t>وحُدِّدت</w:t>
      </w:r>
      <w:r>
        <w:rPr>
          <w:rFonts w:hint="cs"/>
          <w:rtl/>
          <w:lang w:bidi="ar-EG"/>
        </w:rPr>
        <w:t xml:space="preserve"> اختصاصات فريق المهام المعني بالتنسيق في </w:t>
      </w:r>
      <w:hyperlink r:id="rId11" w:history="1">
        <w:r w:rsidRPr="00CF3785">
          <w:rPr>
            <w:rStyle w:val="Hyperlink"/>
            <w:rFonts w:hint="cs"/>
            <w:rtl/>
            <w:lang w:bidi="ar-EG"/>
          </w:rPr>
          <w:t xml:space="preserve">الأمر الإداري </w:t>
        </w:r>
        <w:r w:rsidRPr="00CF3785">
          <w:rPr>
            <w:rStyle w:val="Hyperlink"/>
            <w:lang w:val="fr-CH" w:bidi="ar-EG"/>
          </w:rPr>
          <w:t>16/13</w:t>
        </w:r>
      </w:hyperlink>
      <w:r>
        <w:rPr>
          <w:rFonts w:hint="cs"/>
          <w:rtl/>
          <w:lang w:bidi="ar-EG"/>
        </w:rPr>
        <w:t>.</w:t>
      </w:r>
    </w:p>
    <w:p w:rsidR="00BB4BB3" w:rsidRPr="00A63202" w:rsidRDefault="00BB4BB3" w:rsidP="00E708AE">
      <w:pPr>
        <w:rPr>
          <w:rtl/>
        </w:rPr>
      </w:pPr>
      <w:proofErr w:type="gramStart"/>
      <w:r w:rsidRPr="00A63202">
        <w:t>2.2</w:t>
      </w:r>
      <w:r w:rsidRPr="00A63202">
        <w:rPr>
          <w:rFonts w:hint="cs"/>
          <w:rtl/>
        </w:rPr>
        <w:tab/>
      </w:r>
      <w:r>
        <w:rPr>
          <w:rFonts w:hint="cs"/>
          <w:rtl/>
        </w:rPr>
        <w:t xml:space="preserve">وعقد فريق المهام المعني بالتنسيق الذي ترأسه نائب الأمين العام </w:t>
      </w:r>
      <w:r>
        <w:t>6</w:t>
      </w:r>
      <w:r>
        <w:rPr>
          <w:rFonts w:hint="cs"/>
          <w:rtl/>
        </w:rPr>
        <w:t xml:space="preserve"> اجتماعات </w:t>
      </w:r>
      <w:r>
        <w:rPr>
          <w:rFonts w:hint="cs"/>
          <w:rtl/>
          <w:lang w:bidi="ar-EG"/>
        </w:rPr>
        <w:t>في</w:t>
      </w:r>
      <w:r>
        <w:rPr>
          <w:rFonts w:hint="eastAsia"/>
          <w:rtl/>
          <w:lang w:bidi="ar-EG"/>
        </w:rPr>
        <w:t> </w:t>
      </w:r>
      <w:r>
        <w:rPr>
          <w:lang w:val="fr-CH" w:bidi="ar-EG"/>
        </w:rPr>
        <w:t>2017</w:t>
      </w:r>
      <w:r w:rsidR="00F342A6">
        <w:rPr>
          <w:rFonts w:hint="eastAsia"/>
          <w:rtl/>
          <w:lang w:bidi="ar-EG"/>
        </w:rPr>
        <w:t xml:space="preserve"> </w:t>
      </w:r>
      <w:r>
        <w:rPr>
          <w:rFonts w:hint="cs"/>
          <w:rtl/>
          <w:lang w:bidi="ar-EG"/>
        </w:rPr>
        <w:t>و</w:t>
      </w:r>
      <w:r>
        <w:rPr>
          <w:lang w:bidi="ar-EG"/>
        </w:rPr>
        <w:t>21</w:t>
      </w:r>
      <w:r>
        <w:rPr>
          <w:rFonts w:hint="cs"/>
          <w:rtl/>
          <w:lang w:bidi="ar-EG"/>
        </w:rPr>
        <w:t xml:space="preserve"> اجتماعاً منذ إنشائه في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مارس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2015</w:t>
      </w:r>
      <w:r>
        <w:rPr>
          <w:rFonts w:hint="cs"/>
          <w:rtl/>
          <w:lang w:bidi="ar-EG"/>
        </w:rPr>
        <w:t>، بمشاركة</w:t>
      </w:r>
      <w:r>
        <w:rPr>
          <w:rFonts w:hint="cs"/>
          <w:rtl/>
        </w:rPr>
        <w:t xml:space="preserve"> ( </w:t>
      </w:r>
      <w:r w:rsidRPr="00105078">
        <w:rPr>
          <w:rFonts w:hint="cs"/>
          <w:i/>
          <w:iCs/>
          <w:rtl/>
        </w:rPr>
        <w:t>أ</w:t>
      </w:r>
      <w:r>
        <w:rPr>
          <w:rFonts w:hint="eastAsia"/>
          <w:i/>
          <w:iCs/>
          <w:rtl/>
        </w:rPr>
        <w:t> </w:t>
      </w:r>
      <w:r w:rsidRPr="00105078">
        <w:rPr>
          <w:rFonts w:hint="cs"/>
          <w:i/>
          <w:iCs/>
          <w:rtl/>
        </w:rPr>
        <w:t>)</w:t>
      </w:r>
      <w:r>
        <w:rPr>
          <w:rFonts w:hint="eastAsia"/>
          <w:rtl/>
        </w:rPr>
        <w:t> </w:t>
      </w:r>
      <w:r w:rsidRPr="00A63202">
        <w:rPr>
          <w:rFonts w:hint="cs"/>
          <w:rtl/>
        </w:rPr>
        <w:t>ن</w:t>
      </w:r>
      <w:r>
        <w:rPr>
          <w:rFonts w:hint="cs"/>
          <w:rtl/>
        </w:rPr>
        <w:t>واب</w:t>
      </w:r>
      <w:r w:rsidRPr="00A63202">
        <w:rPr>
          <w:rFonts w:hint="cs"/>
          <w:rtl/>
        </w:rPr>
        <w:t xml:space="preserve"> مديري </w:t>
      </w:r>
      <w:r>
        <w:rPr>
          <w:rFonts w:hint="cs"/>
          <w:rtl/>
        </w:rPr>
        <w:t>ال</w:t>
      </w:r>
      <w:r w:rsidRPr="00A63202">
        <w:rPr>
          <w:rFonts w:hint="cs"/>
          <w:rtl/>
        </w:rPr>
        <w:t>مكاتب الثلاثة و</w:t>
      </w:r>
      <w:r>
        <w:rPr>
          <w:rFonts w:hint="cs"/>
          <w:rtl/>
        </w:rPr>
        <w:t>رئيس</w:t>
      </w:r>
      <w:r w:rsidR="0048472D">
        <w:rPr>
          <w:rFonts w:hint="cs"/>
          <w:rtl/>
        </w:rPr>
        <w:t>ة</w:t>
      </w:r>
      <w:r w:rsidRPr="00A63202">
        <w:rPr>
          <w:rFonts w:hint="cs"/>
          <w:rtl/>
        </w:rPr>
        <w:t xml:space="preserve"> </w:t>
      </w:r>
      <w:r w:rsidRPr="00A63202">
        <w:rPr>
          <w:rFonts w:hint="cs"/>
          <w:smallCaps/>
          <w:rtl/>
          <w:lang w:bidi="ar-EG"/>
        </w:rPr>
        <w:t>دائرة التخطيط</w:t>
      </w:r>
      <w:r>
        <w:rPr>
          <w:rFonts w:hint="cs"/>
          <w:smallCaps/>
          <w:rtl/>
          <w:lang w:bidi="ar-EG"/>
        </w:rPr>
        <w:t xml:space="preserve"> </w:t>
      </w:r>
      <w:r w:rsidRPr="00A63202">
        <w:rPr>
          <w:rFonts w:hint="cs"/>
          <w:smallCaps/>
          <w:rtl/>
          <w:lang w:bidi="ar-EG"/>
        </w:rPr>
        <w:t>الاستراتيجي و</w:t>
      </w:r>
      <w:r>
        <w:rPr>
          <w:rFonts w:hint="cs"/>
          <w:smallCaps/>
          <w:rtl/>
          <w:lang w:bidi="ar-EG"/>
        </w:rPr>
        <w:t>شؤون الأعضاء</w:t>
      </w:r>
      <w:r>
        <w:rPr>
          <w:rFonts w:hint="cs"/>
          <w:rtl/>
        </w:rPr>
        <w:t xml:space="preserve">؛ </w:t>
      </w:r>
      <w:r w:rsidRPr="00105078">
        <w:rPr>
          <w:rFonts w:hint="cs"/>
          <w:i/>
          <w:iCs/>
          <w:rtl/>
        </w:rPr>
        <w:t>(ب)</w:t>
      </w:r>
      <w:r>
        <w:rPr>
          <w:rFonts w:hint="eastAsia"/>
          <w:rtl/>
        </w:rPr>
        <w:t> </w:t>
      </w:r>
      <w:r>
        <w:rPr>
          <w:rFonts w:hint="cs"/>
          <w:rtl/>
        </w:rPr>
        <w:t>جهات</w:t>
      </w:r>
      <w:r w:rsidR="00E708AE">
        <w:rPr>
          <w:rFonts w:hint="eastAsia"/>
          <w:rtl/>
        </w:rPr>
        <w:t> </w:t>
      </w:r>
      <w:r>
        <w:rPr>
          <w:rFonts w:hint="cs"/>
          <w:rtl/>
        </w:rPr>
        <w:t xml:space="preserve">الاتصال </w:t>
      </w:r>
      <w:r>
        <w:rPr>
          <w:rFonts w:hint="cs"/>
          <w:rtl/>
          <w:lang w:bidi="ar-EG"/>
        </w:rPr>
        <w:t xml:space="preserve">المشتركة </w:t>
      </w:r>
      <w:r>
        <w:rPr>
          <w:rFonts w:hint="cs"/>
          <w:rtl/>
        </w:rPr>
        <w:t xml:space="preserve">بين القطاعات والمسؤولة عن مجالات مواضيعية محددة؛ </w:t>
      </w:r>
      <w:r w:rsidRPr="00105078">
        <w:rPr>
          <w:rFonts w:hint="cs"/>
          <w:i/>
          <w:iCs/>
          <w:rtl/>
        </w:rPr>
        <w:t>(ج)</w:t>
      </w:r>
      <w:r>
        <w:rPr>
          <w:rFonts w:hint="eastAsia"/>
          <w:rtl/>
        </w:rPr>
        <w:t> </w:t>
      </w:r>
      <w:r>
        <w:rPr>
          <w:rFonts w:hint="cs"/>
          <w:rtl/>
        </w:rPr>
        <w:t xml:space="preserve">المديرين الإقليميين؛ </w:t>
      </w:r>
      <w:r w:rsidRPr="004A7D1E">
        <w:rPr>
          <w:rFonts w:hint="cs"/>
          <w:i/>
          <w:iCs/>
          <w:rtl/>
        </w:rPr>
        <w:t>(د</w:t>
      </w:r>
      <w:r w:rsidRPr="004A7D1E">
        <w:rPr>
          <w:rFonts w:hint="eastAsia"/>
          <w:i/>
          <w:iCs/>
          <w:rtl/>
        </w:rPr>
        <w:t> </w:t>
      </w:r>
      <w:r w:rsidRPr="004A7D1E">
        <w:rPr>
          <w:rFonts w:hint="cs"/>
          <w:i/>
          <w:iCs/>
          <w:rtl/>
        </w:rPr>
        <w:t>)</w:t>
      </w:r>
      <w:r>
        <w:rPr>
          <w:rFonts w:hint="eastAsia"/>
          <w:rtl/>
        </w:rPr>
        <w:t> </w:t>
      </w:r>
      <w:r>
        <w:rPr>
          <w:rFonts w:hint="cs"/>
          <w:rtl/>
        </w:rPr>
        <w:t xml:space="preserve">رؤساء دوائر الأمانة العامة؛ </w:t>
      </w:r>
      <w:r w:rsidRPr="004A7D1E">
        <w:rPr>
          <w:rFonts w:hint="cs"/>
          <w:i/>
          <w:iCs/>
          <w:rtl/>
        </w:rPr>
        <w:t>(ه )</w:t>
      </w:r>
      <w:r>
        <w:rPr>
          <w:rFonts w:hint="cs"/>
          <w:rtl/>
        </w:rPr>
        <w:t xml:space="preserve"> رئيس وحدة المراجعة الداخلية </w:t>
      </w:r>
      <w:r w:rsidR="0048472D">
        <w:rPr>
          <w:rFonts w:hint="cs"/>
          <w:rtl/>
        </w:rPr>
        <w:t>بصفة مراقب</w:t>
      </w:r>
      <w:r>
        <w:rPr>
          <w:rFonts w:hint="cs"/>
          <w:rtl/>
        </w:rPr>
        <w:t>، ورؤساء الدوائر بالمكاتب</w:t>
      </w:r>
      <w:r w:rsidRPr="00E42396">
        <w:rPr>
          <w:rFonts w:hint="cs"/>
          <w:rtl/>
        </w:rPr>
        <w:t xml:space="preserve"> </w:t>
      </w:r>
      <w:r>
        <w:rPr>
          <w:rFonts w:hint="cs"/>
          <w:rtl/>
        </w:rPr>
        <w:t>بدعوة من رئيس الفريق</w:t>
      </w:r>
      <w:r w:rsidRPr="00A63202">
        <w:rPr>
          <w:rFonts w:hint="cs"/>
          <w:rtl/>
        </w:rPr>
        <w:t>.</w:t>
      </w:r>
      <w:proofErr w:type="gramEnd"/>
    </w:p>
    <w:p w:rsidR="00BB4BB3" w:rsidRPr="00A63202" w:rsidRDefault="00BB4BB3" w:rsidP="00BB4BB3">
      <w:pPr>
        <w:rPr>
          <w:rtl/>
        </w:rPr>
      </w:pPr>
      <w:proofErr w:type="gramStart"/>
      <w:r w:rsidRPr="00A63202">
        <w:t>3.2</w:t>
      </w:r>
      <w:proofErr w:type="gramEnd"/>
      <w:r w:rsidRPr="00A63202">
        <w:rPr>
          <w:rFonts w:hint="cs"/>
          <w:rtl/>
        </w:rPr>
        <w:tab/>
        <w:t>وتشمل مجالات الاهتمام المشترك بين القطاعات، التي ينسقها فريق المهام المعني بالتنسيق بين القطاعات، المواضيع</w:t>
      </w:r>
      <w:r>
        <w:rPr>
          <w:rFonts w:hint="cs"/>
          <w:rtl/>
        </w:rPr>
        <w:t> </w:t>
      </w:r>
      <w:r w:rsidRPr="00A63202">
        <w:rPr>
          <w:rFonts w:hint="cs"/>
          <w:rtl/>
        </w:rPr>
        <w:t>التالية:</w:t>
      </w:r>
      <w:r>
        <w:rPr>
          <w:rFonts w:hint="cs"/>
          <w:rtl/>
        </w:rPr>
        <w:t xml:space="preserve"> </w:t>
      </w:r>
      <w:r w:rsidRPr="00A63202">
        <w:rPr>
          <w:rFonts w:hint="cs"/>
          <w:rtl/>
        </w:rPr>
        <w:t>تغير المناخ</w:t>
      </w:r>
      <w:r>
        <w:rPr>
          <w:rFonts w:hint="cs"/>
          <w:rtl/>
        </w:rPr>
        <w:t xml:space="preserve"> و</w:t>
      </w:r>
      <w:r w:rsidRPr="00A63202">
        <w:rPr>
          <w:rFonts w:hint="cs"/>
          <w:rtl/>
        </w:rPr>
        <w:t>اتصالات الطوارئ</w:t>
      </w:r>
      <w:r>
        <w:rPr>
          <w:rFonts w:hint="cs"/>
          <w:rtl/>
        </w:rPr>
        <w:t xml:space="preserve"> و</w:t>
      </w:r>
      <w:r w:rsidRPr="00A63202">
        <w:rPr>
          <w:color w:val="000000"/>
          <w:rtl/>
        </w:rPr>
        <w:t>إمكانية النفاذ</w:t>
      </w:r>
      <w:r>
        <w:rPr>
          <w:rFonts w:hint="cs"/>
          <w:color w:val="000000"/>
          <w:rtl/>
        </w:rPr>
        <w:t xml:space="preserve"> و</w:t>
      </w:r>
      <w:r w:rsidRPr="00A63202">
        <w:rPr>
          <w:rFonts w:hint="cs"/>
          <w:rtl/>
        </w:rPr>
        <w:t>الاتصالات</w:t>
      </w:r>
      <w:r>
        <w:rPr>
          <w:rFonts w:hint="cs"/>
          <w:rtl/>
        </w:rPr>
        <w:t xml:space="preserve"> و</w:t>
      </w:r>
      <w:r w:rsidRPr="00A63202">
        <w:rPr>
          <w:color w:val="000000"/>
          <w:rtl/>
        </w:rPr>
        <w:t>هيئة تحرير الموقع الإلكتروني</w:t>
      </w:r>
      <w:r>
        <w:rPr>
          <w:rFonts w:hint="cs"/>
          <w:rtl/>
          <w:lang w:val="fr-CH"/>
        </w:rPr>
        <w:t xml:space="preserve"> وتعبئة الموارد و</w:t>
      </w:r>
      <w:r w:rsidRPr="00A63202">
        <w:rPr>
          <w:rFonts w:hint="cs"/>
          <w:color w:val="000000"/>
          <w:rtl/>
        </w:rPr>
        <w:t>المساواة بين</w:t>
      </w:r>
      <w:r w:rsidRPr="00A63202">
        <w:rPr>
          <w:color w:val="000000"/>
          <w:rtl/>
        </w:rPr>
        <w:t xml:space="preserve"> الجنسين</w:t>
      </w:r>
      <w:r>
        <w:rPr>
          <w:rFonts w:hint="cs"/>
          <w:color w:val="000000"/>
          <w:rtl/>
        </w:rPr>
        <w:t xml:space="preserve"> و</w:t>
      </w:r>
      <w:r w:rsidRPr="00A63202">
        <w:rPr>
          <w:color w:val="000000"/>
          <w:rtl/>
        </w:rPr>
        <w:t>تنسيق ال</w:t>
      </w:r>
      <w:r>
        <w:rPr>
          <w:rFonts w:hint="cs"/>
          <w:color w:val="000000"/>
          <w:rtl/>
        </w:rPr>
        <w:t>أحداث و</w:t>
      </w:r>
      <w:r w:rsidRPr="00A63202">
        <w:rPr>
          <w:rtl/>
        </w:rPr>
        <w:t>سد الفجوة التقييسية</w:t>
      </w:r>
      <w:r>
        <w:rPr>
          <w:rFonts w:hint="cs"/>
          <w:rtl/>
          <w:lang w:val="fr-CH"/>
        </w:rPr>
        <w:t xml:space="preserve">، واعتباراً من </w:t>
      </w:r>
      <w:r>
        <w:t>2017</w:t>
      </w:r>
      <w:r>
        <w:rPr>
          <w:rFonts w:hint="cs"/>
          <w:rtl/>
          <w:lang w:bidi="ar-EG"/>
        </w:rPr>
        <w:t>، مشاركة الشركات الصغيرة والمتوسطة في أعمال الاتحاد والشباب.</w:t>
      </w:r>
      <w:r>
        <w:rPr>
          <w:rFonts w:hint="cs"/>
          <w:rtl/>
          <w:lang w:val="fr-CH"/>
        </w:rPr>
        <w:t xml:space="preserve"> </w:t>
      </w:r>
      <w:r w:rsidRPr="0076483A">
        <w:rPr>
          <w:rFonts w:hint="cs"/>
          <w:rtl/>
        </w:rPr>
        <w:t xml:space="preserve">واضطلع الفريق في عام </w:t>
      </w:r>
      <w:r>
        <w:t>2017</w:t>
      </w:r>
      <w:r w:rsidRPr="0076483A">
        <w:rPr>
          <w:rFonts w:hint="cs"/>
          <w:rtl/>
        </w:rPr>
        <w:t xml:space="preserve"> بما يلي</w:t>
      </w:r>
      <w:r w:rsidRPr="00A63202">
        <w:rPr>
          <w:rFonts w:hint="cs"/>
          <w:rtl/>
        </w:rPr>
        <w:t>:</w:t>
      </w:r>
    </w:p>
    <w:p w:rsidR="00BB4BB3" w:rsidRPr="00105078" w:rsidRDefault="00BB4BB3" w:rsidP="00BB4BB3">
      <w:pPr>
        <w:pStyle w:val="enumlev10"/>
        <w:rPr>
          <w:rtl/>
        </w:rPr>
      </w:pPr>
      <w:r w:rsidRPr="00105078">
        <w:rPr>
          <w:rFonts w:hint="cs"/>
          <w:rtl/>
        </w:rPr>
        <w:t>-</w:t>
      </w:r>
      <w:r w:rsidRPr="00105078">
        <w:rPr>
          <w:rtl/>
        </w:rPr>
        <w:tab/>
      </w:r>
      <w:r w:rsidRPr="00105078">
        <w:rPr>
          <w:rFonts w:hint="cs"/>
          <w:rtl/>
        </w:rPr>
        <w:t xml:space="preserve">تيسير تبادل المعلومات بين القطاعات والأمانة العامة بشأن مجالات تلك المواضيع من خلال تزويد الفريق بأحدث المعلومات </w:t>
      </w:r>
      <w:r w:rsidRPr="004A13C3">
        <w:rPr>
          <w:rFonts w:hint="cs"/>
          <w:rtl/>
        </w:rPr>
        <w:t>ومناقشة التقدم المحرز في كل مجال</w:t>
      </w:r>
      <w:r>
        <w:rPr>
          <w:rFonts w:hint="cs"/>
          <w:rtl/>
        </w:rPr>
        <w:t>؛</w:t>
      </w:r>
    </w:p>
    <w:p w:rsidR="00BB4BB3" w:rsidRPr="00105078" w:rsidRDefault="00BB4BB3" w:rsidP="00BB4BB3">
      <w:pPr>
        <w:pStyle w:val="enumlev10"/>
        <w:rPr>
          <w:rtl/>
        </w:rPr>
      </w:pPr>
      <w:r w:rsidRPr="00105078">
        <w:rPr>
          <w:rFonts w:hint="cs"/>
          <w:rtl/>
        </w:rPr>
        <w:t>-</w:t>
      </w:r>
      <w:r w:rsidRPr="00105078">
        <w:rPr>
          <w:rtl/>
        </w:rPr>
        <w:tab/>
      </w:r>
      <w:r w:rsidRPr="00105078">
        <w:rPr>
          <w:rFonts w:hint="cs"/>
          <w:rtl/>
        </w:rPr>
        <w:t>مناقشة واقتراح حلول للمسائل الرئيسية</w:t>
      </w:r>
      <w:r>
        <w:rPr>
          <w:rFonts w:hint="cs"/>
          <w:rtl/>
        </w:rPr>
        <w:t xml:space="preserve"> التي أثارتها جهات الاتصال، وتتجلي ميزة ذلك في إمكانية طرح المسائل بصورة ملائمة إذا تعذر اتخاذ قرارات بشأنها أو حلها على مستوى جهات الاتصال</w:t>
      </w:r>
      <w:r w:rsidRPr="00105078">
        <w:rPr>
          <w:rFonts w:hint="cs"/>
          <w:rtl/>
        </w:rPr>
        <w:t>؛</w:t>
      </w:r>
    </w:p>
    <w:p w:rsidR="00BB4BB3" w:rsidRDefault="00BB4BB3" w:rsidP="00BB4BB3">
      <w:pPr>
        <w:pStyle w:val="enumlev10"/>
        <w:rPr>
          <w:rtl/>
        </w:rPr>
      </w:pPr>
      <w:r w:rsidRPr="0076483A">
        <w:rPr>
          <w:rFonts w:hint="cs"/>
          <w:rtl/>
        </w:rPr>
        <w:t>-</w:t>
      </w:r>
      <w:r w:rsidRPr="0076483A">
        <w:rPr>
          <w:rtl/>
        </w:rPr>
        <w:tab/>
      </w:r>
      <w:r w:rsidRPr="0076483A">
        <w:rPr>
          <w:rFonts w:hint="cs"/>
          <w:rtl/>
        </w:rPr>
        <w:t xml:space="preserve">الاستفادة من مشاركة ومساهمة المكاتب الإقليمية التي ظلت تشارك عن بُعد في مناقشات </w:t>
      </w:r>
      <w:r>
        <w:rPr>
          <w:rFonts w:hint="cs"/>
          <w:rtl/>
        </w:rPr>
        <w:t>فريق المهام المعني بالتنسيق بين</w:t>
      </w:r>
      <w:r>
        <w:rPr>
          <w:rFonts w:hint="eastAsia"/>
          <w:rtl/>
        </w:rPr>
        <w:t> </w:t>
      </w:r>
      <w:r w:rsidRPr="0076483A">
        <w:rPr>
          <w:rFonts w:hint="cs"/>
          <w:rtl/>
        </w:rPr>
        <w:t>القطاعات؛</w:t>
      </w:r>
    </w:p>
    <w:p w:rsidR="00BB4BB3" w:rsidRPr="008C7143" w:rsidRDefault="00BB4BB3" w:rsidP="0048472D">
      <w:pPr>
        <w:pStyle w:val="enumlev10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 xml:space="preserve">مواصلة عملية نشر المعلومات عن أعمال الاتحاد المتعلقة </w:t>
      </w:r>
      <w:r w:rsidR="0048472D">
        <w:rPr>
          <w:rFonts w:hint="cs"/>
          <w:rtl/>
        </w:rPr>
        <w:t>بمجالات المواضيع المذكورة</w:t>
      </w:r>
      <w:r>
        <w:rPr>
          <w:rFonts w:hint="cs"/>
          <w:rtl/>
        </w:rPr>
        <w:t xml:space="preserve"> وتحديثها على صفحات الاتحاد الإلكترونية ذات الصلة، بطريقة مفتوحة وشفافة؛</w:t>
      </w:r>
    </w:p>
    <w:p w:rsidR="00BB4BB3" w:rsidRPr="00105078" w:rsidRDefault="00BB4BB3" w:rsidP="00BB4BB3">
      <w:pPr>
        <w:pStyle w:val="enumlev10"/>
        <w:rPr>
          <w:rtl/>
        </w:rPr>
      </w:pPr>
      <w:r w:rsidRPr="00FC5FA9">
        <w:rPr>
          <w:rFonts w:hint="cs"/>
          <w:rtl/>
        </w:rPr>
        <w:t>-</w:t>
      </w:r>
      <w:r w:rsidRPr="00FC5FA9">
        <w:rPr>
          <w:rtl/>
        </w:rPr>
        <w:tab/>
      </w:r>
      <w:r w:rsidRPr="00FC5FA9">
        <w:rPr>
          <w:rFonts w:hint="cs"/>
          <w:rtl/>
        </w:rPr>
        <w:t>تنسيق مشاركة الاتحاد في المؤتمرات والمنتديات (مثل الاجتماع الثالث والعشري</w:t>
      </w:r>
      <w:r>
        <w:rPr>
          <w:rFonts w:hint="cs"/>
          <w:rtl/>
        </w:rPr>
        <w:t>ن لمؤتمر الأطراف في بون) بهدف ترشيد إيفاد الاتحاد/حضوره مع</w:t>
      </w:r>
      <w:r w:rsidRPr="00FC5FA9">
        <w:rPr>
          <w:rFonts w:hint="cs"/>
          <w:rtl/>
        </w:rPr>
        <w:t xml:space="preserve"> </w:t>
      </w:r>
      <w:r>
        <w:rPr>
          <w:rFonts w:hint="cs"/>
          <w:rtl/>
        </w:rPr>
        <w:t xml:space="preserve">ضمان </w:t>
      </w:r>
      <w:r w:rsidRPr="00FC5FA9">
        <w:rPr>
          <w:rFonts w:hint="cs"/>
          <w:rtl/>
        </w:rPr>
        <w:t xml:space="preserve">تمثيل </w:t>
      </w:r>
      <w:r>
        <w:rPr>
          <w:rFonts w:hint="cs"/>
          <w:rtl/>
        </w:rPr>
        <w:t>ال</w:t>
      </w:r>
      <w:r w:rsidRPr="00FC5FA9">
        <w:rPr>
          <w:rFonts w:hint="cs"/>
          <w:rtl/>
        </w:rPr>
        <w:t xml:space="preserve">مصالح </w:t>
      </w:r>
      <w:r>
        <w:rPr>
          <w:rFonts w:hint="cs"/>
          <w:rtl/>
        </w:rPr>
        <w:t>المشتركة بين القطاعات</w:t>
      </w:r>
      <w:r w:rsidRPr="00FC5FA9">
        <w:rPr>
          <w:rFonts w:hint="cs"/>
          <w:rtl/>
        </w:rPr>
        <w:t>؛</w:t>
      </w:r>
    </w:p>
    <w:p w:rsidR="00BB4BB3" w:rsidRPr="00105078" w:rsidRDefault="00BB4BB3" w:rsidP="00B777AB">
      <w:pPr>
        <w:pStyle w:val="enumlev10"/>
        <w:rPr>
          <w:rtl/>
        </w:rPr>
      </w:pPr>
      <w:r w:rsidRPr="00105078">
        <w:rPr>
          <w:rFonts w:hint="cs"/>
          <w:rtl/>
        </w:rPr>
        <w:t>-</w:t>
      </w:r>
      <w:r w:rsidRPr="00105078">
        <w:rPr>
          <w:rtl/>
        </w:rPr>
        <w:tab/>
      </w:r>
      <w:r w:rsidRPr="00105078">
        <w:rPr>
          <w:rFonts w:hint="cs"/>
          <w:rtl/>
        </w:rPr>
        <w:t>تيسير تنسيق أفضل لتنظيم أ</w:t>
      </w:r>
      <w:r>
        <w:rPr>
          <w:rFonts w:hint="cs"/>
          <w:rtl/>
        </w:rPr>
        <w:t xml:space="preserve">حداث الاتحاد واجتماعاته من خلال العمل المضطلع به في ذلك المجال </w:t>
      </w:r>
      <w:r w:rsidR="00B777AB">
        <w:rPr>
          <w:rFonts w:hint="cs"/>
          <w:rtl/>
        </w:rPr>
        <w:t>تحديداً</w:t>
      </w:r>
      <w:r>
        <w:rPr>
          <w:rFonts w:hint="cs"/>
          <w:rtl/>
        </w:rPr>
        <w:t>.</w:t>
      </w:r>
    </w:p>
    <w:p w:rsidR="00BB4BB3" w:rsidRDefault="00BB4BB3" w:rsidP="00BB4BB3">
      <w:pPr>
        <w:rPr>
          <w:rtl/>
          <w:lang w:bidi="ar-EG"/>
        </w:rPr>
      </w:pPr>
      <w:proofErr w:type="gramStart"/>
      <w:r>
        <w:t>4.2</w:t>
      </w:r>
      <w:proofErr w:type="gramEnd"/>
      <w:r>
        <w:rPr>
          <w:rtl/>
          <w:lang w:bidi="ar-EG"/>
        </w:rPr>
        <w:tab/>
      </w:r>
      <w:r>
        <w:rPr>
          <w:rFonts w:hint="cs"/>
          <w:rtl/>
        </w:rPr>
        <w:t xml:space="preserve">وفضلاً عن ذلك، حقق الفريق النتائج المحددة التالية في </w:t>
      </w:r>
      <w:r>
        <w:rPr>
          <w:lang w:val="fr-CH"/>
        </w:rPr>
        <w:t>2017</w:t>
      </w:r>
      <w:r>
        <w:rPr>
          <w:rFonts w:hint="cs"/>
          <w:rtl/>
          <w:lang w:bidi="ar-EG"/>
        </w:rPr>
        <w:t>:</w:t>
      </w:r>
    </w:p>
    <w:p w:rsidR="00BB4BB3" w:rsidRPr="0086367A" w:rsidRDefault="00BB4BB3" w:rsidP="00BB4BB3">
      <w:pPr>
        <w:pStyle w:val="enumlev10"/>
        <w:rPr>
          <w:rtl/>
          <w:lang w:bidi="ar-EG"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 xml:space="preserve">إعداد سياسة لإدارة المخاطر وبيان بشأن تقبل المخاطر أقرهما المجلس في دورته لعام </w:t>
      </w:r>
      <w:r>
        <w:t>2017</w:t>
      </w:r>
      <w:r>
        <w:rPr>
          <w:rFonts w:hint="cs"/>
          <w:rtl/>
          <w:lang w:bidi="ar-EG"/>
        </w:rPr>
        <w:t>؛</w:t>
      </w:r>
    </w:p>
    <w:p w:rsidR="00BB4BB3" w:rsidRPr="00A63202" w:rsidRDefault="00BB4BB3" w:rsidP="003F0EC9">
      <w:pPr>
        <w:pStyle w:val="enumlev10"/>
        <w:rPr>
          <w:rtl/>
        </w:rPr>
      </w:pPr>
      <w:r w:rsidRPr="00105078">
        <w:rPr>
          <w:rFonts w:hint="cs"/>
          <w:rtl/>
        </w:rPr>
        <w:t>-</w:t>
      </w:r>
      <w:r w:rsidRPr="00105078">
        <w:rPr>
          <w:rFonts w:hint="cs"/>
          <w:rtl/>
        </w:rPr>
        <w:tab/>
      </w:r>
      <w:r>
        <w:rPr>
          <w:rFonts w:hint="cs"/>
          <w:rtl/>
        </w:rPr>
        <w:t>تنسيق</w:t>
      </w:r>
      <w:r w:rsidR="004B43D1">
        <w:rPr>
          <w:rFonts w:hint="cs"/>
          <w:rtl/>
        </w:rPr>
        <w:t xml:space="preserve"> ومتابعة</w:t>
      </w:r>
      <w:r>
        <w:rPr>
          <w:rFonts w:hint="cs"/>
          <w:rtl/>
        </w:rPr>
        <w:t xml:space="preserve"> خطة العمل </w:t>
      </w:r>
      <w:r w:rsidR="004B43D1">
        <w:rPr>
          <w:rFonts w:hint="cs"/>
          <w:rtl/>
        </w:rPr>
        <w:t>الرامية إلى</w:t>
      </w:r>
      <w:r>
        <w:rPr>
          <w:rFonts w:hint="cs"/>
          <w:rtl/>
        </w:rPr>
        <w:t xml:space="preserve"> تنفيذ توصيات وحدة التفتيش المشتركة </w:t>
      </w:r>
      <w:r w:rsidR="00D52DD8">
        <w:rPr>
          <w:rFonts w:hint="cs"/>
          <w:rtl/>
        </w:rPr>
        <w:t>إثر استعراضها للتنظيم والإدارة في</w:t>
      </w:r>
      <w:r>
        <w:rPr>
          <w:rFonts w:hint="eastAsia"/>
          <w:rtl/>
        </w:rPr>
        <w:t> </w:t>
      </w:r>
      <w:r w:rsidRPr="00B54B3E">
        <w:rPr>
          <w:rFonts w:hint="cs"/>
          <w:rtl/>
        </w:rPr>
        <w:t>الاتحاد</w:t>
      </w:r>
      <w:r>
        <w:rPr>
          <w:rFonts w:hint="cs"/>
          <w:rtl/>
        </w:rPr>
        <w:t xml:space="preserve"> (من بين </w:t>
      </w:r>
      <w:r>
        <w:t>11</w:t>
      </w:r>
      <w:r w:rsidR="00D52DD8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توصية رسمية موجهة إلى أمانة الاتحاد، نُفذت عشر توصيات ويجري تنفيذ توصية واحدة </w:t>
      </w:r>
      <w:r w:rsidR="00562D40">
        <w:rPr>
          <w:rFonts w:hint="cs"/>
          <w:rtl/>
          <w:lang w:bidi="ar-EG"/>
        </w:rPr>
        <w:t>قبل دورة</w:t>
      </w:r>
      <w:r>
        <w:rPr>
          <w:rFonts w:hint="cs"/>
          <w:rtl/>
          <w:lang w:bidi="ar-EG"/>
        </w:rPr>
        <w:t xml:space="preserve"> المجلس لعام </w:t>
      </w:r>
      <w:r>
        <w:rPr>
          <w:lang w:bidi="ar-EG"/>
        </w:rPr>
        <w:t>2018</w:t>
      </w:r>
      <w:r>
        <w:rPr>
          <w:rFonts w:hint="cs"/>
          <w:rtl/>
          <w:lang w:bidi="ar-EG"/>
        </w:rPr>
        <w:t xml:space="preserve">، في حين تم تنفيذ </w:t>
      </w:r>
      <w:r>
        <w:rPr>
          <w:lang w:bidi="ar-EG"/>
        </w:rPr>
        <w:t>21</w:t>
      </w:r>
      <w:r w:rsidR="00D52DD8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توصية من مجموع </w:t>
      </w:r>
      <w:r>
        <w:rPr>
          <w:lang w:bidi="ar-EG"/>
        </w:rPr>
        <w:t>35</w:t>
      </w:r>
      <w:r>
        <w:rPr>
          <w:rFonts w:hint="cs"/>
          <w:rtl/>
          <w:lang w:bidi="ar-EG"/>
        </w:rPr>
        <w:t xml:space="preserve"> توصية غير رسمية، وهناك </w:t>
      </w:r>
      <w:r>
        <w:rPr>
          <w:lang w:bidi="ar-EG"/>
        </w:rPr>
        <w:t>12</w:t>
      </w:r>
      <w:r w:rsidR="003F0EC9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توصية في</w:t>
      </w:r>
      <w:r w:rsidR="0048472D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طور التنفيذ وفقاً للخطة المقدمة إلى المجلس في دورته لعام </w:t>
      </w:r>
      <w:r>
        <w:rPr>
          <w:lang w:bidi="ar-EG"/>
        </w:rPr>
        <w:t>2017</w:t>
      </w:r>
      <w:r>
        <w:rPr>
          <w:rFonts w:hint="cs"/>
          <w:rtl/>
          <w:lang w:bidi="ar-EG"/>
        </w:rPr>
        <w:t>، وتعكف الهيئا</w:t>
      </w:r>
      <w:r w:rsidR="00F342A6">
        <w:rPr>
          <w:rFonts w:hint="cs"/>
          <w:rtl/>
          <w:lang w:bidi="ar-EG"/>
        </w:rPr>
        <w:t>ت الإدارية للاتحاد على النظر في</w:t>
      </w:r>
      <w:r w:rsidR="00F342A6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توصيتين</w:t>
      </w:r>
      <w:r>
        <w:rPr>
          <w:rFonts w:hint="cs"/>
          <w:rtl/>
        </w:rPr>
        <w:t>)</w:t>
      </w:r>
      <w:r w:rsidRPr="00B54B3E">
        <w:rPr>
          <w:rFonts w:hint="cs"/>
          <w:rtl/>
        </w:rPr>
        <w:t>؛</w:t>
      </w:r>
      <w:bookmarkStart w:id="1" w:name="_GoBack"/>
      <w:bookmarkEnd w:id="1"/>
    </w:p>
    <w:p w:rsidR="00BB4BB3" w:rsidRPr="00283665" w:rsidRDefault="00BB4BB3" w:rsidP="003F0EC9">
      <w:pPr>
        <w:pStyle w:val="enumlev10"/>
        <w:rPr>
          <w:rtl/>
          <w:lang w:bidi="ar-EG"/>
        </w:rPr>
      </w:pPr>
      <w:r w:rsidRPr="00105078">
        <w:rPr>
          <w:rFonts w:hint="cs"/>
          <w:rtl/>
        </w:rPr>
        <w:lastRenderedPageBreak/>
        <w:t>-</w:t>
      </w:r>
      <w:r>
        <w:rPr>
          <w:rtl/>
        </w:rPr>
        <w:tab/>
      </w:r>
      <w:r w:rsidR="00F20ED8">
        <w:rPr>
          <w:rFonts w:hint="cs"/>
          <w:rtl/>
        </w:rPr>
        <w:t>وقام الفريق كذلك ب</w:t>
      </w:r>
      <w:r>
        <w:rPr>
          <w:rFonts w:hint="cs"/>
          <w:rtl/>
        </w:rPr>
        <w:t xml:space="preserve">إدراج </w:t>
      </w:r>
      <w:r w:rsidR="00576142">
        <w:rPr>
          <w:rFonts w:hint="cs"/>
          <w:rtl/>
        </w:rPr>
        <w:t>بند</w:t>
      </w:r>
      <w:r>
        <w:rPr>
          <w:rFonts w:hint="cs"/>
          <w:rtl/>
        </w:rPr>
        <w:t xml:space="preserve"> دائم في جدول الأعمال بشأن </w:t>
      </w:r>
      <w:r w:rsidR="003B1C51">
        <w:rPr>
          <w:rFonts w:hint="cs"/>
          <w:rtl/>
        </w:rPr>
        <w:t>الاستعراضات</w:t>
      </w:r>
      <w:r>
        <w:rPr>
          <w:rFonts w:hint="cs"/>
          <w:rtl/>
        </w:rPr>
        <w:t xml:space="preserve"> التي تجريها وحدة التفتيش المشتركة على نطاق منظومة الأمم المتحدة في إطار العملية </w:t>
      </w:r>
      <w:r w:rsidR="0063725D">
        <w:rPr>
          <w:rFonts w:hint="cs"/>
          <w:rtl/>
        </w:rPr>
        <w:t>القائمة</w:t>
      </w:r>
      <w:r>
        <w:rPr>
          <w:rFonts w:hint="cs"/>
          <w:rtl/>
        </w:rPr>
        <w:t xml:space="preserve"> للنظر في هذه التقارير والتوصيات المقابلة لها. وخلال تلك الفترة، استعرض الفريق التقارير الواردة في خطة عمل وحدة التفتيش المشتركة لعاميْ </w:t>
      </w:r>
      <w:r>
        <w:t>2016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2017</w:t>
      </w:r>
      <w:r>
        <w:rPr>
          <w:rFonts w:hint="cs"/>
          <w:rtl/>
          <w:lang w:bidi="ar-EG"/>
        </w:rPr>
        <w:t xml:space="preserve">، وكذلك حالة تنفيذ التوصيات الواردة في تقارير </w:t>
      </w:r>
      <w:r w:rsidRPr="008D304C">
        <w:rPr>
          <w:rFonts w:hint="cs"/>
          <w:rtl/>
          <w:lang w:bidi="ar-EG"/>
        </w:rPr>
        <w:t>السنوات</w:t>
      </w:r>
      <w:r>
        <w:rPr>
          <w:rFonts w:hint="cs"/>
          <w:rtl/>
          <w:lang w:bidi="ar-EG"/>
        </w:rPr>
        <w:t xml:space="preserve"> الماضية التي ظلت قيد النظر. وشهدت نسبة قبول الاتحاد وتنفيذه لتوصيات وحدة التفتيش المشتركة زيادة كبيرة في السنوات الثلاث الماضية (من </w:t>
      </w:r>
      <w:r>
        <w:rPr>
          <w:lang w:bidi="ar-EG"/>
        </w:rPr>
        <w:t>2014</w:t>
      </w:r>
      <w:r>
        <w:rPr>
          <w:rFonts w:hint="cs"/>
          <w:rtl/>
          <w:lang w:bidi="ar-EG"/>
        </w:rPr>
        <w:t xml:space="preserve"> إلى </w:t>
      </w:r>
      <w:r>
        <w:rPr>
          <w:lang w:bidi="ar-EG"/>
        </w:rPr>
        <w:t>2016</w:t>
      </w:r>
      <w:r>
        <w:rPr>
          <w:rFonts w:hint="cs"/>
          <w:rtl/>
          <w:lang w:bidi="ar-EG"/>
        </w:rPr>
        <w:t xml:space="preserve">، ارتفعت نسبة القبول من حوالي </w:t>
      </w:r>
      <w:r w:rsidRPr="00EC3B7D">
        <w:t>50</w:t>
      </w:r>
      <w:r w:rsidRPr="00F342A6">
        <w:rPr>
          <w:rFonts w:cs="Calibri"/>
          <w:szCs w:val="22"/>
          <w:rtl/>
        </w:rPr>
        <w:t>%</w:t>
      </w:r>
      <w:r w:rsidR="00F342A6">
        <w:rPr>
          <w:rFonts w:hint="cs"/>
          <w:rtl/>
        </w:rPr>
        <w:t xml:space="preserve"> </w:t>
      </w:r>
      <w:r>
        <w:rPr>
          <w:rFonts w:hint="cs"/>
          <w:rtl/>
        </w:rPr>
        <w:t xml:space="preserve">إلى </w:t>
      </w:r>
      <w:r w:rsidRPr="00EC3B7D">
        <w:t>87</w:t>
      </w:r>
      <w:r w:rsidRPr="00F342A6">
        <w:rPr>
          <w:rFonts w:cs="Calibri"/>
          <w:szCs w:val="22"/>
          <w:rtl/>
        </w:rPr>
        <w:t>%</w:t>
      </w:r>
      <w:r w:rsidR="003F0EC9">
        <w:rPr>
          <w:rFonts w:hint="cs"/>
          <w:rtl/>
        </w:rPr>
        <w:t xml:space="preserve"> </w:t>
      </w:r>
      <w:r>
        <w:rPr>
          <w:rFonts w:hint="cs"/>
          <w:rtl/>
        </w:rPr>
        <w:t xml:space="preserve">وارتفعت نسبة التنفيذ من حوالي </w:t>
      </w:r>
      <w:r>
        <w:t>46</w:t>
      </w:r>
      <w:r w:rsidRPr="00F342A6">
        <w:rPr>
          <w:rFonts w:cs="Calibri"/>
          <w:szCs w:val="22"/>
          <w:rtl/>
        </w:rPr>
        <w:t>%</w:t>
      </w:r>
      <w:r w:rsidR="003F0EC9">
        <w:rPr>
          <w:rFonts w:hint="cs"/>
          <w:rtl/>
        </w:rPr>
        <w:t xml:space="preserve"> </w:t>
      </w:r>
      <w:r>
        <w:rPr>
          <w:rFonts w:hint="cs"/>
          <w:rtl/>
        </w:rPr>
        <w:t xml:space="preserve">إلى </w:t>
      </w:r>
      <w:r>
        <w:t>86</w:t>
      </w:r>
      <w:r w:rsidRPr="00F342A6">
        <w:rPr>
          <w:rFonts w:cs="Calibri"/>
          <w:szCs w:val="22"/>
          <w:rtl/>
        </w:rPr>
        <w:t>%</w:t>
      </w:r>
      <w:r>
        <w:rPr>
          <w:rFonts w:hint="cs"/>
          <w:rtl/>
        </w:rPr>
        <w:t xml:space="preserve">؛ مع استقرار حالي عند حوالي </w:t>
      </w:r>
      <w:r>
        <w:t>83</w:t>
      </w:r>
      <w:r w:rsidRPr="00F342A6">
        <w:rPr>
          <w:rFonts w:cs="Calibri"/>
          <w:szCs w:val="22"/>
          <w:rtl/>
        </w:rPr>
        <w:t>%</w:t>
      </w:r>
      <w:r w:rsidR="00550218">
        <w:rPr>
          <w:rFonts w:hint="eastAsia"/>
          <w:rtl/>
        </w:rPr>
        <w:t> </w:t>
      </w:r>
      <w:r>
        <w:rPr>
          <w:rFonts w:hint="cs"/>
          <w:rtl/>
        </w:rPr>
        <w:t xml:space="preserve">لنسبة القبول وعند </w:t>
      </w:r>
      <w:r>
        <w:t>72</w:t>
      </w:r>
      <w:r w:rsidRPr="00F342A6">
        <w:rPr>
          <w:rFonts w:cs="Calibri"/>
          <w:szCs w:val="22"/>
          <w:rtl/>
        </w:rPr>
        <w:t>%</w:t>
      </w:r>
      <w:r w:rsidR="003F0EC9">
        <w:rPr>
          <w:rFonts w:hint="cs"/>
          <w:rtl/>
        </w:rPr>
        <w:t xml:space="preserve"> </w:t>
      </w:r>
      <w:r>
        <w:rPr>
          <w:rFonts w:hint="cs"/>
          <w:rtl/>
        </w:rPr>
        <w:t>لنسبة التنفيذ، ويشمل ذلك التقارير الصادرة مؤخراً عن وحدة التفتيش المشتركة). واعترفت وحدة التفتيش المشتركة بأن هذا التقدم المحرز وآلية الرصد القائمة يُعتبران من أفضل الممارسات.</w:t>
      </w:r>
    </w:p>
    <w:p w:rsidR="00BB4BB3" w:rsidRPr="00A63202" w:rsidRDefault="00BB4BB3" w:rsidP="00BB4BB3">
      <w:pPr>
        <w:pStyle w:val="enumlev10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Pr="001E19D9">
        <w:rPr>
          <w:rFonts w:hint="cs"/>
          <w:rtl/>
        </w:rPr>
        <w:t xml:space="preserve">تنسيق </w:t>
      </w:r>
      <w:r>
        <w:rPr>
          <w:rFonts w:hint="cs"/>
          <w:rtl/>
        </w:rPr>
        <w:t>وضع الإجراءات</w:t>
      </w:r>
      <w:r w:rsidRPr="001E19D9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Pr="001E19D9">
        <w:rPr>
          <w:rFonts w:hint="cs"/>
          <w:rtl/>
        </w:rPr>
        <w:t>المبادئ التوجيهية الخاصة</w:t>
      </w:r>
      <w:r>
        <w:rPr>
          <w:rFonts w:hint="cs"/>
          <w:rtl/>
        </w:rPr>
        <w:t xml:space="preserve"> بطلبات التصوير الفيديوي والتصوير الفوتوغرافي؛</w:t>
      </w:r>
    </w:p>
    <w:p w:rsidR="00BB4BB3" w:rsidRDefault="00BB4BB3" w:rsidP="00BB4BB3">
      <w:pPr>
        <w:pStyle w:val="enumlev10"/>
        <w:rPr>
          <w:rtl/>
        </w:rPr>
      </w:pPr>
      <w:r w:rsidRPr="00105078">
        <w:rPr>
          <w:rFonts w:hint="cs"/>
          <w:rtl/>
        </w:rPr>
        <w:t>-</w:t>
      </w:r>
      <w:r w:rsidRPr="00105078">
        <w:rPr>
          <w:rFonts w:hint="cs"/>
          <w:rtl/>
        </w:rPr>
        <w:tab/>
      </w:r>
      <w:r>
        <w:rPr>
          <w:rFonts w:hint="cs"/>
          <w:rtl/>
        </w:rPr>
        <w:t>استعراض إعداد المبادئ التوجيهية المتعلقة بالهوية المرئية؛</w:t>
      </w:r>
    </w:p>
    <w:p w:rsidR="00BB4BB3" w:rsidRDefault="00BB4BB3" w:rsidP="00BB4BB3">
      <w:pPr>
        <w:pStyle w:val="enumlev10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>متابعة إدارة صندوق إمكانية النفاذ؛</w:t>
      </w:r>
    </w:p>
    <w:p w:rsidR="00BB4BB3" w:rsidRPr="008C7143" w:rsidRDefault="00BB4BB3" w:rsidP="00BB4BB3">
      <w:pPr>
        <w:pStyle w:val="enumlev10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>معالجة قضية التوازن بين الجن</w:t>
      </w:r>
      <w:r w:rsidR="003F0EC9">
        <w:rPr>
          <w:rFonts w:hint="cs"/>
          <w:rtl/>
        </w:rPr>
        <w:t>سين في اللجان النظامية للاتحاد؛</w:t>
      </w:r>
    </w:p>
    <w:p w:rsidR="00BB4BB3" w:rsidRDefault="00BB4BB3" w:rsidP="00393F2B">
      <w:pPr>
        <w:pStyle w:val="enumlev10"/>
        <w:rPr>
          <w:rtl/>
        </w:rPr>
      </w:pPr>
      <w:r w:rsidRPr="00105078">
        <w:rPr>
          <w:rFonts w:hint="cs"/>
          <w:rtl/>
        </w:rPr>
        <w:t>-</w:t>
      </w:r>
      <w:r w:rsidRPr="00105078">
        <w:rPr>
          <w:rFonts w:hint="cs"/>
          <w:rtl/>
        </w:rPr>
        <w:tab/>
      </w:r>
      <w:r>
        <w:rPr>
          <w:rFonts w:hint="cs"/>
          <w:rtl/>
        </w:rPr>
        <w:t>مواصلة استعراض التقرير المفصَّل بشأن حال</w:t>
      </w:r>
      <w:r w:rsidR="00393F2B">
        <w:rPr>
          <w:rFonts w:hint="cs"/>
          <w:rtl/>
        </w:rPr>
        <w:t>ة</w:t>
      </w:r>
      <w:r>
        <w:rPr>
          <w:rFonts w:hint="cs"/>
          <w:rtl/>
        </w:rPr>
        <w:t xml:space="preserve"> عضوية القطاعات بحسب القطاع </w:t>
      </w:r>
      <w:r w:rsidR="00393F2B">
        <w:rPr>
          <w:rFonts w:hint="cs"/>
          <w:rtl/>
        </w:rPr>
        <w:t>والمنطقة</w:t>
      </w:r>
      <w:r>
        <w:rPr>
          <w:rFonts w:hint="cs"/>
          <w:rtl/>
        </w:rPr>
        <w:t>؛</w:t>
      </w:r>
    </w:p>
    <w:p w:rsidR="00BB4BB3" w:rsidRPr="008C7143" w:rsidRDefault="00BB4BB3" w:rsidP="00BB4BB3">
      <w:pPr>
        <w:pStyle w:val="enumlev10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>الإشراف على تنفيذ المشروع التجريبي المتعلق بمشاركة الشركات الصغ</w:t>
      </w:r>
      <w:r w:rsidR="00EC1418">
        <w:rPr>
          <w:rFonts w:hint="cs"/>
          <w:rtl/>
        </w:rPr>
        <w:t>يرة والمتوسطة في أعمال الاتحاد.</w:t>
      </w:r>
    </w:p>
    <w:p w:rsidR="00BB4BB3" w:rsidRPr="00A63202" w:rsidRDefault="00BB4BB3" w:rsidP="00BB4BB3">
      <w:pPr>
        <w:pStyle w:val="Heading1"/>
        <w:rPr>
          <w:rtl/>
        </w:rPr>
      </w:pPr>
      <w:r w:rsidRPr="00A63202">
        <w:t>3</w:t>
      </w:r>
      <w:r w:rsidRPr="00A63202">
        <w:rPr>
          <w:rtl/>
        </w:rPr>
        <w:tab/>
      </w:r>
      <w:r w:rsidRPr="00A63202">
        <w:rPr>
          <w:rFonts w:hint="cs"/>
          <w:rtl/>
        </w:rPr>
        <w:t>التنسيق مع الأعضاء</w:t>
      </w:r>
    </w:p>
    <w:p w:rsidR="00BB4BB3" w:rsidRPr="00F30314" w:rsidRDefault="00BB4BB3" w:rsidP="00BB4BB3">
      <w:pPr>
        <w:rPr>
          <w:spacing w:val="-3"/>
          <w:rtl/>
          <w:lang w:bidi="ar-EG"/>
        </w:rPr>
      </w:pPr>
      <w:proofErr w:type="gramStart"/>
      <w:r w:rsidRPr="00F30314">
        <w:rPr>
          <w:spacing w:val="-3"/>
        </w:rPr>
        <w:t>1.3</w:t>
      </w:r>
      <w:proofErr w:type="gramEnd"/>
      <w:r w:rsidRPr="00F30314">
        <w:rPr>
          <w:spacing w:val="-3"/>
          <w:rtl/>
          <w:lang w:bidi="ar-EG"/>
        </w:rPr>
        <w:tab/>
      </w:r>
      <w:r w:rsidRPr="00F30314">
        <w:rPr>
          <w:rFonts w:hint="cs"/>
          <w:spacing w:val="-3"/>
          <w:rtl/>
          <w:lang w:bidi="ar"/>
        </w:rPr>
        <w:t xml:space="preserve">أُنشئ </w:t>
      </w:r>
      <w:r w:rsidRPr="00F30314">
        <w:rPr>
          <w:rFonts w:hint="eastAsia"/>
          <w:spacing w:val="-3"/>
          <w:rtl/>
          <w:lang w:bidi="ar"/>
        </w:rPr>
        <w:t>فريق</w:t>
      </w:r>
      <w:r w:rsidRPr="00F30314">
        <w:rPr>
          <w:spacing w:val="-3"/>
          <w:rtl/>
          <w:lang w:bidi="ar"/>
        </w:rPr>
        <w:t xml:space="preserve"> </w:t>
      </w:r>
      <w:r w:rsidRPr="00F30314">
        <w:rPr>
          <w:rFonts w:hint="eastAsia"/>
          <w:spacing w:val="-3"/>
          <w:rtl/>
          <w:lang w:bidi="ar"/>
        </w:rPr>
        <w:t>التنسيق</w:t>
      </w:r>
      <w:r w:rsidRPr="00F30314">
        <w:rPr>
          <w:spacing w:val="-3"/>
          <w:rtl/>
          <w:lang w:bidi="ar"/>
        </w:rPr>
        <w:t xml:space="preserve"> </w:t>
      </w:r>
      <w:r w:rsidRPr="00F30314">
        <w:rPr>
          <w:rFonts w:hint="eastAsia"/>
          <w:spacing w:val="-3"/>
          <w:rtl/>
          <w:lang w:bidi="ar"/>
        </w:rPr>
        <w:t>المشترك</w:t>
      </w:r>
      <w:r w:rsidRPr="00F30314">
        <w:rPr>
          <w:spacing w:val="-3"/>
          <w:rtl/>
          <w:lang w:bidi="ar"/>
        </w:rPr>
        <w:t xml:space="preserve"> </w:t>
      </w:r>
      <w:r w:rsidRPr="00F30314">
        <w:rPr>
          <w:rFonts w:hint="eastAsia"/>
          <w:spacing w:val="-3"/>
          <w:rtl/>
          <w:lang w:bidi="ar"/>
        </w:rPr>
        <w:t>بين</w:t>
      </w:r>
      <w:r w:rsidRPr="00F30314">
        <w:rPr>
          <w:spacing w:val="-3"/>
          <w:rtl/>
          <w:lang w:bidi="ar"/>
        </w:rPr>
        <w:t xml:space="preserve"> </w:t>
      </w:r>
      <w:r w:rsidRPr="00F30314">
        <w:rPr>
          <w:rFonts w:hint="eastAsia"/>
          <w:spacing w:val="-3"/>
          <w:rtl/>
          <w:lang w:bidi="ar"/>
        </w:rPr>
        <w:t>القطاعات</w:t>
      </w:r>
      <w:r w:rsidRPr="00F30314">
        <w:rPr>
          <w:spacing w:val="-3"/>
          <w:rtl/>
          <w:lang w:bidi="ar"/>
        </w:rPr>
        <w:t xml:space="preserve"> </w:t>
      </w:r>
      <w:r w:rsidRPr="00F30314">
        <w:rPr>
          <w:rFonts w:hint="eastAsia"/>
          <w:spacing w:val="-3"/>
          <w:rtl/>
          <w:lang w:bidi="ar"/>
        </w:rPr>
        <w:t>بشأن</w:t>
      </w:r>
      <w:r w:rsidRPr="00F30314">
        <w:rPr>
          <w:spacing w:val="-3"/>
          <w:rtl/>
          <w:lang w:bidi="ar"/>
        </w:rPr>
        <w:t xml:space="preserve"> </w:t>
      </w:r>
      <w:r w:rsidRPr="00F30314">
        <w:rPr>
          <w:rFonts w:hint="eastAsia"/>
          <w:spacing w:val="-3"/>
          <w:rtl/>
          <w:lang w:bidi="ar"/>
        </w:rPr>
        <w:t>المسائل</w:t>
      </w:r>
      <w:r w:rsidRPr="00F30314">
        <w:rPr>
          <w:spacing w:val="-3"/>
          <w:rtl/>
          <w:lang w:bidi="ar"/>
        </w:rPr>
        <w:t xml:space="preserve"> </w:t>
      </w:r>
      <w:r w:rsidRPr="00F30314">
        <w:rPr>
          <w:rFonts w:hint="eastAsia"/>
          <w:spacing w:val="-3"/>
          <w:rtl/>
          <w:lang w:bidi="ar"/>
        </w:rPr>
        <w:t>ذات</w:t>
      </w:r>
      <w:r w:rsidRPr="00F30314">
        <w:rPr>
          <w:spacing w:val="-3"/>
          <w:rtl/>
          <w:lang w:bidi="ar"/>
        </w:rPr>
        <w:t xml:space="preserve"> </w:t>
      </w:r>
      <w:r w:rsidRPr="00F30314">
        <w:rPr>
          <w:rFonts w:hint="eastAsia"/>
          <w:spacing w:val="-3"/>
          <w:rtl/>
          <w:lang w:bidi="ar"/>
        </w:rPr>
        <w:t>الاهتمام</w:t>
      </w:r>
      <w:r w:rsidRPr="00F30314">
        <w:rPr>
          <w:spacing w:val="-3"/>
          <w:rtl/>
          <w:lang w:bidi="ar"/>
        </w:rPr>
        <w:t xml:space="preserve"> </w:t>
      </w:r>
      <w:r w:rsidRPr="00F30314">
        <w:rPr>
          <w:rFonts w:hint="eastAsia"/>
          <w:spacing w:val="-3"/>
          <w:rtl/>
          <w:lang w:bidi="ar"/>
        </w:rPr>
        <w:t>المشترك</w:t>
      </w:r>
      <w:r w:rsidRPr="00F30314">
        <w:rPr>
          <w:rFonts w:hint="cs"/>
          <w:spacing w:val="-3"/>
          <w:rtl/>
          <w:lang w:bidi="ar"/>
        </w:rPr>
        <w:t xml:space="preserve"> </w:t>
      </w:r>
      <w:r w:rsidRPr="00F30314">
        <w:rPr>
          <w:spacing w:val="-3"/>
          <w:lang w:bidi="ar"/>
        </w:rPr>
        <w:t>(ISCT)</w:t>
      </w:r>
      <w:r w:rsidRPr="00F30314">
        <w:rPr>
          <w:rFonts w:hint="cs"/>
          <w:spacing w:val="-3"/>
          <w:rtl/>
          <w:lang w:bidi="ar"/>
        </w:rPr>
        <w:t xml:space="preserve"> بالاشتراك بين </w:t>
      </w:r>
      <w:r w:rsidRPr="00F30314">
        <w:rPr>
          <w:rFonts w:hint="cs"/>
          <w:spacing w:val="-3"/>
          <w:rtl/>
          <w:lang w:val="fr-CH"/>
        </w:rPr>
        <w:t>ال</w:t>
      </w:r>
      <w:r w:rsidRPr="00F30314">
        <w:rPr>
          <w:rFonts w:hint="eastAsia"/>
          <w:spacing w:val="-3"/>
          <w:rtl/>
          <w:lang w:val="fr-CH"/>
        </w:rPr>
        <w:t>فريق</w:t>
      </w:r>
      <w:r w:rsidRPr="00F30314">
        <w:rPr>
          <w:spacing w:val="-3"/>
          <w:rtl/>
          <w:lang w:val="fr-CH"/>
        </w:rPr>
        <w:t xml:space="preserve"> </w:t>
      </w:r>
      <w:r w:rsidRPr="00F30314">
        <w:rPr>
          <w:rFonts w:hint="eastAsia"/>
          <w:spacing w:val="-3"/>
          <w:rtl/>
          <w:lang w:val="fr-CH"/>
        </w:rPr>
        <w:t>الاستشاري</w:t>
      </w:r>
      <w:r w:rsidRPr="00F30314">
        <w:rPr>
          <w:spacing w:val="-3"/>
          <w:rtl/>
          <w:lang w:val="fr-CH"/>
        </w:rPr>
        <w:t xml:space="preserve"> </w:t>
      </w:r>
      <w:r w:rsidRPr="00F30314">
        <w:rPr>
          <w:rFonts w:hint="eastAsia"/>
          <w:spacing w:val="-3"/>
          <w:rtl/>
          <w:lang w:val="fr-CH"/>
        </w:rPr>
        <w:t>للاتصالات</w:t>
      </w:r>
      <w:r w:rsidRPr="00F30314">
        <w:rPr>
          <w:spacing w:val="-3"/>
          <w:rtl/>
          <w:lang w:val="fr-CH"/>
        </w:rPr>
        <w:t xml:space="preserve"> </w:t>
      </w:r>
      <w:r w:rsidRPr="00F30314">
        <w:rPr>
          <w:rFonts w:hint="eastAsia"/>
          <w:spacing w:val="-3"/>
          <w:rtl/>
          <w:lang w:val="fr-CH"/>
        </w:rPr>
        <w:t>الراديوية</w:t>
      </w:r>
      <w:r w:rsidRPr="00F30314">
        <w:rPr>
          <w:rFonts w:hint="cs"/>
          <w:spacing w:val="-3"/>
          <w:rtl/>
          <w:lang w:val="fr-CH"/>
        </w:rPr>
        <w:t> </w:t>
      </w:r>
      <w:r w:rsidRPr="00F30314">
        <w:rPr>
          <w:spacing w:val="-3"/>
        </w:rPr>
        <w:t>(RAG)</w:t>
      </w:r>
      <w:r w:rsidRPr="00F30314">
        <w:rPr>
          <w:spacing w:val="-3"/>
          <w:rtl/>
          <w:lang w:val="fr-CH"/>
        </w:rPr>
        <w:t xml:space="preserve"> </w:t>
      </w:r>
      <w:r w:rsidRPr="00F30314">
        <w:rPr>
          <w:rFonts w:hint="cs"/>
          <w:spacing w:val="-3"/>
          <w:rtl/>
          <w:lang w:val="fr-CH"/>
        </w:rPr>
        <w:t>والفريق</w:t>
      </w:r>
      <w:r w:rsidRPr="00F30314">
        <w:rPr>
          <w:spacing w:val="-3"/>
          <w:rtl/>
          <w:lang w:val="fr-CH"/>
        </w:rPr>
        <w:t xml:space="preserve"> </w:t>
      </w:r>
      <w:r w:rsidRPr="00F30314">
        <w:rPr>
          <w:rFonts w:hint="eastAsia"/>
          <w:spacing w:val="-3"/>
          <w:rtl/>
          <w:lang w:val="fr-CH"/>
        </w:rPr>
        <w:t>الاستشاري</w:t>
      </w:r>
      <w:r w:rsidRPr="00F30314">
        <w:rPr>
          <w:spacing w:val="-3"/>
          <w:rtl/>
          <w:lang w:val="fr-CH"/>
        </w:rPr>
        <w:t xml:space="preserve"> </w:t>
      </w:r>
      <w:r w:rsidRPr="00F30314">
        <w:rPr>
          <w:rFonts w:hint="eastAsia"/>
          <w:spacing w:val="-3"/>
          <w:rtl/>
          <w:lang w:val="fr-CH"/>
        </w:rPr>
        <w:t>لتقييس</w:t>
      </w:r>
      <w:r w:rsidRPr="00F30314">
        <w:rPr>
          <w:spacing w:val="-3"/>
          <w:rtl/>
          <w:lang w:val="fr-CH"/>
        </w:rPr>
        <w:t xml:space="preserve"> </w:t>
      </w:r>
      <w:r w:rsidRPr="00F30314">
        <w:rPr>
          <w:rFonts w:hint="eastAsia"/>
          <w:spacing w:val="-3"/>
          <w:rtl/>
          <w:lang w:val="fr-CH"/>
        </w:rPr>
        <w:t>الاتصالات</w:t>
      </w:r>
      <w:r w:rsidRPr="00F30314">
        <w:rPr>
          <w:rFonts w:hint="cs"/>
          <w:spacing w:val="-3"/>
          <w:rtl/>
          <w:lang w:val="fr-CH"/>
        </w:rPr>
        <w:t> </w:t>
      </w:r>
      <w:r w:rsidRPr="00F30314">
        <w:rPr>
          <w:spacing w:val="-3"/>
        </w:rPr>
        <w:t>(TSAG)</w:t>
      </w:r>
      <w:r w:rsidRPr="00F30314">
        <w:rPr>
          <w:rFonts w:hint="cs"/>
          <w:spacing w:val="-3"/>
          <w:rtl/>
          <w:lang w:val="fr-CH"/>
        </w:rPr>
        <w:t xml:space="preserve"> وا</w:t>
      </w:r>
      <w:r w:rsidRPr="00F30314">
        <w:rPr>
          <w:rFonts w:hint="eastAsia"/>
          <w:spacing w:val="-3"/>
          <w:rtl/>
          <w:lang w:val="fr-CH"/>
        </w:rPr>
        <w:t>لفريق</w:t>
      </w:r>
      <w:r w:rsidRPr="00F30314">
        <w:rPr>
          <w:spacing w:val="-3"/>
          <w:rtl/>
          <w:lang w:val="fr-CH"/>
        </w:rPr>
        <w:t xml:space="preserve"> </w:t>
      </w:r>
      <w:r w:rsidRPr="00F30314">
        <w:rPr>
          <w:rFonts w:hint="eastAsia"/>
          <w:spacing w:val="-3"/>
          <w:rtl/>
          <w:lang w:val="fr-CH"/>
        </w:rPr>
        <w:t>الاستشاري</w:t>
      </w:r>
      <w:r w:rsidRPr="00F30314">
        <w:rPr>
          <w:spacing w:val="-3"/>
          <w:rtl/>
          <w:lang w:val="fr-CH"/>
        </w:rPr>
        <w:t xml:space="preserve"> </w:t>
      </w:r>
      <w:r w:rsidRPr="00F30314">
        <w:rPr>
          <w:rFonts w:hint="eastAsia"/>
          <w:spacing w:val="-3"/>
          <w:rtl/>
          <w:lang w:val="fr-CH"/>
        </w:rPr>
        <w:t>لتنمية</w:t>
      </w:r>
      <w:r w:rsidRPr="00F30314">
        <w:rPr>
          <w:spacing w:val="-3"/>
          <w:rtl/>
          <w:lang w:val="fr-CH"/>
        </w:rPr>
        <w:t xml:space="preserve"> </w:t>
      </w:r>
      <w:r w:rsidRPr="00F30314">
        <w:rPr>
          <w:rFonts w:hint="eastAsia"/>
          <w:spacing w:val="-3"/>
          <w:rtl/>
          <w:lang w:val="fr-CH"/>
        </w:rPr>
        <w:t>الاتصالات</w:t>
      </w:r>
      <w:r w:rsidRPr="00F30314">
        <w:rPr>
          <w:rFonts w:hint="cs"/>
          <w:spacing w:val="-3"/>
          <w:rtl/>
          <w:lang w:val="fr-CH"/>
        </w:rPr>
        <w:t> </w:t>
      </w:r>
      <w:r w:rsidRPr="00F30314">
        <w:rPr>
          <w:spacing w:val="-3"/>
        </w:rPr>
        <w:t>(TDAG)</w:t>
      </w:r>
      <w:r w:rsidRPr="00F30314">
        <w:rPr>
          <w:rFonts w:hint="cs"/>
          <w:spacing w:val="-3"/>
          <w:rtl/>
          <w:lang w:bidi="ar"/>
        </w:rPr>
        <w:t>.</w:t>
      </w:r>
    </w:p>
    <w:p w:rsidR="00BB4BB3" w:rsidRPr="00A63202" w:rsidRDefault="00BB4BB3" w:rsidP="008A1ECE">
      <w:pPr>
        <w:rPr>
          <w:rtl/>
          <w:lang w:val="fr-CH"/>
        </w:rPr>
      </w:pPr>
      <w:proofErr w:type="gramStart"/>
      <w:r>
        <w:t>2</w:t>
      </w:r>
      <w:r w:rsidRPr="00502CBE">
        <w:t>.3</w:t>
      </w:r>
      <w:proofErr w:type="gramEnd"/>
      <w:r w:rsidRPr="00502CBE">
        <w:tab/>
      </w:r>
      <w:r w:rsidRPr="004066A6">
        <w:rPr>
          <w:rFonts w:hint="cs"/>
          <w:rtl/>
          <w:lang w:val="fr-CH"/>
        </w:rPr>
        <w:t xml:space="preserve">نوقشت </w:t>
      </w:r>
      <w:r>
        <w:rPr>
          <w:rFonts w:hint="cs"/>
          <w:rtl/>
          <w:lang w:val="fr-CH"/>
        </w:rPr>
        <w:t xml:space="preserve">هذه المسألة </w:t>
      </w:r>
      <w:r w:rsidRPr="004066A6">
        <w:rPr>
          <w:rFonts w:hint="cs"/>
          <w:rtl/>
          <w:lang w:val="fr-CH"/>
        </w:rPr>
        <w:t>في الاجتماعات التي عقدها ال</w:t>
      </w:r>
      <w:r w:rsidRPr="004066A6">
        <w:rPr>
          <w:rFonts w:hint="eastAsia"/>
          <w:rtl/>
          <w:lang w:val="fr-CH"/>
        </w:rPr>
        <w:t>فريق</w:t>
      </w:r>
      <w:r w:rsidRPr="004066A6">
        <w:rPr>
          <w:rtl/>
          <w:lang w:val="fr-CH"/>
        </w:rPr>
        <w:t xml:space="preserve"> </w:t>
      </w:r>
      <w:r w:rsidRPr="004066A6">
        <w:rPr>
          <w:rFonts w:hint="eastAsia"/>
          <w:rtl/>
          <w:lang w:val="fr-CH"/>
        </w:rPr>
        <w:t>الاستشاري</w:t>
      </w:r>
      <w:r w:rsidRPr="004066A6">
        <w:rPr>
          <w:rtl/>
          <w:lang w:val="fr-CH"/>
        </w:rPr>
        <w:t xml:space="preserve"> </w:t>
      </w:r>
      <w:r w:rsidRPr="004066A6">
        <w:rPr>
          <w:rFonts w:hint="eastAsia"/>
          <w:rtl/>
          <w:lang w:val="fr-CH"/>
        </w:rPr>
        <w:t>للاتصالات</w:t>
      </w:r>
      <w:r w:rsidRPr="004066A6">
        <w:rPr>
          <w:rtl/>
          <w:lang w:val="fr-CH"/>
        </w:rPr>
        <w:t xml:space="preserve"> </w:t>
      </w:r>
      <w:r w:rsidRPr="004066A6">
        <w:rPr>
          <w:rFonts w:hint="eastAsia"/>
          <w:rtl/>
          <w:lang w:val="fr-CH"/>
        </w:rPr>
        <w:t>الراديوية</w:t>
      </w:r>
      <w:r w:rsidRPr="004066A6">
        <w:rPr>
          <w:rtl/>
          <w:lang w:val="fr-CH"/>
        </w:rPr>
        <w:t xml:space="preserve"> </w:t>
      </w:r>
      <w:r w:rsidRPr="004066A6">
        <w:rPr>
          <w:rFonts w:hint="cs"/>
          <w:rtl/>
          <w:lang w:val="fr-CH"/>
        </w:rPr>
        <w:t>والفريق</w:t>
      </w:r>
      <w:r w:rsidRPr="004066A6">
        <w:rPr>
          <w:rtl/>
          <w:lang w:val="fr-CH"/>
        </w:rPr>
        <w:t xml:space="preserve"> </w:t>
      </w:r>
      <w:r w:rsidRPr="004066A6">
        <w:rPr>
          <w:rFonts w:hint="eastAsia"/>
          <w:rtl/>
          <w:lang w:val="fr-CH"/>
        </w:rPr>
        <w:t>الاستشاري</w:t>
      </w:r>
      <w:r w:rsidRPr="004066A6">
        <w:rPr>
          <w:rtl/>
          <w:lang w:val="fr-CH"/>
        </w:rPr>
        <w:t xml:space="preserve"> </w:t>
      </w:r>
      <w:r w:rsidRPr="004066A6">
        <w:rPr>
          <w:rFonts w:hint="eastAsia"/>
          <w:rtl/>
          <w:lang w:val="fr-CH"/>
        </w:rPr>
        <w:t>لتقييس</w:t>
      </w:r>
      <w:r w:rsidRPr="004066A6">
        <w:rPr>
          <w:rtl/>
          <w:lang w:val="fr-CH"/>
        </w:rPr>
        <w:t xml:space="preserve"> </w:t>
      </w:r>
      <w:r w:rsidRPr="004066A6">
        <w:rPr>
          <w:rFonts w:hint="eastAsia"/>
          <w:rtl/>
          <w:lang w:val="fr-CH"/>
        </w:rPr>
        <w:t>الاتصالات</w:t>
      </w:r>
      <w:r w:rsidRPr="004066A6">
        <w:rPr>
          <w:rFonts w:hint="cs"/>
          <w:rtl/>
          <w:lang w:val="fr-CH"/>
        </w:rPr>
        <w:t xml:space="preserve"> وا</w:t>
      </w:r>
      <w:r w:rsidRPr="004066A6">
        <w:rPr>
          <w:rFonts w:hint="eastAsia"/>
          <w:rtl/>
          <w:lang w:val="fr-CH"/>
        </w:rPr>
        <w:t>لفريق</w:t>
      </w:r>
      <w:r w:rsidRPr="004066A6">
        <w:rPr>
          <w:rtl/>
          <w:lang w:val="fr-CH"/>
        </w:rPr>
        <w:t xml:space="preserve"> </w:t>
      </w:r>
      <w:r w:rsidRPr="004066A6">
        <w:rPr>
          <w:rFonts w:hint="eastAsia"/>
          <w:rtl/>
          <w:lang w:val="fr-CH"/>
        </w:rPr>
        <w:t>الاستشاري</w:t>
      </w:r>
      <w:r w:rsidRPr="004066A6">
        <w:rPr>
          <w:rtl/>
          <w:lang w:val="fr-CH"/>
        </w:rPr>
        <w:t xml:space="preserve"> </w:t>
      </w:r>
      <w:r w:rsidRPr="004066A6">
        <w:rPr>
          <w:rFonts w:hint="eastAsia"/>
          <w:rtl/>
          <w:lang w:val="fr-CH"/>
        </w:rPr>
        <w:t>لتنمية</w:t>
      </w:r>
      <w:r w:rsidRPr="004066A6">
        <w:rPr>
          <w:rtl/>
          <w:lang w:val="fr-CH"/>
        </w:rPr>
        <w:t xml:space="preserve"> </w:t>
      </w:r>
      <w:r w:rsidRPr="004066A6">
        <w:rPr>
          <w:rFonts w:hint="eastAsia"/>
          <w:rtl/>
          <w:lang w:val="fr-CH"/>
        </w:rPr>
        <w:t>الاتصالات</w:t>
      </w:r>
      <w:r w:rsidRPr="004066A6">
        <w:rPr>
          <w:rFonts w:hint="cs"/>
          <w:rtl/>
          <w:lang w:val="fr-CH"/>
        </w:rPr>
        <w:t xml:space="preserve"> في عامي </w:t>
      </w:r>
      <w:r w:rsidRPr="004066A6">
        <w:t>2014</w:t>
      </w:r>
      <w:r w:rsidRPr="004066A6">
        <w:rPr>
          <w:rFonts w:hint="cs"/>
          <w:rtl/>
        </w:rPr>
        <w:t xml:space="preserve"> و</w:t>
      </w:r>
      <w:r w:rsidRPr="004066A6">
        <w:t>2015</w:t>
      </w:r>
      <w:r w:rsidRPr="004066A6">
        <w:rPr>
          <w:rFonts w:hint="cs"/>
          <w:rtl/>
          <w:lang w:val="fr-CH"/>
        </w:rPr>
        <w:t>، وقُدِّمت التوجيهات اللازمة في</w:t>
      </w:r>
      <w:r w:rsidRPr="004066A6">
        <w:rPr>
          <w:rFonts w:hint="eastAsia"/>
          <w:rtl/>
          <w:lang w:val="fr-CH"/>
        </w:rPr>
        <w:t> </w:t>
      </w:r>
      <w:r w:rsidRPr="004066A6">
        <w:rPr>
          <w:rFonts w:hint="cs"/>
          <w:rtl/>
          <w:lang w:val="fr-CH"/>
        </w:rPr>
        <w:t xml:space="preserve">هذا الصدد إلى المكاتب (وردت معلومات أساسية بهذا الخصوص في </w:t>
      </w:r>
      <w:hyperlink r:id="rId12" w:history="1">
        <w:r w:rsidRPr="004066A6">
          <w:rPr>
            <w:rStyle w:val="Hyperlink"/>
            <w:rFonts w:hint="cs"/>
            <w:rtl/>
            <w:lang w:val="fr-CH"/>
          </w:rPr>
          <w:t>الوثيقة </w:t>
        </w:r>
        <w:r w:rsidRPr="004066A6">
          <w:rPr>
            <w:rStyle w:val="Hyperlink"/>
          </w:rPr>
          <w:t>C15/38(Rev.1)</w:t>
        </w:r>
      </w:hyperlink>
      <w:r w:rsidRPr="004066A6">
        <w:rPr>
          <w:rtl/>
          <w:lang w:val="fr-CH"/>
        </w:rPr>
        <w:t>)</w:t>
      </w:r>
      <w:r w:rsidRPr="004066A6">
        <w:rPr>
          <w:rFonts w:hint="cs"/>
          <w:rtl/>
          <w:lang w:val="fr-CH"/>
        </w:rPr>
        <w:t xml:space="preserve">. وحُدِّدت </w:t>
      </w:r>
      <w:hyperlink r:id="rId13" w:history="1">
        <w:r w:rsidRPr="004066A6">
          <w:rPr>
            <w:rStyle w:val="Hyperlink"/>
            <w:rFonts w:hint="cs"/>
            <w:rtl/>
            <w:lang w:val="fr-CH"/>
          </w:rPr>
          <w:t>اختصاصات</w:t>
        </w:r>
      </w:hyperlink>
      <w:r w:rsidRPr="00502CBE">
        <w:rPr>
          <w:rFonts w:hint="cs"/>
          <w:rtl/>
          <w:lang w:val="fr-CH"/>
        </w:rPr>
        <w:t xml:space="preserve"> </w:t>
      </w:r>
      <w:r>
        <w:rPr>
          <w:rFonts w:hint="cs"/>
          <w:rtl/>
          <w:lang w:val="fr-CH"/>
        </w:rPr>
        <w:t xml:space="preserve">فريق التنسيق المشترك </w:t>
      </w:r>
      <w:r w:rsidRPr="00502CBE">
        <w:rPr>
          <w:rFonts w:hint="cs"/>
          <w:rtl/>
          <w:lang w:val="fr-CH"/>
        </w:rPr>
        <w:t>واتُّفق عليها فيما</w:t>
      </w:r>
      <w:r w:rsidR="008A1ECE">
        <w:rPr>
          <w:rFonts w:hint="eastAsia"/>
          <w:rtl/>
          <w:lang w:val="fr-CH"/>
        </w:rPr>
        <w:t> </w:t>
      </w:r>
      <w:r w:rsidRPr="00502CBE">
        <w:rPr>
          <w:rFonts w:hint="cs"/>
          <w:rtl/>
          <w:lang w:val="fr-CH"/>
        </w:rPr>
        <w:t>بين القطاعات وعُيِّن فريق الإدارة.</w:t>
      </w:r>
    </w:p>
    <w:p w:rsidR="00BB4BB3" w:rsidRDefault="00BB4BB3" w:rsidP="00EC1418">
      <w:pPr>
        <w:spacing w:after="120"/>
        <w:rPr>
          <w:rtl/>
        </w:rPr>
      </w:pPr>
      <w:proofErr w:type="gramStart"/>
      <w:r>
        <w:t>3</w:t>
      </w:r>
      <w:r w:rsidRPr="00A63202">
        <w:t>.3</w:t>
      </w:r>
      <w:proofErr w:type="gramEnd"/>
      <w:r w:rsidRPr="00A63202">
        <w:tab/>
      </w:r>
      <w:r>
        <w:rPr>
          <w:rFonts w:hint="cs"/>
          <w:rtl/>
        </w:rPr>
        <w:t xml:space="preserve">عقد فريق التنسيق المشترك منذ إنشائه أربعة اجتماعات بالتزامن مع اجتماعات الفريق الاستشاري لتنمية الاتصالات. وقام في اجتماعه الذي عُقد في </w:t>
      </w:r>
      <w:r>
        <w:t>10</w:t>
      </w:r>
      <w:r>
        <w:rPr>
          <w:rFonts w:hint="cs"/>
          <w:rtl/>
          <w:lang w:bidi="ar-EG"/>
        </w:rPr>
        <w:t xml:space="preserve"> مايو </w:t>
      </w:r>
      <w:r>
        <w:rPr>
          <w:lang w:bidi="ar-EG"/>
        </w:rPr>
        <w:t>2017</w:t>
      </w:r>
      <w:r>
        <w:rPr>
          <w:rFonts w:hint="cs"/>
          <w:rtl/>
          <w:lang w:bidi="ar-EG"/>
        </w:rPr>
        <w:t>، بتحديث قائمة المجالات ذات الاهتمام المشترك لكي تشمل المواضيع المرشحة</w:t>
      </w:r>
      <w:r>
        <w:rPr>
          <w:rFonts w:hint="cs"/>
          <w:rtl/>
        </w:rPr>
        <w:t xml:space="preserve"> بشأن أساليب العمل من أجل التنسيق بين قطاعات الاتحاد. وقام</w:t>
      </w:r>
      <w:r w:rsidR="008A1ECE">
        <w:rPr>
          <w:rFonts w:hint="cs"/>
          <w:rtl/>
        </w:rPr>
        <w:t xml:space="preserve"> الفريق</w:t>
      </w:r>
      <w:r>
        <w:rPr>
          <w:rFonts w:hint="cs"/>
          <w:rtl/>
        </w:rPr>
        <w:t xml:space="preserve"> أيضاً باستعراض أوجه تقابل مجالات العمل ذات الاهتمام المشترك بين </w:t>
      </w:r>
      <w:r w:rsidR="008A1ECE">
        <w:rPr>
          <w:rFonts w:hint="cs"/>
          <w:rtl/>
        </w:rPr>
        <w:t>لجان دراسات قطاع تنمية الاتصالات و</w:t>
      </w:r>
      <w:r>
        <w:rPr>
          <w:rFonts w:hint="cs"/>
          <w:rtl/>
        </w:rPr>
        <w:t>قطاع تقي</w:t>
      </w:r>
      <w:r w:rsidR="008A1ECE">
        <w:rPr>
          <w:rFonts w:hint="cs"/>
          <w:rtl/>
        </w:rPr>
        <w:t xml:space="preserve">يس الاتصالات وبين لجان دراسات </w:t>
      </w:r>
      <w:r>
        <w:rPr>
          <w:rFonts w:hint="cs"/>
          <w:rtl/>
        </w:rPr>
        <w:t>ق</w:t>
      </w:r>
      <w:r w:rsidR="008A1ECE">
        <w:rPr>
          <w:rFonts w:hint="cs"/>
          <w:rtl/>
        </w:rPr>
        <w:t xml:space="preserve">طاع الاتصالات الراديوية </w:t>
      </w:r>
      <w:r w:rsidR="00EC1418">
        <w:rPr>
          <w:rFonts w:hint="cs"/>
          <w:rtl/>
        </w:rPr>
        <w:t>و</w:t>
      </w:r>
      <w:r>
        <w:rPr>
          <w:rFonts w:hint="cs"/>
          <w:rtl/>
        </w:rPr>
        <w:t>قطاع تقييس</w:t>
      </w:r>
      <w:r w:rsidR="008A1ECE">
        <w:rPr>
          <w:rFonts w:hint="cs"/>
          <w:rtl/>
        </w:rPr>
        <w:t xml:space="preserve"> الاتصالات</w:t>
      </w:r>
      <w:r w:rsidR="00EC1418">
        <w:rPr>
          <w:rFonts w:hint="cs"/>
          <w:rtl/>
        </w:rPr>
        <w:t>، والموافقة عليها.</w:t>
      </w:r>
    </w:p>
    <w:p w:rsidR="0074420E" w:rsidRDefault="003F0EC9" w:rsidP="00F2676C">
      <w:pPr>
        <w:spacing w:before="600"/>
        <w:jc w:val="center"/>
        <w:rPr>
          <w:lang w:bidi="ar-EG"/>
        </w:rPr>
      </w:pPr>
      <w:r>
        <w:rPr>
          <w:rFonts w:hint="cs"/>
          <w:rtl/>
          <w:lang w:bidi="ar-SY"/>
        </w:rPr>
        <w:t>___________</w:t>
      </w:r>
    </w:p>
    <w:sectPr w:rsidR="0074420E" w:rsidSect="006C3242">
      <w:headerReference w:type="default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8AE" w:rsidRDefault="00E708AE" w:rsidP="006C3242">
      <w:pPr>
        <w:spacing w:before="0" w:line="240" w:lineRule="auto"/>
      </w:pPr>
      <w:r>
        <w:separator/>
      </w:r>
    </w:p>
  </w:endnote>
  <w:endnote w:type="continuationSeparator" w:id="0">
    <w:p w:rsidR="00E708AE" w:rsidRDefault="00E708AE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8AE" w:rsidRPr="00D06EC0" w:rsidRDefault="00E708AE" w:rsidP="00A95DF5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color w:val="D9D9D9" w:themeColor="background1" w:themeShade="D9"/>
        <w:sz w:val="16"/>
        <w:szCs w:val="16"/>
        <w:lang w:val="fr-FR"/>
      </w:rPr>
    </w:pPr>
    <w:r w:rsidRPr="00D06EC0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begin"/>
    </w:r>
    <w:r w:rsidRPr="00D06EC0">
      <w:rPr>
        <w:rFonts w:ascii="Calibri" w:hAnsi="Calibri" w:cs="Calibri"/>
        <w:color w:val="D9D9D9" w:themeColor="background1" w:themeShade="D9"/>
        <w:sz w:val="16"/>
        <w:szCs w:val="16"/>
        <w:lang w:val="fr-FR"/>
      </w:rPr>
      <w:instrText xml:space="preserve"> FILENAME \p \* MERGEFORMAT </w:instrText>
    </w:r>
    <w:r w:rsidRPr="00D06EC0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separate"/>
    </w:r>
    <w:r w:rsidRPr="00D06EC0">
      <w:rPr>
        <w:rFonts w:ascii="Calibri" w:hAnsi="Calibri" w:cs="Calibri"/>
        <w:noProof/>
        <w:color w:val="D9D9D9" w:themeColor="background1" w:themeShade="D9"/>
        <w:sz w:val="16"/>
        <w:szCs w:val="16"/>
        <w:lang w:val="fr-FR"/>
      </w:rPr>
      <w:t>P:\ARA\SG\CONSEIL\C18\000\038A.docx</w:t>
    </w:r>
    <w:r w:rsidRPr="00D06EC0">
      <w:rPr>
        <w:rFonts w:ascii="Calibri" w:hAnsi="Calibri" w:cs="Calibri"/>
        <w:color w:val="D9D9D9" w:themeColor="background1" w:themeShade="D9"/>
        <w:sz w:val="16"/>
        <w:szCs w:val="16"/>
      </w:rPr>
      <w:fldChar w:fldCharType="end"/>
    </w:r>
    <w:r w:rsidRPr="00D06EC0">
      <w:rPr>
        <w:rFonts w:ascii="Calibri" w:hAnsi="Calibri" w:cs="Calibri"/>
        <w:color w:val="D9D9D9" w:themeColor="background1" w:themeShade="D9"/>
        <w:sz w:val="16"/>
        <w:szCs w:val="16"/>
        <w:lang w:val="fr-CH"/>
      </w:rPr>
      <w:t xml:space="preserve">  </w:t>
    </w:r>
    <w:r w:rsidRPr="00D06EC0">
      <w:rPr>
        <w:rFonts w:ascii="Calibri" w:hAnsi="Calibri" w:cs="Calibri"/>
        <w:color w:val="D9D9D9" w:themeColor="background1" w:themeShade="D9"/>
        <w:sz w:val="16"/>
        <w:szCs w:val="16"/>
        <w:lang w:val="fr-FR"/>
      </w:rPr>
      <w:t xml:space="preserve"> (425113)</w:t>
    </w:r>
    <w:r w:rsidRPr="00D06EC0">
      <w:rPr>
        <w:rFonts w:ascii="Calibri" w:hAnsi="Calibri" w:cs="Calibri"/>
        <w:color w:val="D9D9D9" w:themeColor="background1" w:themeShade="D9"/>
        <w:sz w:val="16"/>
        <w:szCs w:val="16"/>
        <w:lang w:val="fr-FR"/>
      </w:rPr>
      <w:tab/>
    </w:r>
    <w:r w:rsidRPr="00D06EC0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begin"/>
    </w:r>
    <w:r w:rsidRPr="00D06EC0">
      <w:rPr>
        <w:rFonts w:ascii="Calibri" w:hAnsi="Calibri" w:cs="Calibri"/>
        <w:color w:val="D9D9D9" w:themeColor="background1" w:themeShade="D9"/>
        <w:sz w:val="16"/>
        <w:szCs w:val="16"/>
        <w:lang w:val="fr-FR"/>
      </w:rPr>
      <w:instrText xml:space="preserve"> savedate \@ dd.MM.yy </w:instrText>
    </w:r>
    <w:r w:rsidRPr="00D06EC0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separate"/>
    </w:r>
    <w:r w:rsidR="00D06EC0" w:rsidRPr="00D06EC0">
      <w:rPr>
        <w:rFonts w:ascii="Calibri" w:hAnsi="Calibri" w:cs="Calibri"/>
        <w:noProof/>
        <w:color w:val="D9D9D9" w:themeColor="background1" w:themeShade="D9"/>
        <w:sz w:val="16"/>
        <w:szCs w:val="16"/>
        <w:lang w:val="fr-FR"/>
      </w:rPr>
      <w:t>28.03.18</w:t>
    </w:r>
    <w:r w:rsidRPr="00D06EC0">
      <w:rPr>
        <w:rFonts w:ascii="Calibri" w:hAnsi="Calibri" w:cs="Calibri"/>
        <w:color w:val="D9D9D9" w:themeColor="background1" w:themeShade="D9"/>
        <w:sz w:val="16"/>
        <w:szCs w:val="16"/>
      </w:rPr>
      <w:fldChar w:fldCharType="end"/>
    </w:r>
    <w:r w:rsidRPr="00D06EC0">
      <w:rPr>
        <w:rFonts w:ascii="Calibri" w:hAnsi="Calibri" w:cs="Calibri"/>
        <w:color w:val="D9D9D9" w:themeColor="background1" w:themeShade="D9"/>
        <w:sz w:val="16"/>
        <w:szCs w:val="16"/>
        <w:lang w:val="fr-FR"/>
      </w:rPr>
      <w:tab/>
    </w:r>
    <w:r w:rsidRPr="00D06EC0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begin"/>
    </w:r>
    <w:r w:rsidRPr="00D06EC0">
      <w:rPr>
        <w:rFonts w:ascii="Calibri" w:hAnsi="Calibri" w:cs="Calibri"/>
        <w:color w:val="D9D9D9" w:themeColor="background1" w:themeShade="D9"/>
        <w:sz w:val="16"/>
        <w:szCs w:val="16"/>
        <w:lang w:val="fr-FR"/>
      </w:rPr>
      <w:instrText xml:space="preserve"> printdate \@ dd.MM.yy </w:instrText>
    </w:r>
    <w:r w:rsidRPr="00D06EC0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separate"/>
    </w:r>
    <w:r w:rsidRPr="00D06EC0">
      <w:rPr>
        <w:rFonts w:ascii="Calibri" w:hAnsi="Calibri" w:cs="Calibri"/>
        <w:noProof/>
        <w:color w:val="D9D9D9" w:themeColor="background1" w:themeShade="D9"/>
        <w:sz w:val="16"/>
        <w:szCs w:val="16"/>
        <w:lang w:val="fr-FR"/>
      </w:rPr>
      <w:t>00.00.00</w:t>
    </w:r>
    <w:r w:rsidRPr="00D06EC0">
      <w:rPr>
        <w:rFonts w:ascii="Calibri" w:hAnsi="Calibri" w:cs="Calibri"/>
        <w:color w:val="D9D9D9" w:themeColor="background1" w:themeShade="D9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8AE" w:rsidRPr="006C3242" w:rsidRDefault="00E708AE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8AE" w:rsidRDefault="00E708AE" w:rsidP="006C3242">
      <w:pPr>
        <w:spacing w:before="0" w:line="240" w:lineRule="auto"/>
      </w:pPr>
      <w:r>
        <w:separator/>
      </w:r>
    </w:p>
  </w:footnote>
  <w:footnote w:type="continuationSeparator" w:id="0">
    <w:p w:rsidR="00E708AE" w:rsidRDefault="00E708AE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8AE" w:rsidRPr="00447F32" w:rsidRDefault="00D06EC0" w:rsidP="00A95DF5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E708AE" w:rsidRPr="00447F32">
          <w:rPr>
            <w:rFonts w:cs="Calibri"/>
            <w:sz w:val="20"/>
            <w:szCs w:val="20"/>
          </w:rPr>
          <w:fldChar w:fldCharType="begin"/>
        </w:r>
        <w:r w:rsidR="00E708AE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E708AE"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noProof/>
            <w:sz w:val="20"/>
            <w:szCs w:val="20"/>
          </w:rPr>
          <w:t>2</w:t>
        </w:r>
        <w:r w:rsidR="00E708AE" w:rsidRPr="00447F32">
          <w:rPr>
            <w:rFonts w:cs="Calibri"/>
            <w:noProof/>
            <w:sz w:val="20"/>
            <w:szCs w:val="20"/>
          </w:rPr>
          <w:fldChar w:fldCharType="end"/>
        </w:r>
        <w:r w:rsidR="00E708AE" w:rsidRPr="00447F32">
          <w:rPr>
            <w:rFonts w:cs="Calibri"/>
            <w:noProof/>
            <w:sz w:val="20"/>
            <w:szCs w:val="20"/>
          </w:rPr>
          <w:br/>
          <w:t>C1</w:t>
        </w:r>
        <w:r w:rsidR="00E708AE">
          <w:rPr>
            <w:rFonts w:cs="Calibri"/>
            <w:noProof/>
            <w:sz w:val="20"/>
            <w:szCs w:val="20"/>
          </w:rPr>
          <w:t>8</w:t>
        </w:r>
        <w:r w:rsidR="00E708AE" w:rsidRPr="00447F32">
          <w:rPr>
            <w:rFonts w:cs="Calibri"/>
            <w:noProof/>
            <w:sz w:val="20"/>
            <w:szCs w:val="20"/>
          </w:rPr>
          <w:t>/</w:t>
        </w:r>
        <w:r w:rsidR="00E708AE">
          <w:rPr>
            <w:rFonts w:cs="Calibri"/>
            <w:noProof/>
            <w:sz w:val="20"/>
            <w:szCs w:val="20"/>
          </w:rPr>
          <w:t>38</w:t>
        </w:r>
        <w:r w:rsidR="00E708AE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BB3"/>
    <w:rsid w:val="00090574"/>
    <w:rsid w:val="000C548A"/>
    <w:rsid w:val="00134BC7"/>
    <w:rsid w:val="001C0169"/>
    <w:rsid w:val="001D1D50"/>
    <w:rsid w:val="001E446E"/>
    <w:rsid w:val="002154EE"/>
    <w:rsid w:val="0023283D"/>
    <w:rsid w:val="00271C43"/>
    <w:rsid w:val="00290728"/>
    <w:rsid w:val="002978F4"/>
    <w:rsid w:val="002B028D"/>
    <w:rsid w:val="002E6541"/>
    <w:rsid w:val="003409BC"/>
    <w:rsid w:val="00357185"/>
    <w:rsid w:val="00383829"/>
    <w:rsid w:val="00393F2B"/>
    <w:rsid w:val="003B1C51"/>
    <w:rsid w:val="003F0EC9"/>
    <w:rsid w:val="003F4B29"/>
    <w:rsid w:val="0042686F"/>
    <w:rsid w:val="004317D8"/>
    <w:rsid w:val="00432C28"/>
    <w:rsid w:val="00443869"/>
    <w:rsid w:val="00447F32"/>
    <w:rsid w:val="0048472D"/>
    <w:rsid w:val="00492501"/>
    <w:rsid w:val="004B43D1"/>
    <w:rsid w:val="004C0583"/>
    <w:rsid w:val="004E11DC"/>
    <w:rsid w:val="005409AC"/>
    <w:rsid w:val="00550218"/>
    <w:rsid w:val="0055516A"/>
    <w:rsid w:val="00562D40"/>
    <w:rsid w:val="00576142"/>
    <w:rsid w:val="0058491B"/>
    <w:rsid w:val="005A3170"/>
    <w:rsid w:val="0063725D"/>
    <w:rsid w:val="0069200F"/>
    <w:rsid w:val="006A65CB"/>
    <w:rsid w:val="006C3242"/>
    <w:rsid w:val="006C7CC0"/>
    <w:rsid w:val="006F63F7"/>
    <w:rsid w:val="00706D7A"/>
    <w:rsid w:val="00722F0D"/>
    <w:rsid w:val="0074420E"/>
    <w:rsid w:val="00746B77"/>
    <w:rsid w:val="00783E26"/>
    <w:rsid w:val="007C3BC7"/>
    <w:rsid w:val="007D4ACF"/>
    <w:rsid w:val="007F0787"/>
    <w:rsid w:val="007F1407"/>
    <w:rsid w:val="00810B7B"/>
    <w:rsid w:val="008235CD"/>
    <w:rsid w:val="008247DE"/>
    <w:rsid w:val="00840B10"/>
    <w:rsid w:val="008513CB"/>
    <w:rsid w:val="008A1ECE"/>
    <w:rsid w:val="00923B0C"/>
    <w:rsid w:val="0094021C"/>
    <w:rsid w:val="00982B28"/>
    <w:rsid w:val="009D313F"/>
    <w:rsid w:val="00A47A5A"/>
    <w:rsid w:val="00A6683B"/>
    <w:rsid w:val="00A95DF5"/>
    <w:rsid w:val="00A97F94"/>
    <w:rsid w:val="00B05BC8"/>
    <w:rsid w:val="00B64B47"/>
    <w:rsid w:val="00B777AB"/>
    <w:rsid w:val="00BB4BB3"/>
    <w:rsid w:val="00C002DE"/>
    <w:rsid w:val="00C53BF8"/>
    <w:rsid w:val="00C66157"/>
    <w:rsid w:val="00C674FE"/>
    <w:rsid w:val="00C75633"/>
    <w:rsid w:val="00CE2EE1"/>
    <w:rsid w:val="00CF3FFD"/>
    <w:rsid w:val="00D06EC0"/>
    <w:rsid w:val="00D52DD8"/>
    <w:rsid w:val="00D77D0F"/>
    <w:rsid w:val="00DA1CF0"/>
    <w:rsid w:val="00DC1E02"/>
    <w:rsid w:val="00DC24B4"/>
    <w:rsid w:val="00DF16DC"/>
    <w:rsid w:val="00E45211"/>
    <w:rsid w:val="00E708AE"/>
    <w:rsid w:val="00EB796D"/>
    <w:rsid w:val="00EC1418"/>
    <w:rsid w:val="00F20ED8"/>
    <w:rsid w:val="00F24FC4"/>
    <w:rsid w:val="00F2676C"/>
    <w:rsid w:val="00F30314"/>
    <w:rsid w:val="00F342A6"/>
    <w:rsid w:val="00F84366"/>
    <w:rsid w:val="00F85089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BCBA0C26-0A42-4348-8C22-B3EE496B6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BB3"/>
    <w:pPr>
      <w:tabs>
        <w:tab w:val="left" w:pos="1134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872"/>
    <w:pPr>
      <w:keepNext/>
      <w:keepLines/>
      <w:spacing w:before="360"/>
      <w:ind w:left="1134" w:hanging="113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5872"/>
    <w:pPr>
      <w:keepNext/>
      <w:keepLines/>
      <w:spacing w:before="300"/>
      <w:ind w:left="1134" w:hanging="113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5872"/>
    <w:pPr>
      <w:keepNext/>
      <w:keepLines/>
      <w:spacing w:before="240"/>
      <w:ind w:left="1134" w:hanging="113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5872"/>
    <w:pPr>
      <w:keepNext/>
      <w:keepLines/>
      <w:spacing w:before="160"/>
      <w:ind w:left="1134" w:hanging="113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E5872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E5872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FE5872"/>
    <w:pPr>
      <w:tabs>
        <w:tab w:val="clear" w:pos="1134"/>
      </w:tabs>
      <w:spacing w:before="80"/>
      <w:ind w:left="1134" w:hanging="113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E5872"/>
    <w:pPr>
      <w:spacing w:before="80"/>
      <w:ind w:left="2268" w:hanging="1134"/>
      <w:outlineLvl w:val="1"/>
    </w:pPr>
  </w:style>
  <w:style w:type="paragraph" w:customStyle="1" w:styleId="enumlev3">
    <w:name w:val="enumlev 3"/>
    <w:basedOn w:val="Normal"/>
    <w:qFormat/>
    <w:rsid w:val="00FE5872"/>
    <w:pPr>
      <w:spacing w:before="80"/>
      <w:ind w:left="3119" w:hanging="113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383829"/>
    <w:pPr>
      <w:keepNext/>
      <w:framePr w:hSpace="180" w:wrap="around" w:hAnchor="text" w:y="-612"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7C3BC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spacing w:before="240"/>
      <w:ind w:left="1134" w:hanging="1134"/>
    </w:pPr>
    <w:rPr>
      <w:b/>
      <w:bCs/>
    </w:rPr>
  </w:style>
  <w:style w:type="paragraph" w:customStyle="1" w:styleId="enumlev10">
    <w:name w:val="enumlev1"/>
    <w:basedOn w:val="Normal"/>
    <w:next w:val="Normal"/>
    <w:link w:val="enumlev1Char"/>
    <w:qFormat/>
    <w:rsid w:val="00BB4BB3"/>
    <w:pPr>
      <w:spacing w:before="80"/>
      <w:ind w:left="1134" w:hanging="1134"/>
    </w:pPr>
    <w:rPr>
      <w:rFonts w:eastAsia="Times New Roman"/>
      <w:lang w:eastAsia="en-US"/>
    </w:rPr>
  </w:style>
  <w:style w:type="character" w:customStyle="1" w:styleId="enumlev1Char">
    <w:name w:val="enumlev1 Char"/>
    <w:basedOn w:val="DefaultParagraphFont"/>
    <w:link w:val="enumlev10"/>
    <w:rsid w:val="00BB4BB3"/>
    <w:rPr>
      <w:rFonts w:ascii="Calibri" w:eastAsia="Times New Roman" w:hAnsi="Calibri" w:cs="Traditional Arabic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en/ITU-D/Conferences/TDAG/Pages/Terms-of-reference-for-IST.asp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md/S15-CL-C-0038/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7-CL-INF-0019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S17-CL-C-0038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pub/S-CONF-PLEN-2015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8689D-6158-4A3E-A540-8D4F9291C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1032</Words>
  <Characters>5885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the implementation of Resolution 191 (Busan, 2014) - Strategy for the coordination of efforts among the three Sectors of the Union</dc:title>
  <dc:subject>Council 2018</dc:subject>
  <dc:creator>Saad, Samuel</dc:creator>
  <cp:keywords>Council 2018</cp:keywords>
  <dc:description/>
  <cp:lastModifiedBy>Brouard, Ricarda</cp:lastModifiedBy>
  <cp:revision>2</cp:revision>
  <dcterms:created xsi:type="dcterms:W3CDTF">2018-03-29T09:24:00Z</dcterms:created>
  <dcterms:modified xsi:type="dcterms:W3CDTF">2018-03-29T09:24:00Z</dcterms:modified>
  <cp:category>Conference document</cp:category>
</cp:coreProperties>
</file>