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6E0C7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6E0C7B">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6E0C7B">
              <w:rPr>
                <w:b/>
                <w:bCs/>
                <w:color w:val="000000"/>
                <w:lang w:eastAsia="zh-CN"/>
              </w:rPr>
              <w:t>8</w:t>
            </w:r>
            <w:r w:rsidR="009625D8" w:rsidRPr="009625D8">
              <w:rPr>
                <w:rFonts w:ascii="SimSun" w:hAnsi="SimSun" w:hint="eastAsia"/>
                <w:b/>
                <w:bCs/>
                <w:color w:val="000000"/>
                <w:lang w:eastAsia="zh-CN"/>
              </w:rPr>
              <w:t>年</w:t>
            </w:r>
            <w:r w:rsidR="006E0C7B">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6E0C7B">
              <w:rPr>
                <w:b/>
                <w:bCs/>
                <w:color w:val="000000"/>
                <w:lang w:eastAsia="zh-CN"/>
              </w:rPr>
              <w:t>7</w:t>
            </w:r>
            <w:r w:rsidR="00A5354B">
              <w:rPr>
                <w:b/>
                <w:bCs/>
                <w:color w:val="000000"/>
                <w:lang w:eastAsia="zh-CN"/>
              </w:rPr>
              <w:t>-</w:t>
            </w:r>
            <w:r w:rsidR="009625D8" w:rsidRPr="009625D8">
              <w:rPr>
                <w:b/>
                <w:bCs/>
                <w:color w:val="000000"/>
                <w:lang w:eastAsia="zh-CN"/>
              </w:rPr>
              <w:t>2</w:t>
            </w:r>
            <w:r w:rsidR="006E0C7B">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B66FF9">
            <w:pPr>
              <w:spacing w:before="0"/>
              <w:jc w:val="right"/>
            </w:pPr>
            <w:bookmarkStart w:id="0" w:name="ditulogo"/>
            <w:bookmarkEnd w:id="0"/>
            <w:r>
              <w:rPr>
                <w:noProof/>
                <w:lang w:eastAsia="zh-CN"/>
              </w:rPr>
              <w:drawing>
                <wp:inline distT="0" distB="0" distL="0" distR="0" wp14:anchorId="3B9B11E4" wp14:editId="470A19C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B66FF9">
            <w:pPr>
              <w:spacing w:before="0" w:after="48"/>
              <w:rPr>
                <w:b/>
                <w:smallCaps/>
                <w:szCs w:val="24"/>
              </w:rPr>
            </w:pPr>
          </w:p>
        </w:tc>
        <w:tc>
          <w:tcPr>
            <w:tcW w:w="3120" w:type="dxa"/>
            <w:tcBorders>
              <w:bottom w:val="single" w:sz="12" w:space="0" w:color="auto"/>
            </w:tcBorders>
          </w:tcPr>
          <w:p w:rsidR="00700D1F" w:rsidRPr="00617BE4" w:rsidRDefault="00700D1F" w:rsidP="00B66FF9">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B66FF9">
            <w:pPr>
              <w:spacing w:before="0" w:after="48"/>
              <w:rPr>
                <w:b/>
                <w:smallCaps/>
                <w:szCs w:val="24"/>
              </w:rPr>
            </w:pPr>
          </w:p>
        </w:tc>
        <w:tc>
          <w:tcPr>
            <w:tcW w:w="3120" w:type="dxa"/>
            <w:tcBorders>
              <w:top w:val="single" w:sz="12" w:space="0" w:color="auto"/>
            </w:tcBorders>
          </w:tcPr>
          <w:p w:rsidR="00700D1F" w:rsidRPr="00617BE4" w:rsidRDefault="00700D1F" w:rsidP="00B66FF9">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6E0C7B">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81311E" w:rsidRPr="00580E67">
              <w:rPr>
                <w:b/>
              </w:rPr>
              <w:t xml:space="preserve"> PL </w:t>
            </w:r>
            <w:r w:rsidR="004504EE">
              <w:rPr>
                <w:b/>
              </w:rPr>
              <w:t>2.</w:t>
            </w:r>
            <w:r w:rsidR="006E0C7B">
              <w:rPr>
                <w:b/>
              </w:rPr>
              <w:t>6</w:t>
            </w:r>
          </w:p>
        </w:tc>
        <w:tc>
          <w:tcPr>
            <w:tcW w:w="3120" w:type="dxa"/>
          </w:tcPr>
          <w:p w:rsidR="00700D1F" w:rsidRPr="00700D1F" w:rsidRDefault="00700D1F" w:rsidP="006E0C7B">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6E0C7B">
              <w:rPr>
                <w:b/>
                <w:bCs/>
                <w:szCs w:val="24"/>
                <w:lang w:eastAsia="zh-CN"/>
              </w:rPr>
              <w:t>8</w:t>
            </w:r>
            <w:r w:rsidRPr="00FC5386">
              <w:rPr>
                <w:b/>
                <w:bCs/>
                <w:szCs w:val="24"/>
                <w:lang w:eastAsia="zh-CN"/>
              </w:rPr>
              <w:t>/</w:t>
            </w:r>
            <w:r w:rsidR="0081311E">
              <w:rPr>
                <w:b/>
                <w:bCs/>
                <w:szCs w:val="24"/>
                <w:lang w:eastAsia="zh-CN"/>
              </w:rPr>
              <w:t>2</w:t>
            </w:r>
            <w:r w:rsidR="004504EE">
              <w:rPr>
                <w:b/>
                <w:bCs/>
                <w:szCs w:val="24"/>
                <w:lang w:eastAsia="zh-CN"/>
              </w:rPr>
              <w:t>7</w:t>
            </w:r>
            <w:r w:rsidR="0081311E">
              <w:rPr>
                <w:b/>
                <w:bCs/>
                <w:szCs w:val="24"/>
                <w:lang w:eastAsia="zh-CN"/>
              </w:rPr>
              <w:t>-</w:t>
            </w:r>
            <w:r w:rsidRPr="00FC5386">
              <w:rPr>
                <w:b/>
                <w:bCs/>
                <w:szCs w:val="24"/>
                <w:lang w:eastAsia="zh-CN"/>
              </w:rPr>
              <w:t>C</w:t>
            </w:r>
          </w:p>
        </w:tc>
      </w:tr>
      <w:bookmarkEnd w:id="1"/>
      <w:tr w:rsidR="00700D1F">
        <w:trPr>
          <w:cantSplit/>
          <w:trHeight w:val="23"/>
        </w:trPr>
        <w:tc>
          <w:tcPr>
            <w:tcW w:w="6911" w:type="dxa"/>
            <w:vMerge/>
          </w:tcPr>
          <w:p w:rsidR="00700D1F" w:rsidRDefault="00700D1F" w:rsidP="00B66FF9">
            <w:pPr>
              <w:tabs>
                <w:tab w:val="left" w:pos="851"/>
              </w:tabs>
              <w:rPr>
                <w:b/>
                <w:lang w:eastAsia="zh-CN"/>
              </w:rPr>
            </w:pPr>
          </w:p>
        </w:tc>
        <w:tc>
          <w:tcPr>
            <w:tcW w:w="3120" w:type="dxa"/>
          </w:tcPr>
          <w:p w:rsidR="00700D1F" w:rsidRPr="00FC5386" w:rsidRDefault="00700D1F" w:rsidP="006E0C7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6E0C7B">
              <w:rPr>
                <w:b/>
                <w:bCs/>
                <w:szCs w:val="24"/>
                <w:lang w:eastAsia="zh-CN"/>
              </w:rPr>
              <w:t>8</w:t>
            </w:r>
            <w:r w:rsidRPr="00FC5386">
              <w:rPr>
                <w:rFonts w:hint="eastAsia"/>
                <w:b/>
                <w:bCs/>
                <w:szCs w:val="24"/>
                <w:lang w:eastAsia="zh-CN"/>
              </w:rPr>
              <w:t>年</w:t>
            </w:r>
            <w:r w:rsidR="006E0C7B">
              <w:rPr>
                <w:rFonts w:asciiTheme="minorHAnsi" w:hAnsiTheme="minorHAnsi" w:cstheme="minorHAnsi"/>
                <w:b/>
                <w:bCs/>
                <w:szCs w:val="24"/>
                <w:lang w:eastAsia="zh-CN"/>
              </w:rPr>
              <w:t>2</w:t>
            </w:r>
            <w:r w:rsidRPr="00FC5386">
              <w:rPr>
                <w:rFonts w:hint="eastAsia"/>
                <w:b/>
                <w:bCs/>
                <w:szCs w:val="24"/>
                <w:lang w:eastAsia="zh-CN"/>
              </w:rPr>
              <w:t>月</w:t>
            </w:r>
            <w:r w:rsidR="006E0C7B">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B66FF9">
            <w:pPr>
              <w:tabs>
                <w:tab w:val="left" w:pos="851"/>
              </w:tabs>
              <w:rPr>
                <w:b/>
                <w:lang w:eastAsia="zh-CN"/>
              </w:rPr>
            </w:pPr>
          </w:p>
        </w:tc>
        <w:tc>
          <w:tcPr>
            <w:tcW w:w="3120" w:type="dxa"/>
          </w:tcPr>
          <w:p w:rsidR="00700D1F" w:rsidRPr="00FC5386" w:rsidRDefault="00700D1F" w:rsidP="00B66FF9">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4504EE">
        <w:trPr>
          <w:cantSplit/>
        </w:trPr>
        <w:tc>
          <w:tcPr>
            <w:tcW w:w="10031" w:type="dxa"/>
          </w:tcPr>
          <w:p w:rsidR="004504EE" w:rsidRPr="00BC0FED" w:rsidRDefault="002E0D99" w:rsidP="004504EE">
            <w:pPr>
              <w:pStyle w:val="Source"/>
              <w:rPr>
                <w:lang w:eastAsia="zh-CN"/>
              </w:rPr>
            </w:pPr>
            <w:r>
              <w:rPr>
                <w:rFonts w:hint="eastAsia"/>
                <w:lang w:eastAsia="zh-CN"/>
              </w:rPr>
              <w:t>秘书长的</w:t>
            </w:r>
            <w:r>
              <w:rPr>
                <w:lang w:eastAsia="zh-CN"/>
              </w:rPr>
              <w:t>报告</w:t>
            </w:r>
          </w:p>
        </w:tc>
      </w:tr>
      <w:tr w:rsidR="004504EE">
        <w:trPr>
          <w:cantSplit/>
        </w:trPr>
        <w:tc>
          <w:tcPr>
            <w:tcW w:w="10031" w:type="dxa"/>
          </w:tcPr>
          <w:p w:rsidR="004504EE" w:rsidRPr="00BC0FED" w:rsidRDefault="004504EE" w:rsidP="004504EE">
            <w:pPr>
              <w:pStyle w:val="Title1"/>
              <w:rPr>
                <w:b/>
                <w:color w:val="800000"/>
                <w:sz w:val="22"/>
                <w:lang w:eastAsia="zh-CN"/>
              </w:rPr>
            </w:pPr>
            <w:r w:rsidRPr="004504EE">
              <w:rPr>
                <w:rFonts w:hint="eastAsia"/>
                <w:lang w:eastAsia="zh-CN"/>
              </w:rPr>
              <w:t>世界无线电通信大会（</w:t>
            </w:r>
            <w:r w:rsidRPr="004504EE">
              <w:rPr>
                <w:rFonts w:hint="eastAsia"/>
                <w:lang w:eastAsia="zh-CN"/>
              </w:rPr>
              <w:t>WRC-19</w:t>
            </w:r>
            <w:r w:rsidRPr="004504EE">
              <w:rPr>
                <w:rFonts w:hint="eastAsia"/>
                <w:lang w:eastAsia="zh-CN"/>
              </w:rPr>
              <w:t>）</w:t>
            </w:r>
          </w:p>
        </w:tc>
      </w:tr>
    </w:tbl>
    <w:p w:rsidR="0093362E" w:rsidRDefault="0093362E" w:rsidP="00B66FF9">
      <w:pPr>
        <w:rPr>
          <w:lang w:eastAsia="zh-CN"/>
        </w:rPr>
      </w:pPr>
    </w:p>
    <w:p w:rsidR="00B40A53" w:rsidRPr="00747B53" w:rsidRDefault="00B40A53" w:rsidP="00B66FF9">
      <w:pPr>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B7626F"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820AF2" w:rsidRDefault="00B40A53" w:rsidP="00B66FF9">
            <w:pPr>
              <w:pStyle w:val="Headingb"/>
              <w:rPr>
                <w:lang w:eastAsia="zh-CN"/>
              </w:rPr>
            </w:pPr>
            <w:r>
              <w:rPr>
                <w:rFonts w:hint="eastAsia"/>
                <w:lang w:val="fr-FR" w:eastAsia="zh-CN"/>
              </w:rPr>
              <w:t>概</w:t>
            </w:r>
            <w:r>
              <w:rPr>
                <w:rFonts w:hint="eastAsia"/>
                <w:lang w:eastAsia="zh-CN"/>
              </w:rPr>
              <w:t>要</w:t>
            </w:r>
          </w:p>
          <w:p w:rsidR="004504EE" w:rsidRPr="006B331B" w:rsidRDefault="007D0656" w:rsidP="001E2A17">
            <w:pPr>
              <w:spacing w:after="120"/>
              <w:ind w:firstLineChars="200" w:firstLine="480"/>
              <w:jc w:val="both"/>
              <w:rPr>
                <w:szCs w:val="24"/>
                <w:lang w:eastAsia="zh-CN"/>
              </w:rPr>
            </w:pPr>
            <w:bookmarkStart w:id="2" w:name="lt_pId012"/>
            <w:r>
              <w:rPr>
                <w:szCs w:val="24"/>
                <w:lang w:eastAsia="zh-CN"/>
              </w:rPr>
              <w:t>理事会第</w:t>
            </w:r>
            <w:r>
              <w:rPr>
                <w:rFonts w:hint="eastAsia"/>
                <w:szCs w:val="24"/>
                <w:lang w:eastAsia="zh-CN"/>
              </w:rPr>
              <w:t>1380</w:t>
            </w:r>
            <w:r>
              <w:rPr>
                <w:rFonts w:hint="eastAsia"/>
                <w:szCs w:val="24"/>
                <w:lang w:eastAsia="zh-CN"/>
              </w:rPr>
              <w:t>号</w:t>
            </w:r>
            <w:r>
              <w:rPr>
                <w:szCs w:val="24"/>
                <w:lang w:eastAsia="zh-CN"/>
              </w:rPr>
              <w:t>决议</w:t>
            </w:r>
            <w:r w:rsidR="006E0C7B">
              <w:rPr>
                <w:rFonts w:hint="eastAsia"/>
                <w:szCs w:val="24"/>
                <w:lang w:eastAsia="zh-CN"/>
              </w:rPr>
              <w:t>（</w:t>
            </w:r>
            <w:r w:rsidR="006E0C7B">
              <w:rPr>
                <w:rFonts w:hint="eastAsia"/>
                <w:szCs w:val="24"/>
                <w:lang w:eastAsia="zh-CN"/>
              </w:rPr>
              <w:t>2017</w:t>
            </w:r>
            <w:r w:rsidR="006E0C7B">
              <w:rPr>
                <w:rFonts w:hint="eastAsia"/>
                <w:szCs w:val="24"/>
                <w:lang w:eastAsia="zh-CN"/>
              </w:rPr>
              <w:t>年修订版）</w:t>
            </w:r>
            <w:r w:rsidR="00F678A0">
              <w:rPr>
                <w:rFonts w:hint="eastAsia"/>
                <w:szCs w:val="24"/>
                <w:lang w:eastAsia="zh-CN"/>
              </w:rPr>
              <w:t>包含</w:t>
            </w:r>
            <w:r w:rsidR="00F678A0">
              <w:rPr>
                <w:rFonts w:hint="eastAsia"/>
                <w:szCs w:val="24"/>
                <w:lang w:eastAsia="zh-CN"/>
              </w:rPr>
              <w:t>2019</w:t>
            </w:r>
            <w:r w:rsidR="00F678A0">
              <w:rPr>
                <w:rFonts w:hint="eastAsia"/>
                <w:szCs w:val="24"/>
                <w:lang w:eastAsia="zh-CN"/>
              </w:rPr>
              <w:t>年</w:t>
            </w:r>
            <w:r w:rsidR="00F678A0">
              <w:rPr>
                <w:szCs w:val="24"/>
                <w:lang w:eastAsia="zh-CN"/>
              </w:rPr>
              <w:t>世界无线电通信大会</w:t>
            </w:r>
            <w:r w:rsidR="00F678A0">
              <w:rPr>
                <w:rFonts w:hint="eastAsia"/>
                <w:szCs w:val="24"/>
                <w:lang w:eastAsia="zh-CN"/>
              </w:rPr>
              <w:t>（</w:t>
            </w:r>
            <w:r w:rsidR="00F678A0">
              <w:rPr>
                <w:rFonts w:hint="eastAsia"/>
                <w:szCs w:val="24"/>
                <w:lang w:eastAsia="zh-CN"/>
              </w:rPr>
              <w:t>WRC-19</w:t>
            </w:r>
            <w:r w:rsidR="00F678A0">
              <w:rPr>
                <w:rFonts w:hint="eastAsia"/>
                <w:szCs w:val="24"/>
                <w:lang w:eastAsia="zh-CN"/>
              </w:rPr>
              <w:t>）议程，</w:t>
            </w:r>
            <w:r w:rsidR="00F678A0">
              <w:rPr>
                <w:szCs w:val="24"/>
                <w:lang w:eastAsia="zh-CN"/>
              </w:rPr>
              <w:t>以及</w:t>
            </w:r>
            <w:r w:rsidR="00F678A0">
              <w:rPr>
                <w:szCs w:val="24"/>
                <w:lang w:eastAsia="zh-CN"/>
              </w:rPr>
              <w:t>WRC-19</w:t>
            </w:r>
            <w:r w:rsidR="00F678A0">
              <w:rPr>
                <w:rFonts w:hint="eastAsia"/>
                <w:szCs w:val="24"/>
                <w:lang w:eastAsia="zh-CN"/>
              </w:rPr>
              <w:t>和</w:t>
            </w:r>
            <w:r w:rsidR="00F678A0">
              <w:rPr>
                <w:rFonts w:hint="eastAsia"/>
                <w:szCs w:val="24"/>
                <w:lang w:eastAsia="zh-CN"/>
              </w:rPr>
              <w:t>2019</w:t>
            </w:r>
            <w:r w:rsidR="00F678A0">
              <w:rPr>
                <w:rFonts w:hint="eastAsia"/>
                <w:szCs w:val="24"/>
                <w:lang w:eastAsia="zh-CN"/>
              </w:rPr>
              <w:t>年</w:t>
            </w:r>
            <w:r w:rsidR="00F678A0">
              <w:rPr>
                <w:szCs w:val="24"/>
                <w:lang w:eastAsia="zh-CN"/>
              </w:rPr>
              <w:t>无线电通信全会（</w:t>
            </w:r>
            <w:r w:rsidR="00F678A0">
              <w:rPr>
                <w:rFonts w:hint="eastAsia"/>
                <w:szCs w:val="24"/>
                <w:lang w:eastAsia="zh-CN"/>
              </w:rPr>
              <w:t>RA-19</w:t>
            </w:r>
            <w:r w:rsidR="00F678A0">
              <w:rPr>
                <w:szCs w:val="24"/>
                <w:lang w:eastAsia="zh-CN"/>
              </w:rPr>
              <w:t>）</w:t>
            </w:r>
            <w:r w:rsidR="00F67998">
              <w:rPr>
                <w:rFonts w:hint="eastAsia"/>
                <w:szCs w:val="24"/>
                <w:lang w:eastAsia="zh-CN"/>
              </w:rPr>
              <w:t>的</w:t>
            </w:r>
            <w:r w:rsidR="00F678A0">
              <w:rPr>
                <w:szCs w:val="24"/>
                <w:lang w:eastAsia="zh-CN"/>
              </w:rPr>
              <w:t>举办日期和地点</w:t>
            </w:r>
            <w:r w:rsidR="006E0C7B">
              <w:rPr>
                <w:rFonts w:hint="eastAsia"/>
                <w:szCs w:val="24"/>
                <w:lang w:eastAsia="zh-CN"/>
              </w:rPr>
              <w:t>。</w:t>
            </w:r>
            <w:r w:rsidR="001E2A17">
              <w:rPr>
                <w:rFonts w:hint="eastAsia"/>
                <w:szCs w:val="24"/>
                <w:lang w:eastAsia="zh-CN"/>
              </w:rPr>
              <w:t>会议</w:t>
            </w:r>
            <w:r w:rsidR="006E0C7B">
              <w:rPr>
                <w:rFonts w:hint="eastAsia"/>
                <w:szCs w:val="24"/>
                <w:lang w:eastAsia="zh-CN"/>
              </w:rPr>
              <w:t>日期和地点已提交</w:t>
            </w:r>
            <w:r>
              <w:rPr>
                <w:szCs w:val="24"/>
                <w:lang w:eastAsia="zh-CN"/>
              </w:rPr>
              <w:t>成员磋商，并且</w:t>
            </w:r>
            <w:r>
              <w:rPr>
                <w:rFonts w:hint="eastAsia"/>
                <w:szCs w:val="24"/>
                <w:lang w:eastAsia="zh-CN"/>
              </w:rPr>
              <w:t>得到了</w:t>
            </w:r>
            <w:r>
              <w:rPr>
                <w:szCs w:val="24"/>
                <w:lang w:eastAsia="zh-CN"/>
              </w:rPr>
              <w:t>大多数国际电联</w:t>
            </w:r>
            <w:r>
              <w:rPr>
                <w:rFonts w:hint="eastAsia"/>
                <w:szCs w:val="24"/>
                <w:lang w:eastAsia="zh-CN"/>
              </w:rPr>
              <w:t>成员国</w:t>
            </w:r>
            <w:r>
              <w:rPr>
                <w:szCs w:val="24"/>
                <w:lang w:eastAsia="zh-CN"/>
              </w:rPr>
              <w:t>的同意。</w:t>
            </w:r>
            <w:bookmarkEnd w:id="2"/>
          </w:p>
          <w:p w:rsidR="004504EE" w:rsidRPr="006B331B" w:rsidRDefault="000851AE" w:rsidP="006E0C7B">
            <w:pPr>
              <w:spacing w:after="120"/>
              <w:ind w:firstLineChars="200" w:firstLine="480"/>
              <w:jc w:val="both"/>
              <w:rPr>
                <w:szCs w:val="24"/>
                <w:lang w:eastAsia="zh-CN"/>
              </w:rPr>
            </w:pPr>
            <w:bookmarkStart w:id="3" w:name="lt_pId015"/>
            <w:r>
              <w:rPr>
                <w:rFonts w:hint="eastAsia"/>
                <w:szCs w:val="24"/>
                <w:lang w:eastAsia="zh-CN"/>
              </w:rPr>
              <w:t>本文件</w:t>
            </w:r>
            <w:r>
              <w:rPr>
                <w:szCs w:val="24"/>
                <w:lang w:eastAsia="zh-CN"/>
              </w:rPr>
              <w:t>包含</w:t>
            </w:r>
            <w:r w:rsidR="00F67998">
              <w:rPr>
                <w:rFonts w:hint="eastAsia"/>
                <w:szCs w:val="24"/>
                <w:lang w:eastAsia="zh-CN"/>
              </w:rPr>
              <w:t>一份</w:t>
            </w:r>
            <w:r w:rsidR="001E2A17">
              <w:rPr>
                <w:rFonts w:hint="eastAsia"/>
                <w:szCs w:val="24"/>
                <w:lang w:eastAsia="zh-CN"/>
              </w:rPr>
              <w:t>无线电通信</w:t>
            </w:r>
            <w:r w:rsidR="001E2A17">
              <w:rPr>
                <w:szCs w:val="24"/>
                <w:lang w:eastAsia="zh-CN"/>
              </w:rPr>
              <w:t>部门（</w:t>
            </w:r>
            <w:r>
              <w:rPr>
                <w:rFonts w:hint="eastAsia"/>
                <w:szCs w:val="24"/>
                <w:lang w:eastAsia="zh-CN"/>
              </w:rPr>
              <w:t>ITU-R</w:t>
            </w:r>
            <w:r w:rsidR="001E2A17">
              <w:rPr>
                <w:rFonts w:hint="eastAsia"/>
                <w:szCs w:val="24"/>
                <w:lang w:eastAsia="zh-CN"/>
              </w:rPr>
              <w:t>）</w:t>
            </w:r>
            <w:r w:rsidR="006E0C7B">
              <w:rPr>
                <w:rFonts w:hint="eastAsia"/>
                <w:szCs w:val="24"/>
                <w:lang w:eastAsia="zh-CN"/>
              </w:rPr>
              <w:t>筹备</w:t>
            </w:r>
            <w:r>
              <w:rPr>
                <w:szCs w:val="24"/>
                <w:lang w:eastAsia="zh-CN"/>
              </w:rPr>
              <w:t>WRC-19</w:t>
            </w:r>
            <w:r w:rsidR="006E0C7B">
              <w:rPr>
                <w:rFonts w:hint="eastAsia"/>
                <w:szCs w:val="24"/>
                <w:lang w:eastAsia="zh-CN"/>
              </w:rPr>
              <w:t>情况</w:t>
            </w:r>
            <w:r>
              <w:rPr>
                <w:szCs w:val="24"/>
                <w:lang w:eastAsia="zh-CN"/>
              </w:rPr>
              <w:t>的报告</w:t>
            </w:r>
            <w:r>
              <w:rPr>
                <w:rFonts w:hint="eastAsia"/>
                <w:szCs w:val="24"/>
                <w:lang w:eastAsia="zh-CN"/>
              </w:rPr>
              <w:t>。</w:t>
            </w:r>
            <w:bookmarkEnd w:id="3"/>
          </w:p>
          <w:p w:rsidR="00B40A53" w:rsidRPr="003C2E37" w:rsidRDefault="00B40A53" w:rsidP="00B66FF9">
            <w:pPr>
              <w:pStyle w:val="Headingb"/>
              <w:rPr>
                <w:lang w:eastAsia="zh-CN"/>
              </w:rPr>
            </w:pPr>
            <w:r>
              <w:rPr>
                <w:rFonts w:hint="eastAsia"/>
                <w:lang w:eastAsia="zh-CN"/>
              </w:rPr>
              <w:t>需采取的行动</w:t>
            </w:r>
          </w:p>
          <w:p w:rsidR="004504EE" w:rsidRPr="00BC0FED" w:rsidRDefault="000851AE" w:rsidP="006E0C7B">
            <w:pPr>
              <w:spacing w:after="120"/>
              <w:ind w:firstLineChars="200" w:firstLine="480"/>
              <w:jc w:val="both"/>
              <w:rPr>
                <w:szCs w:val="24"/>
                <w:lang w:eastAsia="zh-CN"/>
              </w:rPr>
            </w:pPr>
            <w:r>
              <w:rPr>
                <w:rFonts w:hint="eastAsia"/>
                <w:szCs w:val="24"/>
                <w:lang w:eastAsia="zh-CN"/>
              </w:rPr>
              <w:t>请</w:t>
            </w:r>
            <w:r>
              <w:rPr>
                <w:szCs w:val="24"/>
                <w:lang w:eastAsia="zh-CN"/>
              </w:rPr>
              <w:t>理事会</w:t>
            </w:r>
            <w:r w:rsidR="006E0C7B">
              <w:rPr>
                <w:rFonts w:hint="eastAsia"/>
                <w:szCs w:val="24"/>
                <w:lang w:eastAsia="zh-CN"/>
              </w:rPr>
              <w:t>将本报告</w:t>
            </w:r>
            <w:r w:rsidR="006E0C7B" w:rsidRPr="006E0C7B">
              <w:rPr>
                <w:rFonts w:hint="eastAsia"/>
                <w:b/>
                <w:bCs/>
                <w:szCs w:val="24"/>
                <w:lang w:eastAsia="zh-CN"/>
              </w:rPr>
              <w:t>记录在案</w:t>
            </w:r>
            <w:r w:rsidR="006E0C7B">
              <w:rPr>
                <w:rFonts w:hint="eastAsia"/>
                <w:szCs w:val="24"/>
                <w:lang w:eastAsia="zh-CN"/>
              </w:rPr>
              <w:t>。</w:t>
            </w:r>
          </w:p>
          <w:p w:rsidR="00B40A53" w:rsidRDefault="00B40A53" w:rsidP="00B66FF9">
            <w:pPr>
              <w:jc w:val="center"/>
              <w:rPr>
                <w:sz w:val="28"/>
                <w:szCs w:val="22"/>
                <w:lang w:eastAsia="zh-CN"/>
              </w:rPr>
            </w:pPr>
            <w:r>
              <w:rPr>
                <w:sz w:val="28"/>
                <w:szCs w:val="22"/>
                <w:lang w:eastAsia="zh-CN"/>
              </w:rPr>
              <w:t>______________</w:t>
            </w:r>
          </w:p>
          <w:p w:rsidR="009164A9" w:rsidRPr="00FC5386" w:rsidRDefault="009164A9" w:rsidP="00B66FF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B66FF9">
            <w:pPr>
              <w:pStyle w:val="Headingb"/>
              <w:spacing w:after="120"/>
              <w:rPr>
                <w:lang w:val="fr-FR" w:eastAsia="zh-CN"/>
              </w:rPr>
            </w:pPr>
            <w:r w:rsidRPr="00FC5386">
              <w:rPr>
                <w:rFonts w:hint="eastAsia"/>
                <w:lang w:eastAsia="zh-CN"/>
              </w:rPr>
              <w:t>参考文件</w:t>
            </w:r>
          </w:p>
          <w:bookmarkStart w:id="4" w:name="lt_pId020"/>
          <w:p w:rsidR="00B40A53" w:rsidRPr="00762A3F" w:rsidRDefault="004504EE" w:rsidP="001E2A17">
            <w:pPr>
              <w:pStyle w:val="Tabletext"/>
              <w:tabs>
                <w:tab w:val="clear" w:pos="284"/>
                <w:tab w:val="clear" w:pos="567"/>
                <w:tab w:val="clear" w:pos="851"/>
                <w:tab w:val="clear" w:pos="1134"/>
                <w:tab w:val="clear" w:pos="1418"/>
                <w:tab w:val="clear" w:pos="1701"/>
                <w:tab w:val="left" w:pos="794"/>
                <w:tab w:val="left" w:pos="1191"/>
                <w:tab w:val="left" w:pos="1588"/>
              </w:tabs>
              <w:spacing w:before="0" w:after="0"/>
              <w:ind w:firstLineChars="200" w:firstLine="440"/>
              <w:rPr>
                <w:rFonts w:asciiTheme="minorHAnsi" w:eastAsia="STKaiti" w:hAnsiTheme="minorHAnsi"/>
                <w:caps/>
                <w:sz w:val="24"/>
                <w:szCs w:val="22"/>
                <w:lang w:val="en-US" w:eastAsia="zh-CN"/>
              </w:rPr>
            </w:pPr>
            <w:r w:rsidRPr="00762A3F">
              <w:rPr>
                <w:rFonts w:asciiTheme="minorHAnsi" w:eastAsia="STKaiti" w:hAnsiTheme="minorHAnsi"/>
              </w:rPr>
              <w:fldChar w:fldCharType="begin"/>
            </w:r>
            <w:r w:rsidRPr="00762A3F">
              <w:rPr>
                <w:rFonts w:asciiTheme="minorHAnsi" w:eastAsia="STKaiti" w:hAnsiTheme="minorHAnsi"/>
                <w:lang w:eastAsia="zh-CN"/>
              </w:rPr>
              <w:instrText xml:space="preserve"> HYPERLINK "http://www.itu.int/pub/S-CONF-PLEN-2015" </w:instrText>
            </w:r>
            <w:r w:rsidRPr="00762A3F">
              <w:rPr>
                <w:rFonts w:asciiTheme="minorHAnsi" w:eastAsia="STKaiti" w:hAnsiTheme="minorHAnsi"/>
              </w:rPr>
              <w:fldChar w:fldCharType="separate"/>
            </w:r>
            <w:r w:rsidR="00B7626F" w:rsidRPr="00762A3F">
              <w:rPr>
                <w:rStyle w:val="Hyperlink"/>
                <w:rFonts w:asciiTheme="minorHAnsi" w:eastAsia="STKaiti" w:hAnsiTheme="minorHAnsi"/>
                <w:szCs w:val="24"/>
                <w:lang w:eastAsia="zh-CN"/>
              </w:rPr>
              <w:t>《公约》第</w:t>
            </w:r>
            <w:r w:rsidRPr="00762A3F">
              <w:rPr>
                <w:rStyle w:val="Hyperlink"/>
                <w:rFonts w:asciiTheme="minorHAnsi" w:eastAsia="STKaiti" w:hAnsiTheme="minorHAnsi"/>
                <w:szCs w:val="24"/>
                <w:lang w:eastAsia="zh-CN"/>
              </w:rPr>
              <w:t>42</w:t>
            </w:r>
            <w:r w:rsidR="00F678A0" w:rsidRPr="00762A3F">
              <w:rPr>
                <w:rStyle w:val="Hyperlink"/>
                <w:rFonts w:asciiTheme="minorHAnsi" w:eastAsia="STKaiti" w:hAnsiTheme="minorHAnsi"/>
                <w:szCs w:val="24"/>
                <w:lang w:eastAsia="zh-CN"/>
              </w:rPr>
              <w:t>、</w:t>
            </w:r>
            <w:r w:rsidRPr="00762A3F">
              <w:rPr>
                <w:rStyle w:val="Hyperlink"/>
                <w:rFonts w:asciiTheme="minorHAnsi" w:eastAsia="STKaiti" w:hAnsiTheme="minorHAnsi"/>
                <w:szCs w:val="24"/>
                <w:lang w:eastAsia="zh-CN"/>
              </w:rPr>
              <w:t>47</w:t>
            </w:r>
            <w:r w:rsidR="00F678A0" w:rsidRPr="00762A3F">
              <w:rPr>
                <w:rStyle w:val="Hyperlink"/>
                <w:rFonts w:asciiTheme="minorHAnsi" w:eastAsia="STKaiti" w:hAnsiTheme="minorHAnsi"/>
                <w:szCs w:val="24"/>
                <w:lang w:eastAsia="zh-CN"/>
              </w:rPr>
              <w:t>、</w:t>
            </w:r>
            <w:r w:rsidRPr="00762A3F">
              <w:rPr>
                <w:rStyle w:val="Hyperlink"/>
                <w:rFonts w:asciiTheme="minorHAnsi" w:eastAsia="STKaiti" w:hAnsiTheme="minorHAnsi"/>
                <w:szCs w:val="24"/>
                <w:lang w:eastAsia="zh-CN"/>
              </w:rPr>
              <w:t>75</w:t>
            </w:r>
            <w:r w:rsidR="00F678A0" w:rsidRPr="00762A3F">
              <w:rPr>
                <w:rStyle w:val="Hyperlink"/>
                <w:rFonts w:asciiTheme="minorHAnsi" w:eastAsia="STKaiti" w:hAnsiTheme="minorHAnsi"/>
                <w:szCs w:val="24"/>
                <w:lang w:eastAsia="zh-CN"/>
              </w:rPr>
              <w:t>、</w:t>
            </w:r>
            <w:r w:rsidRPr="00762A3F">
              <w:rPr>
                <w:rStyle w:val="Hyperlink"/>
                <w:rFonts w:asciiTheme="minorHAnsi" w:eastAsia="STKaiti" w:hAnsiTheme="minorHAnsi"/>
                <w:szCs w:val="24"/>
                <w:lang w:eastAsia="zh-CN"/>
              </w:rPr>
              <w:t>118</w:t>
            </w:r>
            <w:r w:rsidR="00F678A0" w:rsidRPr="00762A3F">
              <w:rPr>
                <w:rStyle w:val="Hyperlink"/>
                <w:rFonts w:asciiTheme="minorHAnsi" w:eastAsia="STKaiti" w:hAnsiTheme="minorHAnsi"/>
                <w:szCs w:val="24"/>
                <w:lang w:eastAsia="zh-CN"/>
              </w:rPr>
              <w:t>、</w:t>
            </w:r>
            <w:r w:rsidRPr="00762A3F">
              <w:rPr>
                <w:rStyle w:val="Hyperlink"/>
                <w:rFonts w:asciiTheme="minorHAnsi" w:eastAsia="STKaiti" w:hAnsiTheme="minorHAnsi"/>
                <w:szCs w:val="24"/>
                <w:lang w:eastAsia="zh-CN"/>
              </w:rPr>
              <w:t>126</w:t>
            </w:r>
            <w:r w:rsidRPr="00762A3F">
              <w:rPr>
                <w:rFonts w:asciiTheme="minorHAnsi" w:eastAsia="STKaiti" w:hAnsiTheme="minorHAnsi"/>
              </w:rPr>
              <w:fldChar w:fldCharType="end"/>
            </w:r>
            <w:r w:rsidR="00B7626F" w:rsidRPr="00762A3F">
              <w:rPr>
                <w:rFonts w:asciiTheme="minorHAnsi" w:eastAsia="STKaiti" w:hAnsiTheme="minorHAnsi"/>
                <w:lang w:eastAsia="zh-CN"/>
              </w:rPr>
              <w:t>款</w:t>
            </w:r>
            <w:r w:rsidR="00F678A0" w:rsidRPr="00762A3F">
              <w:rPr>
                <w:rFonts w:asciiTheme="minorHAnsi" w:eastAsia="STKaiti" w:hAnsiTheme="minorHAnsi"/>
                <w:szCs w:val="24"/>
                <w:lang w:eastAsia="zh-CN"/>
              </w:rPr>
              <w:t>；</w:t>
            </w:r>
            <w:hyperlink r:id="rId9" w:history="1">
              <w:r w:rsidR="006E0C7B">
                <w:rPr>
                  <w:rStyle w:val="Hyperlink"/>
                  <w:rFonts w:asciiTheme="minorHAnsi" w:eastAsia="STKaiti" w:hAnsiTheme="minorHAnsi"/>
                  <w:szCs w:val="24"/>
                  <w:lang w:eastAsia="zh-CN"/>
                </w:rPr>
                <w:t>第</w:t>
              </w:r>
              <w:r w:rsidR="006E0C7B">
                <w:rPr>
                  <w:rStyle w:val="Hyperlink"/>
                  <w:rFonts w:asciiTheme="minorHAnsi" w:eastAsia="STKaiti" w:hAnsiTheme="minorHAnsi"/>
                  <w:szCs w:val="24"/>
                  <w:lang w:eastAsia="zh-CN"/>
                </w:rPr>
                <w:t>1380</w:t>
              </w:r>
              <w:r w:rsidR="006E0C7B">
                <w:rPr>
                  <w:rStyle w:val="Hyperlink"/>
                  <w:rFonts w:asciiTheme="minorHAnsi" w:eastAsia="STKaiti" w:hAnsiTheme="minorHAnsi"/>
                  <w:szCs w:val="24"/>
                  <w:lang w:eastAsia="zh-CN"/>
                </w:rPr>
                <w:t>号决议（</w:t>
              </w:r>
              <w:r w:rsidR="006E0C7B">
                <w:rPr>
                  <w:rStyle w:val="Hyperlink"/>
                  <w:rFonts w:asciiTheme="minorHAnsi" w:eastAsia="STKaiti" w:hAnsiTheme="minorHAnsi"/>
                  <w:szCs w:val="24"/>
                  <w:lang w:eastAsia="zh-CN"/>
                </w:rPr>
                <w:t>2017</w:t>
              </w:r>
              <w:r w:rsidR="006E0C7B">
                <w:rPr>
                  <w:rStyle w:val="Hyperlink"/>
                  <w:rFonts w:asciiTheme="minorHAnsi" w:eastAsia="STKaiti" w:hAnsiTheme="minorHAnsi"/>
                  <w:szCs w:val="24"/>
                  <w:lang w:eastAsia="zh-CN"/>
                </w:rPr>
                <w:t>年修订版）</w:t>
              </w:r>
            </w:hyperlink>
            <w:r w:rsidR="00F678A0" w:rsidRPr="00762A3F">
              <w:rPr>
                <w:rFonts w:asciiTheme="minorHAnsi" w:eastAsia="STKaiti" w:hAnsiTheme="minorHAnsi"/>
                <w:szCs w:val="24"/>
                <w:lang w:eastAsia="zh-CN"/>
              </w:rPr>
              <w:t>；</w:t>
            </w:r>
            <w:r w:rsidR="00B7626F" w:rsidRPr="00762A3F">
              <w:rPr>
                <w:rFonts w:asciiTheme="minorHAnsi" w:eastAsia="STKaiti" w:hAnsiTheme="minorHAnsi"/>
                <w:szCs w:val="24"/>
                <w:lang w:eastAsia="zh-CN"/>
              </w:rPr>
              <w:t>第</w:t>
            </w:r>
            <w:hyperlink r:id="rId10" w:history="1">
              <w:r w:rsidR="006E0C7B" w:rsidRPr="006E0C7B">
                <w:rPr>
                  <w:rStyle w:val="Hyperlink"/>
                  <w:rFonts w:ascii="STKaiti" w:eastAsia="STKaiti" w:hAnsi="STKaiti"/>
                  <w:iCs/>
                  <w:szCs w:val="24"/>
                  <w:lang w:eastAsia="zh-CN"/>
                </w:rPr>
                <w:t>CL-17/34</w:t>
              </w:r>
            </w:hyperlink>
            <w:r w:rsidR="006E0C7B" w:rsidRPr="006E0C7B">
              <w:rPr>
                <w:rFonts w:ascii="STKaiti" w:eastAsia="STKaiti" w:hAnsi="STKaiti" w:hint="eastAsia"/>
                <w:iCs/>
                <w:szCs w:val="24"/>
                <w:lang w:eastAsia="zh-CN"/>
              </w:rPr>
              <w:t>、</w:t>
            </w:r>
            <w:hyperlink r:id="rId11" w:history="1">
              <w:r w:rsidR="006E0C7B" w:rsidRPr="006E0C7B">
                <w:rPr>
                  <w:rStyle w:val="Hyperlink"/>
                  <w:rFonts w:ascii="STKaiti" w:eastAsia="STKaiti" w:hAnsi="STKaiti"/>
                  <w:iCs/>
                  <w:szCs w:val="24"/>
                  <w:lang w:eastAsia="zh-CN"/>
                </w:rPr>
                <w:t>CL-17/39</w:t>
              </w:r>
            </w:hyperlink>
            <w:r w:rsidR="006E0C7B" w:rsidRPr="006E0C7B">
              <w:rPr>
                <w:rFonts w:ascii="STKaiti" w:eastAsia="STKaiti" w:hAnsi="STKaiti" w:hint="eastAsia"/>
                <w:iCs/>
                <w:szCs w:val="24"/>
                <w:lang w:eastAsia="zh-CN"/>
              </w:rPr>
              <w:t>、</w:t>
            </w:r>
            <w:hyperlink r:id="rId12" w:history="1">
              <w:r w:rsidR="006E0C7B" w:rsidRPr="006E0C7B">
                <w:rPr>
                  <w:rStyle w:val="Hyperlink"/>
                  <w:rFonts w:ascii="STKaiti" w:eastAsia="STKaiti" w:hAnsi="STKaiti"/>
                  <w:iCs/>
                  <w:szCs w:val="24"/>
                  <w:lang w:eastAsia="zh-CN"/>
                </w:rPr>
                <w:t>CL-17/52</w:t>
              </w:r>
            </w:hyperlink>
            <w:bookmarkEnd w:id="4"/>
            <w:r w:rsidR="00B7626F" w:rsidRPr="00762A3F">
              <w:rPr>
                <w:rStyle w:val="Hyperlink"/>
                <w:rFonts w:asciiTheme="minorHAnsi" w:eastAsia="STKaiti" w:hAnsiTheme="minorHAnsi"/>
                <w:color w:val="auto"/>
                <w:szCs w:val="24"/>
                <w:u w:val="none"/>
                <w:lang w:eastAsia="zh-CN"/>
              </w:rPr>
              <w:t>号</w:t>
            </w:r>
            <w:r w:rsidR="001E2A17">
              <w:rPr>
                <w:rStyle w:val="Hyperlink"/>
                <w:rFonts w:asciiTheme="minorHAnsi" w:eastAsia="STKaiti" w:hAnsiTheme="minorHAnsi" w:hint="eastAsia"/>
                <w:color w:val="auto"/>
                <w:szCs w:val="24"/>
                <w:u w:val="none"/>
                <w:lang w:eastAsia="zh-CN"/>
              </w:rPr>
              <w:t>通函</w:t>
            </w:r>
          </w:p>
        </w:tc>
      </w:tr>
    </w:tbl>
    <w:p w:rsidR="00B40A53" w:rsidRPr="0081311E" w:rsidRDefault="00B40A53" w:rsidP="00B66FF9">
      <w:pPr>
        <w:tabs>
          <w:tab w:val="clear" w:pos="794"/>
          <w:tab w:val="clear" w:pos="1191"/>
          <w:tab w:val="clear" w:pos="1588"/>
          <w:tab w:val="clear" w:pos="1985"/>
          <w:tab w:val="center" w:pos="8222"/>
        </w:tabs>
        <w:rPr>
          <w:szCs w:val="22"/>
          <w:lang w:val="en-US" w:eastAsia="zh-CN"/>
        </w:rPr>
      </w:pPr>
    </w:p>
    <w:p w:rsidR="009E73FA" w:rsidRDefault="009E73FA" w:rsidP="00F678A0">
      <w:pPr>
        <w:pStyle w:val="Heading1"/>
        <w:rPr>
          <w:lang w:eastAsia="zh-CN"/>
        </w:rPr>
      </w:pPr>
      <w:bookmarkStart w:id="5" w:name="lt_pId021"/>
      <w:r>
        <w:rPr>
          <w:lang w:eastAsia="zh-CN"/>
        </w:rPr>
        <w:br w:type="page"/>
      </w:r>
    </w:p>
    <w:p w:rsidR="004504EE" w:rsidRPr="00BC0FED" w:rsidRDefault="004504EE" w:rsidP="00F678A0">
      <w:pPr>
        <w:pStyle w:val="Heading1"/>
        <w:rPr>
          <w:lang w:eastAsia="zh-CN"/>
        </w:rPr>
      </w:pPr>
      <w:r>
        <w:rPr>
          <w:lang w:eastAsia="zh-CN"/>
        </w:rPr>
        <w:lastRenderedPageBreak/>
        <w:t>1</w:t>
      </w:r>
      <w:r>
        <w:rPr>
          <w:lang w:eastAsia="zh-CN"/>
        </w:rPr>
        <w:tab/>
      </w:r>
      <w:r w:rsidRPr="00BC0FED">
        <w:rPr>
          <w:lang w:eastAsia="zh-CN"/>
        </w:rPr>
        <w:t>WRC-</w:t>
      </w:r>
      <w:r w:rsidRPr="004504EE">
        <w:rPr>
          <w:lang w:eastAsia="zh-CN"/>
        </w:rPr>
        <w:t>19</w:t>
      </w:r>
      <w:r w:rsidR="00F678A0">
        <w:rPr>
          <w:rFonts w:hint="eastAsia"/>
          <w:lang w:eastAsia="zh-CN"/>
        </w:rPr>
        <w:t>的</w:t>
      </w:r>
      <w:r w:rsidR="00F678A0">
        <w:rPr>
          <w:lang w:eastAsia="zh-CN"/>
        </w:rPr>
        <w:t>举办地点、日期和议程</w:t>
      </w:r>
      <w:r w:rsidR="00F678A0">
        <w:rPr>
          <w:rFonts w:hint="eastAsia"/>
          <w:lang w:eastAsia="zh-CN"/>
        </w:rPr>
        <w:t>；</w:t>
      </w:r>
      <w:r w:rsidRPr="00BC0FED">
        <w:rPr>
          <w:lang w:eastAsia="zh-CN"/>
        </w:rPr>
        <w:t>RA-19</w:t>
      </w:r>
      <w:bookmarkEnd w:id="5"/>
      <w:r w:rsidR="00F678A0">
        <w:rPr>
          <w:rFonts w:hint="eastAsia"/>
          <w:lang w:eastAsia="zh-CN"/>
        </w:rPr>
        <w:t>的</w:t>
      </w:r>
      <w:r w:rsidR="00F678A0">
        <w:rPr>
          <w:lang w:eastAsia="zh-CN"/>
        </w:rPr>
        <w:t>举办地点和日期</w:t>
      </w:r>
    </w:p>
    <w:p w:rsidR="004504EE" w:rsidRPr="006B331B" w:rsidRDefault="00762A3F" w:rsidP="00976698">
      <w:pPr>
        <w:snapToGrid w:val="0"/>
        <w:spacing w:after="120"/>
        <w:ind w:firstLineChars="200" w:firstLine="480"/>
        <w:jc w:val="both"/>
        <w:rPr>
          <w:rFonts w:asciiTheme="minorHAnsi" w:hAnsiTheme="minorHAnsi"/>
          <w:szCs w:val="24"/>
          <w:lang w:eastAsia="zh-CN"/>
        </w:rPr>
      </w:pPr>
      <w:bookmarkStart w:id="6" w:name="lt_pId022"/>
      <w:r>
        <w:rPr>
          <w:rFonts w:asciiTheme="minorHAnsi" w:hAnsiTheme="minorHAnsi"/>
          <w:szCs w:val="24"/>
          <w:lang w:eastAsia="zh-CN"/>
        </w:rPr>
        <w:t>理事会</w:t>
      </w:r>
      <w:r>
        <w:rPr>
          <w:rFonts w:asciiTheme="minorHAnsi" w:hAnsiTheme="minorHAnsi" w:hint="eastAsia"/>
          <w:szCs w:val="24"/>
          <w:lang w:eastAsia="zh-CN"/>
        </w:rPr>
        <w:t>在</w:t>
      </w:r>
      <w:r w:rsidR="00B7626F">
        <w:rPr>
          <w:rFonts w:asciiTheme="minorHAnsi" w:hAnsiTheme="minorHAnsi"/>
          <w:szCs w:val="24"/>
          <w:lang w:eastAsia="zh-CN"/>
        </w:rPr>
        <w:t>201</w:t>
      </w:r>
      <w:r w:rsidR="006E0C7B">
        <w:rPr>
          <w:rFonts w:asciiTheme="minorHAnsi" w:hAnsiTheme="minorHAnsi" w:hint="eastAsia"/>
          <w:szCs w:val="24"/>
          <w:lang w:eastAsia="zh-CN"/>
        </w:rPr>
        <w:t>7</w:t>
      </w:r>
      <w:r w:rsidR="00B7626F">
        <w:rPr>
          <w:rFonts w:asciiTheme="minorHAnsi" w:hAnsiTheme="minorHAnsi" w:hint="eastAsia"/>
          <w:szCs w:val="24"/>
          <w:lang w:eastAsia="zh-CN"/>
        </w:rPr>
        <w:t>年</w:t>
      </w:r>
      <w:r>
        <w:rPr>
          <w:rFonts w:asciiTheme="minorHAnsi" w:hAnsiTheme="minorHAnsi"/>
          <w:szCs w:val="24"/>
          <w:lang w:eastAsia="zh-CN"/>
        </w:rPr>
        <w:t>会议期间</w:t>
      </w:r>
      <w:r w:rsidR="006E0C7B">
        <w:rPr>
          <w:rFonts w:asciiTheme="minorHAnsi" w:hAnsiTheme="minorHAnsi" w:hint="eastAsia"/>
          <w:szCs w:val="24"/>
          <w:lang w:eastAsia="zh-CN"/>
        </w:rPr>
        <w:t>通过了第</w:t>
      </w:r>
      <w:r w:rsidR="006E0C7B">
        <w:rPr>
          <w:rFonts w:asciiTheme="minorHAnsi" w:hAnsiTheme="minorHAnsi" w:hint="eastAsia"/>
          <w:szCs w:val="24"/>
          <w:lang w:eastAsia="zh-CN"/>
        </w:rPr>
        <w:t>1380</w:t>
      </w:r>
      <w:r w:rsidR="006E0C7B">
        <w:rPr>
          <w:rFonts w:asciiTheme="minorHAnsi" w:hAnsiTheme="minorHAnsi" w:hint="eastAsia"/>
          <w:szCs w:val="24"/>
          <w:lang w:eastAsia="zh-CN"/>
        </w:rPr>
        <w:t>号决议的修订案，</w:t>
      </w:r>
      <w:r w:rsidR="00976698">
        <w:rPr>
          <w:rFonts w:asciiTheme="minorHAnsi" w:hAnsiTheme="minorHAnsi" w:hint="eastAsia"/>
          <w:szCs w:val="24"/>
          <w:lang w:eastAsia="zh-CN"/>
        </w:rPr>
        <w:t>该决议</w:t>
      </w:r>
      <w:r w:rsidR="00976698">
        <w:rPr>
          <w:color w:val="000000"/>
          <w:lang w:eastAsia="zh-CN"/>
        </w:rPr>
        <w:t>确定在（埃及）沙姆沙伊赫举办下届世界无线电通信大会（</w:t>
      </w:r>
      <w:r w:rsidR="00976698">
        <w:rPr>
          <w:color w:val="000000"/>
          <w:lang w:eastAsia="zh-CN"/>
        </w:rPr>
        <w:t>WRC-19</w:t>
      </w:r>
      <w:r w:rsidR="00976698">
        <w:rPr>
          <w:color w:val="000000"/>
          <w:lang w:eastAsia="zh-CN"/>
        </w:rPr>
        <w:t>）和无线电通信全会（</w:t>
      </w:r>
      <w:r w:rsidR="00976698">
        <w:rPr>
          <w:color w:val="000000"/>
          <w:lang w:eastAsia="zh-CN"/>
        </w:rPr>
        <w:t>RA-19</w:t>
      </w:r>
      <w:r w:rsidR="00976698">
        <w:rPr>
          <w:color w:val="000000"/>
          <w:lang w:eastAsia="zh-CN"/>
        </w:rPr>
        <w:t>），未对之前经理事会一致同意并经与成员国磋商确认的</w:t>
      </w:r>
      <w:r w:rsidR="00976698">
        <w:rPr>
          <w:color w:val="000000"/>
          <w:lang w:eastAsia="zh-CN"/>
        </w:rPr>
        <w:t>WRC-19</w:t>
      </w:r>
      <w:r w:rsidR="00976698">
        <w:rPr>
          <w:color w:val="000000"/>
          <w:lang w:eastAsia="zh-CN"/>
        </w:rPr>
        <w:t>的会期和议程做出修</w:t>
      </w:r>
      <w:r w:rsidR="00976698">
        <w:rPr>
          <w:rFonts w:ascii="SimSun" w:hAnsi="SimSun" w:cs="SimSun" w:hint="eastAsia"/>
          <w:color w:val="000000"/>
          <w:lang w:eastAsia="zh-CN"/>
        </w:rPr>
        <w:t>改</w:t>
      </w:r>
      <w:r w:rsidR="00B7626F">
        <w:rPr>
          <w:rFonts w:asciiTheme="minorHAnsi" w:hAnsiTheme="minorHAnsi" w:hint="eastAsia"/>
          <w:szCs w:val="24"/>
          <w:lang w:eastAsia="zh-CN"/>
        </w:rPr>
        <w:t>。</w:t>
      </w:r>
      <w:bookmarkEnd w:id="6"/>
    </w:p>
    <w:p w:rsidR="004504EE" w:rsidRPr="006B331B" w:rsidRDefault="00976698" w:rsidP="00976698">
      <w:pPr>
        <w:snapToGrid w:val="0"/>
        <w:spacing w:after="120"/>
        <w:ind w:firstLineChars="200" w:firstLine="480"/>
        <w:jc w:val="both"/>
        <w:rPr>
          <w:rFonts w:asciiTheme="minorHAnsi" w:hAnsiTheme="minorHAnsi"/>
          <w:szCs w:val="24"/>
          <w:lang w:eastAsia="zh-CN"/>
        </w:rPr>
      </w:pPr>
      <w:bookmarkStart w:id="7" w:name="lt_pId023"/>
      <w:r>
        <w:rPr>
          <w:color w:val="000000"/>
          <w:lang w:eastAsia="zh-CN"/>
        </w:rPr>
        <w:t>第</w:t>
      </w:r>
      <w:r>
        <w:rPr>
          <w:color w:val="000000"/>
          <w:lang w:eastAsia="zh-CN"/>
        </w:rPr>
        <w:t>1380</w:t>
      </w:r>
      <w:r>
        <w:rPr>
          <w:color w:val="000000"/>
          <w:lang w:eastAsia="zh-CN"/>
        </w:rPr>
        <w:t>号决议</w:t>
      </w:r>
      <w:r>
        <w:rPr>
          <w:rFonts w:hint="eastAsia"/>
          <w:color w:val="000000"/>
          <w:lang w:eastAsia="zh-CN"/>
        </w:rPr>
        <w:t>（</w:t>
      </w:r>
      <w:r>
        <w:rPr>
          <w:rFonts w:hint="eastAsia"/>
          <w:color w:val="000000"/>
          <w:lang w:eastAsia="zh-CN"/>
        </w:rPr>
        <w:t>2017</w:t>
      </w:r>
      <w:r>
        <w:rPr>
          <w:rFonts w:hint="eastAsia"/>
          <w:color w:val="000000"/>
          <w:lang w:eastAsia="zh-CN"/>
        </w:rPr>
        <w:t>年修订版）</w:t>
      </w:r>
      <w:r>
        <w:rPr>
          <w:color w:val="000000"/>
          <w:lang w:eastAsia="zh-CN"/>
        </w:rPr>
        <w:t>责成秘书长就</w:t>
      </w:r>
      <w:r>
        <w:rPr>
          <w:color w:val="000000"/>
          <w:lang w:eastAsia="zh-CN"/>
        </w:rPr>
        <w:t>2019</w:t>
      </w:r>
      <w:r>
        <w:rPr>
          <w:color w:val="000000"/>
          <w:lang w:eastAsia="zh-CN"/>
        </w:rPr>
        <w:t>年世界无线电通信大会和无线电通信全会的具体地点与成员国进行磋</w:t>
      </w:r>
      <w:r>
        <w:rPr>
          <w:rFonts w:ascii="SimSun" w:hAnsi="SimSun" w:cs="SimSun" w:hint="eastAsia"/>
          <w:color w:val="000000"/>
          <w:lang w:eastAsia="zh-CN"/>
        </w:rPr>
        <w:t>商</w:t>
      </w:r>
      <w:r w:rsidRPr="000851AE">
        <w:rPr>
          <w:rFonts w:asciiTheme="minorHAnsi" w:hAnsiTheme="minorHAnsi" w:hint="eastAsia"/>
          <w:szCs w:val="24"/>
          <w:lang w:eastAsia="zh-CN"/>
        </w:rPr>
        <w:t>。</w:t>
      </w:r>
      <w:r>
        <w:rPr>
          <w:rFonts w:asciiTheme="minorHAnsi" w:hAnsiTheme="minorHAnsi" w:hint="eastAsia"/>
          <w:szCs w:val="24"/>
          <w:lang w:eastAsia="zh-CN"/>
        </w:rPr>
        <w:t>因此，</w:t>
      </w:r>
      <w:r w:rsidR="00B7626F">
        <w:rPr>
          <w:rFonts w:asciiTheme="minorHAnsi" w:hAnsiTheme="minorHAnsi" w:hint="eastAsia"/>
          <w:szCs w:val="24"/>
          <w:lang w:eastAsia="zh-CN"/>
        </w:rPr>
        <w:t>根据</w:t>
      </w:r>
      <w:r w:rsidR="00A57123">
        <w:rPr>
          <w:rFonts w:asciiTheme="minorHAnsi" w:hAnsiTheme="minorHAnsi" w:hint="eastAsia"/>
          <w:szCs w:val="24"/>
          <w:lang w:eastAsia="zh-CN"/>
        </w:rPr>
        <w:t>《公约》第</w:t>
      </w:r>
      <w:r w:rsidR="004504EE" w:rsidRPr="006B331B">
        <w:rPr>
          <w:rFonts w:asciiTheme="minorHAnsi" w:hAnsiTheme="minorHAnsi"/>
          <w:szCs w:val="24"/>
          <w:lang w:eastAsia="zh-CN"/>
        </w:rPr>
        <w:t>42</w:t>
      </w:r>
      <w:r w:rsidR="00B7626F">
        <w:rPr>
          <w:rFonts w:asciiTheme="minorHAnsi" w:hAnsiTheme="minorHAnsi" w:hint="eastAsia"/>
          <w:szCs w:val="24"/>
          <w:lang w:eastAsia="zh-CN"/>
        </w:rPr>
        <w:t>和</w:t>
      </w:r>
      <w:r w:rsidR="004504EE" w:rsidRPr="006B331B">
        <w:rPr>
          <w:rFonts w:asciiTheme="minorHAnsi" w:hAnsiTheme="minorHAnsi"/>
          <w:szCs w:val="24"/>
          <w:lang w:eastAsia="zh-CN"/>
        </w:rPr>
        <w:t>118</w:t>
      </w:r>
      <w:r w:rsidR="00A57123">
        <w:rPr>
          <w:rFonts w:asciiTheme="minorHAnsi" w:hAnsiTheme="minorHAnsi" w:hint="eastAsia"/>
          <w:szCs w:val="24"/>
          <w:lang w:eastAsia="zh-CN"/>
        </w:rPr>
        <w:t>款</w:t>
      </w:r>
      <w:r w:rsidR="00B7626F">
        <w:rPr>
          <w:rFonts w:asciiTheme="minorHAnsi" w:hAnsiTheme="minorHAnsi" w:hint="eastAsia"/>
          <w:szCs w:val="24"/>
          <w:lang w:eastAsia="zh-CN"/>
        </w:rPr>
        <w:t>，</w:t>
      </w:r>
      <w:r>
        <w:rPr>
          <w:rFonts w:asciiTheme="minorHAnsi" w:hAnsiTheme="minorHAnsi" w:hint="eastAsia"/>
          <w:szCs w:val="24"/>
          <w:lang w:eastAsia="zh-CN"/>
        </w:rPr>
        <w:t>通过</w:t>
      </w:r>
      <w:r>
        <w:rPr>
          <w:rFonts w:asciiTheme="minorHAnsi" w:hAnsiTheme="minorHAnsi" w:hint="eastAsia"/>
          <w:szCs w:val="24"/>
          <w:lang w:eastAsia="zh-CN"/>
        </w:rPr>
        <w:t>2017</w:t>
      </w:r>
      <w:r>
        <w:rPr>
          <w:rFonts w:asciiTheme="minorHAnsi" w:hAnsiTheme="minorHAnsi" w:hint="eastAsia"/>
          <w:szCs w:val="24"/>
          <w:lang w:eastAsia="zh-CN"/>
        </w:rPr>
        <w:t>年</w:t>
      </w:r>
      <w:r>
        <w:rPr>
          <w:rFonts w:asciiTheme="minorHAnsi" w:hAnsiTheme="minorHAnsi" w:hint="eastAsia"/>
          <w:szCs w:val="24"/>
          <w:lang w:eastAsia="zh-CN"/>
        </w:rPr>
        <w:t>7</w:t>
      </w:r>
      <w:r>
        <w:rPr>
          <w:rFonts w:asciiTheme="minorHAnsi" w:hAnsiTheme="minorHAnsi" w:hint="eastAsia"/>
          <w:szCs w:val="24"/>
          <w:lang w:eastAsia="zh-CN"/>
        </w:rPr>
        <w:t>月</w:t>
      </w:r>
      <w:r>
        <w:rPr>
          <w:rFonts w:asciiTheme="minorHAnsi" w:hAnsiTheme="minorHAnsi" w:hint="eastAsia"/>
          <w:szCs w:val="24"/>
          <w:lang w:eastAsia="zh-CN"/>
        </w:rPr>
        <w:t>18</w:t>
      </w:r>
      <w:r>
        <w:rPr>
          <w:rFonts w:asciiTheme="minorHAnsi" w:hAnsiTheme="minorHAnsi" w:hint="eastAsia"/>
          <w:szCs w:val="24"/>
          <w:lang w:eastAsia="zh-CN"/>
        </w:rPr>
        <w:t>日的</w:t>
      </w:r>
      <w:hyperlink r:id="rId13" w:history="1">
        <w:r>
          <w:rPr>
            <w:rStyle w:val="Hyperlink"/>
            <w:rFonts w:asciiTheme="minorHAnsi" w:hAnsiTheme="minorHAnsi"/>
            <w:szCs w:val="24"/>
            <w:lang w:eastAsia="zh-CN"/>
          </w:rPr>
          <w:t>CL-17/34</w:t>
        </w:r>
      </w:hyperlink>
      <w:r>
        <w:rPr>
          <w:rFonts w:asciiTheme="minorHAnsi" w:hAnsiTheme="minorHAnsi" w:hint="eastAsia"/>
          <w:szCs w:val="24"/>
          <w:lang w:eastAsia="zh-CN"/>
        </w:rPr>
        <w:t>号通函和</w:t>
      </w:r>
      <w:r>
        <w:rPr>
          <w:rFonts w:asciiTheme="minorHAnsi" w:hAnsiTheme="minorHAnsi" w:hint="eastAsia"/>
          <w:szCs w:val="24"/>
          <w:lang w:eastAsia="zh-CN"/>
        </w:rPr>
        <w:t>2017</w:t>
      </w:r>
      <w:r>
        <w:rPr>
          <w:rFonts w:asciiTheme="minorHAnsi" w:hAnsiTheme="minorHAnsi" w:hint="eastAsia"/>
          <w:szCs w:val="24"/>
          <w:lang w:eastAsia="zh-CN"/>
        </w:rPr>
        <w:t>年</w:t>
      </w:r>
      <w:r>
        <w:rPr>
          <w:rFonts w:asciiTheme="minorHAnsi" w:hAnsiTheme="minorHAnsi" w:hint="eastAsia"/>
          <w:szCs w:val="24"/>
          <w:lang w:eastAsia="zh-CN"/>
        </w:rPr>
        <w:t>9</w:t>
      </w:r>
      <w:r>
        <w:rPr>
          <w:rFonts w:asciiTheme="minorHAnsi" w:hAnsiTheme="minorHAnsi" w:hint="eastAsia"/>
          <w:szCs w:val="24"/>
          <w:lang w:eastAsia="zh-CN"/>
        </w:rPr>
        <w:t>月</w:t>
      </w:r>
      <w:r>
        <w:rPr>
          <w:rFonts w:asciiTheme="minorHAnsi" w:hAnsiTheme="minorHAnsi" w:hint="eastAsia"/>
          <w:szCs w:val="24"/>
          <w:lang w:eastAsia="zh-CN"/>
        </w:rPr>
        <w:t>13</w:t>
      </w:r>
      <w:r>
        <w:rPr>
          <w:rFonts w:asciiTheme="minorHAnsi" w:hAnsiTheme="minorHAnsi" w:hint="eastAsia"/>
          <w:szCs w:val="24"/>
          <w:lang w:eastAsia="zh-CN"/>
        </w:rPr>
        <w:t>日的</w:t>
      </w:r>
      <w:hyperlink r:id="rId14" w:history="1">
        <w:r>
          <w:rPr>
            <w:rStyle w:val="Hyperlink"/>
            <w:rFonts w:asciiTheme="minorHAnsi" w:hAnsiTheme="minorHAnsi"/>
            <w:szCs w:val="24"/>
            <w:lang w:eastAsia="zh-CN"/>
          </w:rPr>
          <w:t>CL-17/39</w:t>
        </w:r>
      </w:hyperlink>
      <w:r>
        <w:rPr>
          <w:rFonts w:asciiTheme="minorHAnsi" w:hAnsiTheme="minorHAnsi" w:hint="eastAsia"/>
          <w:szCs w:val="24"/>
          <w:lang w:eastAsia="zh-CN"/>
        </w:rPr>
        <w:t>号通函与成员国进行了磋商</w:t>
      </w:r>
      <w:r w:rsidR="00A57123">
        <w:rPr>
          <w:rFonts w:asciiTheme="minorHAnsi" w:hAnsiTheme="minorHAnsi"/>
          <w:szCs w:val="24"/>
          <w:lang w:eastAsia="zh-CN"/>
        </w:rPr>
        <w:t>。</w:t>
      </w:r>
      <w:bookmarkEnd w:id="7"/>
    </w:p>
    <w:p w:rsidR="004504EE" w:rsidRPr="006B331B" w:rsidRDefault="00786874" w:rsidP="00786874">
      <w:pPr>
        <w:snapToGrid w:val="0"/>
        <w:spacing w:after="120"/>
        <w:ind w:firstLineChars="200" w:firstLine="480"/>
        <w:jc w:val="both"/>
        <w:rPr>
          <w:rFonts w:asciiTheme="minorHAnsi" w:hAnsiTheme="minorHAnsi"/>
          <w:szCs w:val="24"/>
          <w:lang w:eastAsia="zh-CN"/>
        </w:rPr>
      </w:pPr>
      <w:bookmarkStart w:id="8" w:name="lt_pId024"/>
      <w:r>
        <w:rPr>
          <w:rFonts w:asciiTheme="minorHAnsi" w:hAnsiTheme="minorHAnsi" w:hint="eastAsia"/>
          <w:szCs w:val="24"/>
          <w:lang w:eastAsia="zh-CN"/>
        </w:rPr>
        <w:t>根据国际电联《公约》第</w:t>
      </w:r>
      <w:r>
        <w:rPr>
          <w:rFonts w:asciiTheme="minorHAnsi" w:hAnsiTheme="minorHAnsi" w:hint="eastAsia"/>
          <w:szCs w:val="24"/>
          <w:lang w:eastAsia="zh-CN"/>
        </w:rPr>
        <w:t>47</w:t>
      </w:r>
      <w:r>
        <w:rPr>
          <w:rFonts w:asciiTheme="minorHAnsi" w:hAnsiTheme="minorHAnsi" w:hint="eastAsia"/>
          <w:szCs w:val="24"/>
          <w:lang w:eastAsia="zh-CN"/>
        </w:rPr>
        <w:t>款，</w:t>
      </w:r>
      <w:r w:rsidR="00A57123">
        <w:rPr>
          <w:rFonts w:asciiTheme="minorHAnsi" w:hAnsiTheme="minorHAnsi" w:hint="eastAsia"/>
          <w:szCs w:val="24"/>
          <w:lang w:eastAsia="zh-CN"/>
        </w:rPr>
        <w:t>201</w:t>
      </w:r>
      <w:r w:rsidR="00976698">
        <w:rPr>
          <w:rFonts w:asciiTheme="minorHAnsi" w:hAnsiTheme="minorHAnsi" w:hint="eastAsia"/>
          <w:szCs w:val="24"/>
          <w:lang w:eastAsia="zh-CN"/>
        </w:rPr>
        <w:t>7</w:t>
      </w:r>
      <w:r w:rsidR="00A57123">
        <w:rPr>
          <w:rFonts w:asciiTheme="minorHAnsi" w:hAnsiTheme="minorHAnsi" w:hint="eastAsia"/>
          <w:szCs w:val="24"/>
          <w:lang w:eastAsia="zh-CN"/>
        </w:rPr>
        <w:t>年</w:t>
      </w:r>
      <w:r w:rsidR="00A57123">
        <w:rPr>
          <w:rFonts w:asciiTheme="minorHAnsi" w:hAnsiTheme="minorHAnsi" w:hint="eastAsia"/>
          <w:szCs w:val="24"/>
          <w:lang w:eastAsia="zh-CN"/>
        </w:rPr>
        <w:t>12</w:t>
      </w:r>
      <w:r w:rsidR="00A57123">
        <w:rPr>
          <w:rFonts w:asciiTheme="minorHAnsi" w:hAnsiTheme="minorHAnsi" w:hint="eastAsia"/>
          <w:szCs w:val="24"/>
          <w:lang w:eastAsia="zh-CN"/>
        </w:rPr>
        <w:t>月</w:t>
      </w:r>
      <w:r w:rsidR="00976698">
        <w:rPr>
          <w:rFonts w:asciiTheme="minorHAnsi" w:hAnsiTheme="minorHAnsi" w:hint="eastAsia"/>
          <w:szCs w:val="24"/>
          <w:lang w:eastAsia="zh-CN"/>
        </w:rPr>
        <w:t>1</w:t>
      </w:r>
      <w:r w:rsidR="00A57123">
        <w:rPr>
          <w:rFonts w:asciiTheme="minorHAnsi" w:hAnsiTheme="minorHAnsi" w:hint="eastAsia"/>
          <w:szCs w:val="24"/>
          <w:lang w:eastAsia="zh-CN"/>
        </w:rPr>
        <w:t>8</w:t>
      </w:r>
      <w:r w:rsidR="00A57123">
        <w:rPr>
          <w:rFonts w:asciiTheme="minorHAnsi" w:hAnsiTheme="minorHAnsi" w:hint="eastAsia"/>
          <w:szCs w:val="24"/>
          <w:lang w:eastAsia="zh-CN"/>
        </w:rPr>
        <w:t>日</w:t>
      </w:r>
      <w:r w:rsidR="00A57123">
        <w:rPr>
          <w:rFonts w:asciiTheme="minorHAnsi" w:hAnsiTheme="minorHAnsi"/>
          <w:szCs w:val="24"/>
          <w:lang w:eastAsia="zh-CN"/>
        </w:rPr>
        <w:t>第</w:t>
      </w:r>
      <w:hyperlink r:id="rId15" w:history="1">
        <w:r w:rsidR="00976698">
          <w:rPr>
            <w:rStyle w:val="Hyperlink"/>
            <w:rFonts w:asciiTheme="minorHAnsi" w:hAnsiTheme="minorHAnsi"/>
            <w:szCs w:val="24"/>
            <w:lang w:eastAsia="zh-CN"/>
          </w:rPr>
          <w:t>CL-17/52</w:t>
        </w:r>
      </w:hyperlink>
      <w:r w:rsidR="00A57123">
        <w:rPr>
          <w:rFonts w:asciiTheme="minorHAnsi" w:hAnsiTheme="minorHAnsi" w:hint="eastAsia"/>
          <w:szCs w:val="24"/>
          <w:lang w:eastAsia="zh-CN"/>
        </w:rPr>
        <w:t>号通函</w:t>
      </w:r>
      <w:r w:rsidR="00A57123">
        <w:rPr>
          <w:rFonts w:asciiTheme="minorHAnsi" w:hAnsiTheme="minorHAnsi"/>
          <w:szCs w:val="24"/>
          <w:lang w:eastAsia="zh-CN"/>
        </w:rPr>
        <w:t>向各成员通报的</w:t>
      </w:r>
      <w:r>
        <w:rPr>
          <w:rFonts w:asciiTheme="minorHAnsi" w:hAnsiTheme="minorHAnsi" w:hint="eastAsia"/>
          <w:szCs w:val="24"/>
          <w:lang w:eastAsia="zh-CN"/>
        </w:rPr>
        <w:t>、</w:t>
      </w:r>
      <w:r w:rsidR="00A57123">
        <w:rPr>
          <w:rFonts w:asciiTheme="minorHAnsi" w:hAnsiTheme="minorHAnsi" w:hint="eastAsia"/>
          <w:szCs w:val="24"/>
          <w:lang w:eastAsia="zh-CN"/>
        </w:rPr>
        <w:t>第</w:t>
      </w:r>
      <w:r w:rsidR="00A57123">
        <w:rPr>
          <w:rFonts w:asciiTheme="minorHAnsi" w:hAnsiTheme="minorHAnsi" w:hint="eastAsia"/>
          <w:szCs w:val="24"/>
          <w:lang w:eastAsia="zh-CN"/>
        </w:rPr>
        <w:t>1380</w:t>
      </w:r>
      <w:r w:rsidR="00A57123">
        <w:rPr>
          <w:rFonts w:asciiTheme="minorHAnsi" w:hAnsiTheme="minorHAnsi" w:hint="eastAsia"/>
          <w:szCs w:val="24"/>
          <w:lang w:eastAsia="zh-CN"/>
        </w:rPr>
        <w:t>号</w:t>
      </w:r>
      <w:r w:rsidR="00A57123">
        <w:rPr>
          <w:rFonts w:asciiTheme="minorHAnsi" w:hAnsiTheme="minorHAnsi"/>
          <w:szCs w:val="24"/>
          <w:lang w:eastAsia="zh-CN"/>
        </w:rPr>
        <w:t>决议</w:t>
      </w:r>
      <w:r w:rsidR="00976698">
        <w:rPr>
          <w:rFonts w:hint="eastAsia"/>
          <w:color w:val="000000"/>
          <w:lang w:eastAsia="zh-CN"/>
        </w:rPr>
        <w:t>（</w:t>
      </w:r>
      <w:r w:rsidR="00976698">
        <w:rPr>
          <w:rFonts w:hint="eastAsia"/>
          <w:color w:val="000000"/>
          <w:lang w:eastAsia="zh-CN"/>
        </w:rPr>
        <w:t>2017</w:t>
      </w:r>
      <w:r w:rsidR="00976698">
        <w:rPr>
          <w:rFonts w:hint="eastAsia"/>
          <w:color w:val="000000"/>
          <w:lang w:eastAsia="zh-CN"/>
        </w:rPr>
        <w:t>年修订版）</w:t>
      </w:r>
      <w:r w:rsidR="00A57123">
        <w:rPr>
          <w:rFonts w:asciiTheme="minorHAnsi" w:hAnsiTheme="minorHAnsi"/>
          <w:szCs w:val="24"/>
          <w:lang w:eastAsia="zh-CN"/>
        </w:rPr>
        <w:t>提出的</w:t>
      </w:r>
      <w:r w:rsidR="00A57123">
        <w:rPr>
          <w:rFonts w:asciiTheme="minorHAnsi" w:hAnsiTheme="minorHAnsi"/>
          <w:szCs w:val="24"/>
          <w:lang w:eastAsia="zh-CN"/>
        </w:rPr>
        <w:t>WRC-19</w:t>
      </w:r>
      <w:r w:rsidR="00A57123">
        <w:rPr>
          <w:rFonts w:asciiTheme="minorHAnsi" w:hAnsiTheme="minorHAnsi"/>
          <w:szCs w:val="24"/>
          <w:lang w:eastAsia="zh-CN"/>
        </w:rPr>
        <w:t>及</w:t>
      </w:r>
      <w:r w:rsidR="00A57123">
        <w:rPr>
          <w:rFonts w:asciiTheme="minorHAnsi" w:hAnsiTheme="minorHAnsi"/>
          <w:szCs w:val="24"/>
          <w:lang w:eastAsia="zh-CN"/>
        </w:rPr>
        <w:t>RA-19</w:t>
      </w:r>
      <w:r w:rsidR="00A57123">
        <w:rPr>
          <w:rFonts w:asciiTheme="minorHAnsi" w:hAnsiTheme="minorHAnsi"/>
          <w:szCs w:val="24"/>
          <w:lang w:eastAsia="zh-CN"/>
        </w:rPr>
        <w:t>的</w:t>
      </w:r>
      <w:r w:rsidR="00976698">
        <w:rPr>
          <w:rFonts w:asciiTheme="minorHAnsi" w:hAnsiTheme="minorHAnsi" w:hint="eastAsia"/>
          <w:szCs w:val="24"/>
          <w:lang w:eastAsia="zh-CN"/>
        </w:rPr>
        <w:t>确切</w:t>
      </w:r>
      <w:r w:rsidR="00976698">
        <w:rPr>
          <w:rFonts w:asciiTheme="minorHAnsi" w:hAnsiTheme="minorHAnsi"/>
          <w:szCs w:val="24"/>
          <w:lang w:eastAsia="zh-CN"/>
        </w:rPr>
        <w:t>举办地点</w:t>
      </w:r>
      <w:r w:rsidR="00A57123">
        <w:rPr>
          <w:rFonts w:asciiTheme="minorHAnsi" w:hAnsiTheme="minorHAnsi"/>
          <w:szCs w:val="24"/>
          <w:lang w:eastAsia="zh-CN"/>
        </w:rPr>
        <w:t>得到了</w:t>
      </w:r>
      <w:r w:rsidR="00A57123">
        <w:rPr>
          <w:rFonts w:asciiTheme="minorHAnsi" w:hAnsiTheme="minorHAnsi" w:hint="eastAsia"/>
          <w:szCs w:val="24"/>
          <w:lang w:eastAsia="zh-CN"/>
        </w:rPr>
        <w:t>大多数</w:t>
      </w:r>
      <w:r w:rsidR="00A57123">
        <w:rPr>
          <w:rFonts w:asciiTheme="minorHAnsi" w:hAnsiTheme="minorHAnsi"/>
          <w:szCs w:val="24"/>
          <w:lang w:eastAsia="zh-CN"/>
        </w:rPr>
        <w:t>国际电联成员国的赞同。</w:t>
      </w:r>
      <w:bookmarkEnd w:id="8"/>
    </w:p>
    <w:p w:rsidR="004504EE" w:rsidRPr="006B331B" w:rsidRDefault="00786874" w:rsidP="00786874">
      <w:pPr>
        <w:snapToGrid w:val="0"/>
        <w:spacing w:after="120"/>
        <w:ind w:firstLineChars="200" w:firstLine="480"/>
        <w:jc w:val="both"/>
        <w:rPr>
          <w:rFonts w:asciiTheme="minorHAnsi" w:hAnsiTheme="minorHAnsi"/>
          <w:szCs w:val="24"/>
          <w:lang w:eastAsia="zh-CN"/>
        </w:rPr>
      </w:pPr>
      <w:bookmarkStart w:id="9" w:name="lt_pId026"/>
      <w:r>
        <w:rPr>
          <w:rFonts w:asciiTheme="minorHAnsi" w:hAnsiTheme="minorHAnsi" w:hint="eastAsia"/>
          <w:szCs w:val="24"/>
          <w:lang w:eastAsia="zh-CN"/>
        </w:rPr>
        <w:t>因此，</w:t>
      </w:r>
      <w:r>
        <w:rPr>
          <w:color w:val="000000"/>
          <w:lang w:eastAsia="zh-CN"/>
        </w:rPr>
        <w:t>WRC-19</w:t>
      </w:r>
      <w:r>
        <w:rPr>
          <w:color w:val="000000"/>
          <w:lang w:eastAsia="zh-CN"/>
        </w:rPr>
        <w:t>和</w:t>
      </w:r>
      <w:r>
        <w:rPr>
          <w:color w:val="000000"/>
          <w:lang w:eastAsia="zh-CN"/>
        </w:rPr>
        <w:t>RA-19</w:t>
      </w:r>
      <w:r>
        <w:rPr>
          <w:rFonts w:hint="eastAsia"/>
          <w:color w:val="000000"/>
          <w:lang w:eastAsia="zh-CN"/>
        </w:rPr>
        <w:t>将</w:t>
      </w:r>
      <w:r>
        <w:rPr>
          <w:color w:val="000000"/>
          <w:lang w:eastAsia="zh-CN"/>
        </w:rPr>
        <w:t>在（埃及）沙姆沙伊赫举办，未对之前经理事会一致同意并经与成员国磋商确认的</w:t>
      </w:r>
      <w:r>
        <w:rPr>
          <w:color w:val="000000"/>
          <w:lang w:eastAsia="zh-CN"/>
        </w:rPr>
        <w:t>WRC-19</w:t>
      </w:r>
      <w:r>
        <w:rPr>
          <w:color w:val="000000"/>
          <w:lang w:eastAsia="zh-CN"/>
        </w:rPr>
        <w:t>的会期和议程做出修</w:t>
      </w:r>
      <w:r>
        <w:rPr>
          <w:rFonts w:ascii="SimSun" w:hAnsi="SimSun" w:cs="SimSun" w:hint="eastAsia"/>
          <w:color w:val="000000"/>
          <w:lang w:eastAsia="zh-CN"/>
        </w:rPr>
        <w:t>改</w:t>
      </w:r>
      <w:r>
        <w:rPr>
          <w:rFonts w:asciiTheme="minorHAnsi" w:hAnsiTheme="minorHAnsi" w:hint="eastAsia"/>
          <w:szCs w:val="24"/>
          <w:lang w:eastAsia="zh-CN"/>
        </w:rPr>
        <w:t>。</w:t>
      </w:r>
      <w:bookmarkEnd w:id="9"/>
    </w:p>
    <w:p w:rsidR="004504EE" w:rsidRPr="00E333C9" w:rsidRDefault="004504EE" w:rsidP="00F678A0">
      <w:pPr>
        <w:pStyle w:val="Heading1"/>
        <w:rPr>
          <w:lang w:eastAsia="zh-CN"/>
        </w:rPr>
      </w:pPr>
      <w:bookmarkStart w:id="10" w:name="lt_pId029"/>
      <w:r>
        <w:rPr>
          <w:lang w:eastAsia="zh-CN"/>
        </w:rPr>
        <w:t>2</w:t>
      </w:r>
      <w:r>
        <w:rPr>
          <w:lang w:eastAsia="zh-CN"/>
        </w:rPr>
        <w:tab/>
      </w:r>
      <w:r w:rsidRPr="00E333C9">
        <w:rPr>
          <w:lang w:eastAsia="zh-CN"/>
        </w:rPr>
        <w:t>WRC-19</w:t>
      </w:r>
      <w:r w:rsidR="00F678A0">
        <w:rPr>
          <w:rFonts w:hint="eastAsia"/>
          <w:lang w:eastAsia="zh-CN"/>
        </w:rPr>
        <w:t>的</w:t>
      </w:r>
      <w:r w:rsidR="00F678A0">
        <w:rPr>
          <w:lang w:eastAsia="zh-CN"/>
        </w:rPr>
        <w:t>筹备工作</w:t>
      </w:r>
      <w:bookmarkEnd w:id="10"/>
    </w:p>
    <w:p w:rsidR="00786874" w:rsidRDefault="00786874" w:rsidP="00850472">
      <w:pPr>
        <w:tabs>
          <w:tab w:val="left" w:pos="720"/>
        </w:tabs>
        <w:snapToGrid w:val="0"/>
        <w:spacing w:after="120"/>
        <w:jc w:val="both"/>
        <w:rPr>
          <w:rFonts w:asciiTheme="minorHAnsi" w:hAnsiTheme="minorHAnsi"/>
          <w:szCs w:val="24"/>
          <w:lang w:eastAsia="zh-CN"/>
        </w:rPr>
      </w:pPr>
      <w:bookmarkStart w:id="11" w:name="lt_pId030"/>
      <w:r>
        <w:rPr>
          <w:rFonts w:asciiTheme="minorHAnsi" w:hAnsiTheme="minorHAnsi"/>
          <w:szCs w:val="24"/>
          <w:lang w:eastAsia="zh-CN"/>
        </w:rPr>
        <w:t>2.1</w:t>
      </w:r>
      <w:r>
        <w:rPr>
          <w:rFonts w:asciiTheme="minorHAnsi" w:hAnsiTheme="minorHAnsi"/>
          <w:szCs w:val="24"/>
          <w:lang w:eastAsia="zh-CN"/>
        </w:rPr>
        <w:tab/>
      </w:r>
      <w:bookmarkStart w:id="12" w:name="lt_pId037"/>
      <w:r>
        <w:rPr>
          <w:rFonts w:asciiTheme="minorHAnsi" w:hAnsiTheme="minorHAnsi" w:hint="eastAsia"/>
          <w:szCs w:val="24"/>
          <w:lang w:eastAsia="zh-CN"/>
        </w:rPr>
        <w:t>在与成员国就</w:t>
      </w:r>
      <w:r>
        <w:rPr>
          <w:color w:val="000000"/>
          <w:lang w:eastAsia="zh-CN"/>
        </w:rPr>
        <w:t>WRC-19</w:t>
      </w:r>
      <w:r>
        <w:rPr>
          <w:color w:val="000000"/>
          <w:lang w:eastAsia="zh-CN"/>
        </w:rPr>
        <w:t>和</w:t>
      </w:r>
      <w:r>
        <w:rPr>
          <w:color w:val="000000"/>
          <w:lang w:eastAsia="zh-CN"/>
        </w:rPr>
        <w:t>RA-19</w:t>
      </w:r>
      <w:r>
        <w:rPr>
          <w:rFonts w:hint="eastAsia"/>
          <w:color w:val="000000"/>
          <w:lang w:eastAsia="zh-CN"/>
        </w:rPr>
        <w:t>地点问题开展的磋商取得积极成果后，</w:t>
      </w:r>
      <w:r>
        <w:rPr>
          <w:rFonts w:hint="eastAsia"/>
          <w:color w:val="000000"/>
          <w:lang w:eastAsia="zh-CN"/>
        </w:rPr>
        <w:t>2018</w:t>
      </w:r>
      <w:r>
        <w:rPr>
          <w:rFonts w:hint="eastAsia"/>
          <w:color w:val="000000"/>
          <w:lang w:eastAsia="zh-CN"/>
        </w:rPr>
        <w:t>年</w:t>
      </w:r>
      <w:r>
        <w:rPr>
          <w:rFonts w:hint="eastAsia"/>
          <w:color w:val="000000"/>
          <w:lang w:eastAsia="zh-CN"/>
        </w:rPr>
        <w:t>1</w:t>
      </w:r>
      <w:r>
        <w:rPr>
          <w:rFonts w:hint="eastAsia"/>
          <w:color w:val="000000"/>
          <w:lang w:eastAsia="zh-CN"/>
        </w:rPr>
        <w:t>月对拟议会址进行了实地考察。</w:t>
      </w:r>
      <w:bookmarkStart w:id="13" w:name="lt_pId038"/>
      <w:bookmarkEnd w:id="12"/>
      <w:r>
        <w:rPr>
          <w:rFonts w:hint="eastAsia"/>
          <w:color w:val="000000"/>
          <w:lang w:eastAsia="zh-CN"/>
        </w:rPr>
        <w:t>考察期间，特别关注了关</w:t>
      </w:r>
      <w:r w:rsidR="00850472">
        <w:rPr>
          <w:rFonts w:hint="eastAsia"/>
          <w:color w:val="000000"/>
          <w:lang w:eastAsia="zh-CN"/>
        </w:rPr>
        <w:t>乎</w:t>
      </w:r>
      <w:bookmarkStart w:id="14" w:name="_GoBack"/>
      <w:bookmarkEnd w:id="14"/>
      <w:r>
        <w:rPr>
          <w:rFonts w:hint="eastAsia"/>
          <w:color w:val="000000"/>
          <w:lang w:eastAsia="zh-CN"/>
        </w:rPr>
        <w:t>大会能否取得成功的三个主要问题：后勤（重点关注可用会议室的大小和数量）、</w:t>
      </w:r>
      <w:r>
        <w:rPr>
          <w:rFonts w:hint="eastAsia"/>
          <w:color w:val="000000"/>
          <w:lang w:eastAsia="zh-CN"/>
        </w:rPr>
        <w:t>IT</w:t>
      </w:r>
      <w:r>
        <w:rPr>
          <w:rFonts w:hint="eastAsia"/>
          <w:color w:val="000000"/>
          <w:lang w:eastAsia="zh-CN"/>
        </w:rPr>
        <w:t>设施（重点关注</w:t>
      </w:r>
      <w:r>
        <w:rPr>
          <w:rFonts w:hint="eastAsia"/>
          <w:color w:val="000000"/>
          <w:lang w:eastAsia="zh-CN"/>
        </w:rPr>
        <w:t>ICT</w:t>
      </w:r>
      <w:r>
        <w:rPr>
          <w:rFonts w:hint="eastAsia"/>
          <w:color w:val="000000"/>
          <w:lang w:eastAsia="zh-CN"/>
        </w:rPr>
        <w:t>和音视频能力）和安全安保。</w:t>
      </w:r>
      <w:bookmarkEnd w:id="13"/>
    </w:p>
    <w:p w:rsidR="00786874" w:rsidRDefault="00786874" w:rsidP="007B4585">
      <w:pPr>
        <w:tabs>
          <w:tab w:val="left" w:pos="720"/>
        </w:tabs>
        <w:snapToGrid w:val="0"/>
        <w:spacing w:after="120"/>
        <w:jc w:val="both"/>
        <w:rPr>
          <w:rFonts w:asciiTheme="minorHAnsi" w:hAnsiTheme="minorHAnsi"/>
          <w:szCs w:val="24"/>
          <w:lang w:eastAsia="zh-CN"/>
        </w:rPr>
      </w:pPr>
      <w:r>
        <w:rPr>
          <w:rFonts w:asciiTheme="minorHAnsi" w:hAnsiTheme="minorHAnsi"/>
          <w:szCs w:val="24"/>
          <w:lang w:eastAsia="zh-CN"/>
        </w:rPr>
        <w:t>2.2</w:t>
      </w:r>
      <w:r>
        <w:rPr>
          <w:rFonts w:asciiTheme="minorHAnsi" w:hAnsiTheme="minorHAnsi"/>
          <w:szCs w:val="24"/>
          <w:lang w:eastAsia="zh-CN"/>
        </w:rPr>
        <w:tab/>
      </w:r>
      <w:bookmarkStart w:id="15" w:name="lt_pId041"/>
      <w:r w:rsidR="007B4585">
        <w:rPr>
          <w:rFonts w:asciiTheme="minorHAnsi" w:hAnsiTheme="minorHAnsi" w:hint="eastAsia"/>
          <w:szCs w:val="24"/>
          <w:lang w:eastAsia="zh-CN"/>
        </w:rPr>
        <w:t>尽管当前</w:t>
      </w:r>
      <w:r w:rsidR="007B4585">
        <w:rPr>
          <w:rFonts w:hint="eastAsia"/>
          <w:color w:val="000000"/>
          <w:lang w:eastAsia="zh-CN"/>
        </w:rPr>
        <w:t>配置下的</w:t>
      </w:r>
      <w:r w:rsidR="007B4585">
        <w:rPr>
          <w:color w:val="000000"/>
          <w:lang w:eastAsia="zh-CN"/>
        </w:rPr>
        <w:t>沙姆沙伊赫</w:t>
      </w:r>
      <w:r w:rsidR="007B4585">
        <w:rPr>
          <w:rFonts w:hint="eastAsia"/>
          <w:color w:val="000000"/>
          <w:lang w:eastAsia="zh-CN"/>
        </w:rPr>
        <w:t>国际会议中心并不具备承办</w:t>
      </w:r>
      <w:r w:rsidR="007B4585">
        <w:rPr>
          <w:rFonts w:asciiTheme="minorHAnsi" w:hAnsiTheme="minorHAnsi"/>
          <w:szCs w:val="24"/>
          <w:lang w:eastAsia="zh-CN"/>
        </w:rPr>
        <w:t>RA/WRC-19</w:t>
      </w:r>
      <w:r w:rsidR="007B4585">
        <w:rPr>
          <w:rFonts w:asciiTheme="minorHAnsi" w:hAnsiTheme="minorHAnsi" w:hint="eastAsia"/>
          <w:szCs w:val="24"/>
          <w:lang w:eastAsia="zh-CN"/>
        </w:rPr>
        <w:t>的必要设施，但会议中心正在扩建，这将在会议室和</w:t>
      </w:r>
      <w:r w:rsidR="007B4585">
        <w:rPr>
          <w:rFonts w:asciiTheme="minorHAnsi" w:hAnsiTheme="minorHAnsi" w:hint="eastAsia"/>
          <w:szCs w:val="24"/>
          <w:lang w:eastAsia="zh-CN"/>
        </w:rPr>
        <w:t>ICT</w:t>
      </w:r>
      <w:r w:rsidR="007B4585">
        <w:rPr>
          <w:rFonts w:asciiTheme="minorHAnsi" w:hAnsiTheme="minorHAnsi" w:hint="eastAsia"/>
          <w:szCs w:val="24"/>
          <w:lang w:eastAsia="zh-CN"/>
        </w:rPr>
        <w:t>及音视频设施方面大幅增加现有场所的容量和设施。</w:t>
      </w:r>
      <w:bookmarkStart w:id="16" w:name="lt_pId042"/>
      <w:bookmarkEnd w:id="15"/>
      <w:r w:rsidR="007B4585">
        <w:rPr>
          <w:rFonts w:asciiTheme="minorHAnsi" w:hAnsiTheme="minorHAnsi" w:hint="eastAsia"/>
          <w:szCs w:val="24"/>
          <w:lang w:eastAsia="zh-CN"/>
        </w:rPr>
        <w:t>扩建定于</w:t>
      </w:r>
      <w:r w:rsidR="007B4585">
        <w:rPr>
          <w:rFonts w:asciiTheme="minorHAnsi" w:hAnsiTheme="minorHAnsi" w:hint="eastAsia"/>
          <w:szCs w:val="24"/>
          <w:lang w:eastAsia="zh-CN"/>
        </w:rPr>
        <w:t>2018</w:t>
      </w:r>
      <w:r w:rsidR="007B4585">
        <w:rPr>
          <w:rFonts w:asciiTheme="minorHAnsi" w:hAnsiTheme="minorHAnsi" w:hint="eastAsia"/>
          <w:szCs w:val="24"/>
          <w:lang w:eastAsia="zh-CN"/>
        </w:rPr>
        <w:t>年</w:t>
      </w:r>
      <w:r w:rsidR="007B4585">
        <w:rPr>
          <w:rFonts w:asciiTheme="minorHAnsi" w:hAnsiTheme="minorHAnsi" w:hint="eastAsia"/>
          <w:szCs w:val="24"/>
          <w:lang w:eastAsia="zh-CN"/>
        </w:rPr>
        <w:t>8</w:t>
      </w:r>
      <w:r w:rsidR="007B4585">
        <w:rPr>
          <w:rFonts w:asciiTheme="minorHAnsi" w:hAnsiTheme="minorHAnsi" w:hint="eastAsia"/>
          <w:szCs w:val="24"/>
          <w:lang w:eastAsia="zh-CN"/>
        </w:rPr>
        <w:t>月完工，距离</w:t>
      </w:r>
      <w:r w:rsidR="007B4585">
        <w:rPr>
          <w:rFonts w:asciiTheme="minorHAnsi" w:hAnsiTheme="minorHAnsi"/>
          <w:szCs w:val="24"/>
          <w:lang w:eastAsia="zh-CN"/>
        </w:rPr>
        <w:t>RA/WRC-19</w:t>
      </w:r>
      <w:r w:rsidR="007B4585">
        <w:rPr>
          <w:rFonts w:asciiTheme="minorHAnsi" w:hAnsiTheme="minorHAnsi" w:hint="eastAsia"/>
          <w:szCs w:val="24"/>
          <w:lang w:eastAsia="zh-CN"/>
        </w:rPr>
        <w:t>召开还有一年多。此外，东道国已重申，承诺提供顺利举办大会所需的设施。</w:t>
      </w:r>
      <w:bookmarkEnd w:id="16"/>
    </w:p>
    <w:p w:rsidR="00D931E1" w:rsidRDefault="00786874" w:rsidP="00D931E1">
      <w:pPr>
        <w:tabs>
          <w:tab w:val="left" w:pos="720"/>
        </w:tabs>
        <w:snapToGrid w:val="0"/>
        <w:spacing w:after="120"/>
        <w:jc w:val="both"/>
        <w:rPr>
          <w:rFonts w:asciiTheme="minorHAnsi" w:hAnsiTheme="minorHAnsi"/>
          <w:szCs w:val="24"/>
          <w:lang w:eastAsia="zh-CN"/>
        </w:rPr>
      </w:pPr>
      <w:r>
        <w:rPr>
          <w:rFonts w:asciiTheme="minorHAnsi" w:hAnsiTheme="minorHAnsi"/>
          <w:szCs w:val="24"/>
          <w:lang w:eastAsia="zh-CN"/>
        </w:rPr>
        <w:t>2.3</w:t>
      </w:r>
      <w:r>
        <w:rPr>
          <w:rFonts w:asciiTheme="minorHAnsi" w:hAnsiTheme="minorHAnsi"/>
          <w:szCs w:val="24"/>
          <w:lang w:eastAsia="zh-CN"/>
        </w:rPr>
        <w:tab/>
      </w:r>
      <w:bookmarkStart w:id="17" w:name="lt_pId045"/>
      <w:r w:rsidR="007B4585">
        <w:rPr>
          <w:rFonts w:asciiTheme="minorHAnsi" w:hAnsiTheme="minorHAnsi" w:hint="eastAsia"/>
          <w:szCs w:val="24"/>
          <w:lang w:eastAsia="zh-CN"/>
        </w:rPr>
        <w:t>关于</w:t>
      </w:r>
      <w:r>
        <w:rPr>
          <w:rFonts w:asciiTheme="minorHAnsi" w:hAnsiTheme="minorHAnsi"/>
          <w:szCs w:val="24"/>
          <w:lang w:eastAsia="zh-CN"/>
        </w:rPr>
        <w:t>WRC-19</w:t>
      </w:r>
      <w:r w:rsidR="007B4585">
        <w:rPr>
          <w:rFonts w:asciiTheme="minorHAnsi" w:hAnsiTheme="minorHAnsi" w:hint="eastAsia"/>
          <w:szCs w:val="24"/>
          <w:lang w:eastAsia="zh-CN"/>
        </w:rPr>
        <w:t>大会自身的筹备问题，考虑到第</w:t>
      </w:r>
      <w:r w:rsidR="007B4585">
        <w:rPr>
          <w:rFonts w:asciiTheme="minorHAnsi" w:hAnsiTheme="minorHAnsi" w:hint="eastAsia"/>
          <w:szCs w:val="24"/>
          <w:lang w:eastAsia="zh-CN"/>
        </w:rPr>
        <w:t>80</w:t>
      </w:r>
      <w:r w:rsidR="007B4585">
        <w:rPr>
          <w:rFonts w:asciiTheme="minorHAnsi" w:hAnsiTheme="minorHAnsi" w:hint="eastAsia"/>
          <w:szCs w:val="24"/>
          <w:lang w:eastAsia="zh-CN"/>
        </w:rPr>
        <w:t>号决议（</w:t>
      </w:r>
      <w:r w:rsidR="007B4585">
        <w:rPr>
          <w:rFonts w:asciiTheme="minorHAnsi" w:hAnsiTheme="minorHAnsi" w:hint="eastAsia"/>
          <w:szCs w:val="24"/>
          <w:lang w:eastAsia="zh-CN"/>
        </w:rPr>
        <w:t>2002</w:t>
      </w:r>
      <w:r w:rsidR="007B4585">
        <w:rPr>
          <w:rFonts w:asciiTheme="minorHAnsi" w:hAnsiTheme="minorHAnsi" w:hint="eastAsia"/>
          <w:szCs w:val="24"/>
          <w:lang w:eastAsia="zh-CN"/>
        </w:rPr>
        <w:t>年，马拉喀什，修订版），无线电通信局（</w:t>
      </w:r>
      <w:r w:rsidR="007B4585">
        <w:rPr>
          <w:rFonts w:asciiTheme="minorHAnsi" w:hAnsiTheme="minorHAnsi" w:hint="eastAsia"/>
          <w:szCs w:val="24"/>
          <w:lang w:eastAsia="zh-CN"/>
        </w:rPr>
        <w:t>BR</w:t>
      </w:r>
      <w:r w:rsidR="007B4585">
        <w:rPr>
          <w:rFonts w:asciiTheme="minorHAnsi" w:hAnsiTheme="minorHAnsi" w:hint="eastAsia"/>
          <w:szCs w:val="24"/>
          <w:lang w:eastAsia="zh-CN"/>
        </w:rPr>
        <w:t>）已尽可能积极参与</w:t>
      </w:r>
      <w:r w:rsidR="007B4585">
        <w:rPr>
          <w:rFonts w:asciiTheme="minorHAnsi" w:hAnsiTheme="minorHAnsi"/>
          <w:szCs w:val="24"/>
          <w:lang w:eastAsia="zh-CN"/>
        </w:rPr>
        <w:t>APT</w:t>
      </w:r>
      <w:r w:rsidR="007B4585">
        <w:rPr>
          <w:rFonts w:asciiTheme="minorHAnsi" w:hAnsiTheme="minorHAnsi" w:hint="eastAsia"/>
          <w:szCs w:val="24"/>
          <w:lang w:eastAsia="zh-CN"/>
        </w:rPr>
        <w:t>、</w:t>
      </w:r>
      <w:r w:rsidR="007B4585">
        <w:rPr>
          <w:rFonts w:asciiTheme="minorHAnsi" w:hAnsiTheme="minorHAnsi"/>
          <w:szCs w:val="24"/>
          <w:lang w:eastAsia="zh-CN"/>
        </w:rPr>
        <w:t>ASMG</w:t>
      </w:r>
      <w:r w:rsidR="007B4585">
        <w:rPr>
          <w:rFonts w:asciiTheme="minorHAnsi" w:hAnsiTheme="minorHAnsi" w:hint="eastAsia"/>
          <w:szCs w:val="24"/>
          <w:lang w:eastAsia="zh-CN"/>
        </w:rPr>
        <w:t>、</w:t>
      </w:r>
      <w:r w:rsidR="007B4585">
        <w:rPr>
          <w:rFonts w:asciiTheme="minorHAnsi" w:hAnsiTheme="minorHAnsi"/>
          <w:szCs w:val="24"/>
          <w:lang w:eastAsia="zh-CN"/>
        </w:rPr>
        <w:t>ATU</w:t>
      </w:r>
      <w:r w:rsidR="007B4585">
        <w:rPr>
          <w:rFonts w:asciiTheme="minorHAnsi" w:hAnsiTheme="minorHAnsi" w:hint="eastAsia"/>
          <w:szCs w:val="24"/>
          <w:lang w:eastAsia="zh-CN"/>
        </w:rPr>
        <w:t>、</w:t>
      </w:r>
      <w:r w:rsidR="007B4585">
        <w:rPr>
          <w:rFonts w:asciiTheme="minorHAnsi" w:hAnsiTheme="minorHAnsi"/>
          <w:szCs w:val="24"/>
          <w:lang w:eastAsia="zh-CN"/>
        </w:rPr>
        <w:t>CEPT</w:t>
      </w:r>
      <w:r w:rsidR="007B4585">
        <w:rPr>
          <w:rFonts w:asciiTheme="minorHAnsi" w:hAnsiTheme="minorHAnsi" w:hint="eastAsia"/>
          <w:szCs w:val="24"/>
          <w:lang w:eastAsia="zh-CN"/>
        </w:rPr>
        <w:t>、</w:t>
      </w:r>
      <w:r w:rsidR="007B4585">
        <w:rPr>
          <w:rFonts w:asciiTheme="minorHAnsi" w:hAnsiTheme="minorHAnsi"/>
          <w:szCs w:val="24"/>
          <w:lang w:eastAsia="zh-CN"/>
        </w:rPr>
        <w:t>CITEL</w:t>
      </w:r>
      <w:r w:rsidR="007B4585">
        <w:rPr>
          <w:rFonts w:asciiTheme="minorHAnsi" w:hAnsiTheme="minorHAnsi" w:hint="eastAsia"/>
          <w:szCs w:val="24"/>
          <w:lang w:eastAsia="zh-CN"/>
        </w:rPr>
        <w:t>和</w:t>
      </w:r>
      <w:r w:rsidR="007B4585">
        <w:rPr>
          <w:rFonts w:asciiTheme="minorHAnsi" w:hAnsiTheme="minorHAnsi"/>
          <w:szCs w:val="24"/>
          <w:lang w:eastAsia="zh-CN"/>
        </w:rPr>
        <w:t>RCC</w:t>
      </w:r>
      <w:r w:rsidR="007B4585">
        <w:rPr>
          <w:rFonts w:asciiTheme="minorHAnsi" w:hAnsiTheme="minorHAnsi" w:hint="eastAsia"/>
          <w:szCs w:val="24"/>
          <w:lang w:eastAsia="zh-CN"/>
        </w:rPr>
        <w:t>区域组织的筹备会议，给予协助并特别根据</w:t>
      </w:r>
      <w:r w:rsidR="007B4585" w:rsidRPr="007B4585">
        <w:rPr>
          <w:rFonts w:asciiTheme="minorHAnsi" w:hAnsiTheme="minorHAnsi" w:hint="eastAsia"/>
          <w:b/>
          <w:bCs/>
          <w:szCs w:val="24"/>
          <w:lang w:eastAsia="zh-CN"/>
        </w:rPr>
        <w:t>第</w:t>
      </w:r>
      <w:r w:rsidR="007B4585" w:rsidRPr="007B4585">
        <w:rPr>
          <w:rFonts w:asciiTheme="minorHAnsi" w:hAnsiTheme="minorHAnsi" w:hint="eastAsia"/>
          <w:b/>
          <w:bCs/>
          <w:szCs w:val="24"/>
          <w:lang w:eastAsia="zh-CN"/>
        </w:rPr>
        <w:t>72</w:t>
      </w:r>
      <w:r w:rsidR="007B4585" w:rsidRPr="007B4585">
        <w:rPr>
          <w:rFonts w:asciiTheme="minorHAnsi" w:hAnsiTheme="minorHAnsi" w:hint="eastAsia"/>
          <w:b/>
          <w:bCs/>
          <w:szCs w:val="24"/>
          <w:lang w:eastAsia="zh-CN"/>
        </w:rPr>
        <w:t>号决议（</w:t>
      </w:r>
      <w:r w:rsidR="007B4585" w:rsidRPr="007B4585">
        <w:rPr>
          <w:rFonts w:asciiTheme="minorHAnsi" w:hAnsiTheme="minorHAnsi"/>
          <w:b/>
          <w:bCs/>
          <w:szCs w:val="24"/>
          <w:lang w:eastAsia="zh-CN"/>
        </w:rPr>
        <w:t>WRC-07</w:t>
      </w:r>
      <w:r w:rsidR="007B4585" w:rsidRPr="007B4585">
        <w:rPr>
          <w:rFonts w:asciiTheme="minorHAnsi" w:hAnsiTheme="minorHAnsi" w:hint="eastAsia"/>
          <w:b/>
          <w:bCs/>
          <w:szCs w:val="24"/>
          <w:lang w:eastAsia="zh-CN"/>
        </w:rPr>
        <w:t>，修订版）</w:t>
      </w:r>
      <w:r w:rsidR="007B4585">
        <w:rPr>
          <w:rFonts w:asciiTheme="minorHAnsi" w:hAnsiTheme="minorHAnsi" w:hint="eastAsia"/>
          <w:szCs w:val="24"/>
          <w:lang w:eastAsia="zh-CN"/>
        </w:rPr>
        <w:t>提供相关信息。</w:t>
      </w:r>
      <w:bookmarkEnd w:id="17"/>
    </w:p>
    <w:p w:rsidR="004504EE" w:rsidRDefault="00786874" w:rsidP="00D931E1">
      <w:pPr>
        <w:tabs>
          <w:tab w:val="left" w:pos="720"/>
        </w:tabs>
        <w:snapToGrid w:val="0"/>
        <w:spacing w:after="120"/>
        <w:jc w:val="both"/>
        <w:rPr>
          <w:rFonts w:asciiTheme="minorHAnsi" w:hAnsiTheme="minorHAnsi"/>
          <w:szCs w:val="24"/>
          <w:lang w:eastAsia="zh-CN"/>
        </w:rPr>
      </w:pPr>
      <w:r>
        <w:rPr>
          <w:rFonts w:asciiTheme="minorHAnsi" w:hAnsiTheme="minorHAnsi"/>
          <w:szCs w:val="24"/>
          <w:lang w:eastAsia="zh-CN"/>
        </w:rPr>
        <w:t>2.4</w:t>
      </w:r>
      <w:r>
        <w:rPr>
          <w:rFonts w:asciiTheme="minorHAnsi" w:hAnsiTheme="minorHAnsi"/>
          <w:szCs w:val="24"/>
          <w:lang w:eastAsia="zh-CN"/>
        </w:rPr>
        <w:tab/>
      </w:r>
      <w:bookmarkStart w:id="18" w:name="lt_pId047"/>
      <w:r w:rsidR="007B4585">
        <w:rPr>
          <w:rFonts w:asciiTheme="minorHAnsi" w:hAnsiTheme="minorHAnsi" w:hint="eastAsia"/>
          <w:szCs w:val="24"/>
          <w:lang w:eastAsia="zh-CN"/>
        </w:rPr>
        <w:t>此外，无线电通信局已于</w:t>
      </w:r>
      <w:r w:rsidR="007B4585">
        <w:rPr>
          <w:rFonts w:asciiTheme="minorHAnsi" w:hAnsiTheme="minorHAnsi" w:hint="eastAsia"/>
          <w:szCs w:val="24"/>
          <w:lang w:eastAsia="zh-CN"/>
        </w:rPr>
        <w:t>2017</w:t>
      </w:r>
      <w:r w:rsidR="007B4585">
        <w:rPr>
          <w:rFonts w:asciiTheme="minorHAnsi" w:hAnsiTheme="minorHAnsi" w:hint="eastAsia"/>
          <w:szCs w:val="24"/>
          <w:lang w:eastAsia="zh-CN"/>
        </w:rPr>
        <w:t>年</w:t>
      </w:r>
      <w:r w:rsidR="007B4585">
        <w:rPr>
          <w:rFonts w:asciiTheme="minorHAnsi" w:hAnsiTheme="minorHAnsi" w:hint="eastAsia"/>
          <w:szCs w:val="24"/>
          <w:lang w:eastAsia="zh-CN"/>
        </w:rPr>
        <w:t>11</w:t>
      </w:r>
      <w:r w:rsidR="007B4585">
        <w:rPr>
          <w:rFonts w:asciiTheme="minorHAnsi" w:hAnsiTheme="minorHAnsi" w:hint="eastAsia"/>
          <w:szCs w:val="24"/>
          <w:lang w:eastAsia="zh-CN"/>
        </w:rPr>
        <w:t>月</w:t>
      </w:r>
      <w:r w:rsidR="007B4585">
        <w:rPr>
          <w:rFonts w:asciiTheme="minorHAnsi" w:hAnsiTheme="minorHAnsi" w:hint="eastAsia"/>
          <w:szCs w:val="24"/>
          <w:lang w:eastAsia="zh-CN"/>
        </w:rPr>
        <w:t>21-22</w:t>
      </w:r>
      <w:r w:rsidR="007B4585">
        <w:rPr>
          <w:rFonts w:asciiTheme="minorHAnsi" w:hAnsiTheme="minorHAnsi" w:hint="eastAsia"/>
          <w:szCs w:val="24"/>
          <w:lang w:eastAsia="zh-CN"/>
        </w:rPr>
        <w:t>日在日内瓦组织了首次</w:t>
      </w:r>
      <w:r w:rsidR="00D931E1">
        <w:rPr>
          <w:rFonts w:asciiTheme="minorHAnsi" w:hAnsiTheme="minorHAnsi" w:hint="eastAsia"/>
          <w:szCs w:val="24"/>
          <w:lang w:eastAsia="zh-CN"/>
        </w:rPr>
        <w:t>国际电联区域间</w:t>
      </w:r>
      <w:r w:rsidR="007B4585">
        <w:rPr>
          <w:rFonts w:asciiTheme="minorHAnsi" w:hAnsiTheme="minorHAnsi" w:hint="eastAsia"/>
          <w:szCs w:val="24"/>
          <w:lang w:eastAsia="zh-CN"/>
        </w:rPr>
        <w:t>WRC-19</w:t>
      </w:r>
      <w:r w:rsidR="007B4585">
        <w:rPr>
          <w:rFonts w:asciiTheme="minorHAnsi" w:hAnsiTheme="minorHAnsi" w:hint="eastAsia"/>
          <w:szCs w:val="24"/>
          <w:lang w:eastAsia="zh-CN"/>
        </w:rPr>
        <w:t>筹备</w:t>
      </w:r>
      <w:r w:rsidR="00D931E1">
        <w:rPr>
          <w:rFonts w:asciiTheme="minorHAnsi" w:hAnsiTheme="minorHAnsi" w:hint="eastAsia"/>
          <w:szCs w:val="24"/>
          <w:lang w:eastAsia="zh-CN"/>
        </w:rPr>
        <w:t>讲习班，以审查通过</w:t>
      </w:r>
      <w:r w:rsidR="00D931E1">
        <w:rPr>
          <w:rFonts w:asciiTheme="minorHAnsi" w:hAnsiTheme="minorHAnsi" w:hint="eastAsia"/>
          <w:szCs w:val="24"/>
          <w:lang w:eastAsia="zh-CN"/>
        </w:rPr>
        <w:t>ITU-R</w:t>
      </w:r>
      <w:r w:rsidR="00D931E1">
        <w:rPr>
          <w:rFonts w:asciiTheme="minorHAnsi" w:hAnsiTheme="minorHAnsi" w:hint="eastAsia"/>
          <w:szCs w:val="24"/>
          <w:lang w:eastAsia="zh-CN"/>
        </w:rPr>
        <w:t>的</w:t>
      </w:r>
      <w:r w:rsidR="00D931E1">
        <w:rPr>
          <w:rFonts w:asciiTheme="minorHAnsi" w:hAnsiTheme="minorHAnsi" w:hint="eastAsia"/>
          <w:szCs w:val="24"/>
          <w:lang w:eastAsia="zh-CN"/>
        </w:rPr>
        <w:t>WRC-19</w:t>
      </w:r>
      <w:r w:rsidR="00D931E1">
        <w:rPr>
          <w:rFonts w:asciiTheme="minorHAnsi" w:hAnsiTheme="minorHAnsi" w:hint="eastAsia"/>
          <w:szCs w:val="24"/>
          <w:lang w:eastAsia="zh-CN"/>
        </w:rPr>
        <w:t>筹备研究取得的中期进展情况。</w:t>
      </w:r>
      <w:bookmarkStart w:id="19" w:name="lt_pId048"/>
      <w:bookmarkEnd w:id="18"/>
      <w:r w:rsidR="00D931E1">
        <w:rPr>
          <w:rFonts w:asciiTheme="minorHAnsi" w:hAnsiTheme="minorHAnsi" w:hint="eastAsia"/>
          <w:szCs w:val="24"/>
          <w:lang w:eastAsia="zh-CN"/>
        </w:rPr>
        <w:t>该讲习班也为交流信息，加深对共同提案初稿、立场和</w:t>
      </w:r>
      <w:r w:rsidR="00D931E1">
        <w:rPr>
          <w:rFonts w:asciiTheme="minorHAnsi" w:hAnsiTheme="minorHAnsi" w:hint="eastAsia"/>
          <w:szCs w:val="24"/>
          <w:lang w:eastAsia="zh-CN"/>
        </w:rPr>
        <w:t>/</w:t>
      </w:r>
      <w:r w:rsidR="00D931E1">
        <w:rPr>
          <w:rFonts w:asciiTheme="minorHAnsi" w:hAnsiTheme="minorHAnsi" w:hint="eastAsia"/>
          <w:szCs w:val="24"/>
          <w:lang w:eastAsia="zh-CN"/>
        </w:rPr>
        <w:t>或区域组织、国际组织和其他利益攸关方等相关实体对</w:t>
      </w:r>
      <w:r w:rsidR="00D931E1">
        <w:rPr>
          <w:rFonts w:asciiTheme="minorHAnsi" w:hAnsiTheme="minorHAnsi" w:hint="eastAsia"/>
          <w:szCs w:val="24"/>
          <w:lang w:eastAsia="zh-CN"/>
        </w:rPr>
        <w:t>WRC-19</w:t>
      </w:r>
      <w:r w:rsidR="00D931E1">
        <w:rPr>
          <w:rFonts w:asciiTheme="minorHAnsi" w:hAnsiTheme="minorHAnsi" w:hint="eastAsia"/>
          <w:szCs w:val="24"/>
          <w:lang w:eastAsia="zh-CN"/>
        </w:rPr>
        <w:t>主要问题的观点的理解提供了机遇。</w:t>
      </w:r>
      <w:bookmarkStart w:id="20" w:name="lt_pId049"/>
      <w:bookmarkEnd w:id="19"/>
      <w:r w:rsidR="00D931E1">
        <w:rPr>
          <w:rFonts w:asciiTheme="minorHAnsi" w:hAnsiTheme="minorHAnsi" w:hint="eastAsia"/>
          <w:szCs w:val="24"/>
          <w:lang w:eastAsia="zh-CN"/>
        </w:rPr>
        <w:t>无线电通信局正计划另外组织两场区域间</w:t>
      </w:r>
      <w:r w:rsidR="00D931E1">
        <w:rPr>
          <w:rFonts w:asciiTheme="minorHAnsi" w:hAnsiTheme="minorHAnsi" w:hint="eastAsia"/>
          <w:szCs w:val="24"/>
          <w:lang w:eastAsia="zh-CN"/>
        </w:rPr>
        <w:t>WRC-19</w:t>
      </w:r>
      <w:r w:rsidR="00D931E1">
        <w:rPr>
          <w:rFonts w:asciiTheme="minorHAnsi" w:hAnsiTheme="minorHAnsi" w:hint="eastAsia"/>
          <w:szCs w:val="24"/>
          <w:lang w:eastAsia="zh-CN"/>
        </w:rPr>
        <w:t>筹备讲习班：</w:t>
      </w:r>
      <w:r w:rsidR="00D931E1">
        <w:rPr>
          <w:rFonts w:asciiTheme="minorHAnsi" w:hAnsiTheme="minorHAnsi" w:hint="eastAsia"/>
          <w:szCs w:val="24"/>
          <w:lang w:eastAsia="zh-CN"/>
        </w:rPr>
        <w:t>2018</w:t>
      </w:r>
      <w:r w:rsidR="00D931E1">
        <w:rPr>
          <w:rFonts w:asciiTheme="minorHAnsi" w:hAnsiTheme="minorHAnsi" w:hint="eastAsia"/>
          <w:szCs w:val="24"/>
          <w:lang w:eastAsia="zh-CN"/>
        </w:rPr>
        <w:t>年第四季度举行第二场，侧重于</w:t>
      </w:r>
      <w:r w:rsidR="00D931E1">
        <w:rPr>
          <w:rFonts w:asciiTheme="minorHAnsi" w:hAnsiTheme="minorHAnsi" w:hint="eastAsia"/>
          <w:szCs w:val="24"/>
          <w:lang w:eastAsia="zh-CN"/>
        </w:rPr>
        <w:t>2019</w:t>
      </w:r>
      <w:r w:rsidR="00D931E1">
        <w:rPr>
          <w:rFonts w:asciiTheme="minorHAnsi" w:hAnsiTheme="minorHAnsi" w:hint="eastAsia"/>
          <w:szCs w:val="24"/>
          <w:lang w:eastAsia="zh-CN"/>
        </w:rPr>
        <w:t>年大会筹备会议第二次会议（</w:t>
      </w:r>
      <w:r w:rsidR="00D931E1">
        <w:rPr>
          <w:rFonts w:asciiTheme="minorHAnsi" w:hAnsiTheme="minorHAnsi"/>
          <w:szCs w:val="24"/>
          <w:lang w:eastAsia="zh-CN"/>
        </w:rPr>
        <w:t>CPM19-2</w:t>
      </w:r>
      <w:r w:rsidR="00D931E1">
        <w:rPr>
          <w:rFonts w:asciiTheme="minorHAnsi" w:hAnsiTheme="minorHAnsi" w:hint="eastAsia"/>
          <w:szCs w:val="24"/>
          <w:lang w:eastAsia="zh-CN"/>
        </w:rPr>
        <w:t>）的筹备工作；</w:t>
      </w:r>
      <w:r w:rsidR="00D931E1">
        <w:rPr>
          <w:rFonts w:asciiTheme="minorHAnsi" w:hAnsiTheme="minorHAnsi" w:hint="eastAsia"/>
          <w:szCs w:val="24"/>
          <w:lang w:eastAsia="zh-CN"/>
        </w:rPr>
        <w:t>2019</w:t>
      </w:r>
      <w:r w:rsidR="00D931E1">
        <w:rPr>
          <w:rFonts w:asciiTheme="minorHAnsi" w:hAnsiTheme="minorHAnsi" w:hint="eastAsia"/>
          <w:szCs w:val="24"/>
          <w:lang w:eastAsia="zh-CN"/>
        </w:rPr>
        <w:t>年第三季度举行第三场，侧重于</w:t>
      </w:r>
      <w:r w:rsidR="00D931E1">
        <w:rPr>
          <w:rFonts w:asciiTheme="minorHAnsi" w:hAnsiTheme="minorHAnsi" w:hint="eastAsia"/>
          <w:szCs w:val="24"/>
          <w:lang w:eastAsia="zh-CN"/>
        </w:rPr>
        <w:t>RA-19</w:t>
      </w:r>
      <w:r w:rsidR="00D931E1">
        <w:rPr>
          <w:rFonts w:asciiTheme="minorHAnsi" w:hAnsiTheme="minorHAnsi" w:hint="eastAsia"/>
          <w:szCs w:val="24"/>
          <w:lang w:eastAsia="zh-CN"/>
        </w:rPr>
        <w:t>和</w:t>
      </w:r>
      <w:r w:rsidR="00D931E1">
        <w:rPr>
          <w:rFonts w:asciiTheme="minorHAnsi" w:hAnsiTheme="minorHAnsi" w:hint="eastAsia"/>
          <w:szCs w:val="24"/>
          <w:lang w:eastAsia="zh-CN"/>
        </w:rPr>
        <w:t>WRC-19</w:t>
      </w:r>
      <w:r w:rsidR="00D931E1">
        <w:rPr>
          <w:rFonts w:asciiTheme="minorHAnsi" w:hAnsiTheme="minorHAnsi" w:hint="eastAsia"/>
          <w:szCs w:val="24"/>
          <w:lang w:eastAsia="zh-CN"/>
        </w:rPr>
        <w:t>的最后筹备工作。</w:t>
      </w:r>
      <w:bookmarkEnd w:id="20"/>
      <w:bookmarkEnd w:id="11"/>
    </w:p>
    <w:p w:rsidR="003F3DB7" w:rsidRDefault="003F3DB7" w:rsidP="00D931E1">
      <w:pPr>
        <w:tabs>
          <w:tab w:val="left" w:pos="720"/>
        </w:tabs>
        <w:snapToGrid w:val="0"/>
        <w:spacing w:after="120"/>
        <w:jc w:val="both"/>
        <w:rPr>
          <w:rFonts w:asciiTheme="minorHAnsi" w:hAnsiTheme="minorHAnsi"/>
          <w:szCs w:val="24"/>
          <w:lang w:eastAsia="zh-CN"/>
        </w:rPr>
      </w:pPr>
    </w:p>
    <w:p w:rsidR="003F3DB7" w:rsidRPr="006B331B" w:rsidRDefault="003F3DB7" w:rsidP="00D931E1">
      <w:pPr>
        <w:tabs>
          <w:tab w:val="left" w:pos="720"/>
        </w:tabs>
        <w:snapToGrid w:val="0"/>
        <w:spacing w:after="120"/>
        <w:jc w:val="both"/>
        <w:rPr>
          <w:rFonts w:asciiTheme="minorHAnsi" w:hAnsiTheme="minorHAnsi" w:hint="eastAsia"/>
          <w:szCs w:val="24"/>
          <w:lang w:eastAsia="zh-CN"/>
        </w:rPr>
      </w:pPr>
    </w:p>
    <w:p w:rsidR="004504EE" w:rsidRDefault="004504EE">
      <w:pPr>
        <w:jc w:val="center"/>
      </w:pPr>
      <w:r>
        <w:t>______________</w:t>
      </w:r>
    </w:p>
    <w:sectPr w:rsidR="004504EE"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85" w:rsidRDefault="007B4585">
      <w:r>
        <w:separator/>
      </w:r>
    </w:p>
  </w:endnote>
  <w:endnote w:type="continuationSeparator" w:id="0">
    <w:p w:rsidR="007B4585" w:rsidRDefault="007B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85" w:rsidRPr="004E4BFF" w:rsidRDefault="00850472" w:rsidP="001E2A17">
    <w:pPr>
      <w:pStyle w:val="Footer"/>
    </w:pPr>
    <w:r>
      <w:fldChar w:fldCharType="begin"/>
    </w:r>
    <w:r>
      <w:instrText xml:space="preserve"> FILENAME \p  \* MERGEFORMAT </w:instrText>
    </w:r>
    <w:r>
      <w:fldChar w:fldCharType="separate"/>
    </w:r>
    <w:r w:rsidR="001E2A17">
      <w:t>P:\CHI\SG\CONSEIL\C18\000\027C.docx</w:t>
    </w:r>
    <w:r>
      <w:fldChar w:fldCharType="end"/>
    </w:r>
    <w:r w:rsidR="007B4585">
      <w:t xml:space="preserve"> (4</w:t>
    </w:r>
    <w:r w:rsidR="001E2A17">
      <w:t>25100</w:t>
    </w:r>
    <w:r w:rsidR="007B4585">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85" w:rsidRDefault="007B4585"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7B4585" w:rsidRDefault="00850472" w:rsidP="001E2A17">
    <w:pPr>
      <w:pStyle w:val="Footer"/>
    </w:pPr>
    <w:r>
      <w:fldChar w:fldCharType="begin"/>
    </w:r>
    <w:r>
      <w:instrText xml:space="preserve"> FILENAME \p  \* MERGEFORMAT </w:instrText>
    </w:r>
    <w:r>
      <w:fldChar w:fldCharType="separate"/>
    </w:r>
    <w:r w:rsidR="001E2A17">
      <w:t>P:\CHI\SG\CONSEIL\C18\000\027C.docx</w:t>
    </w:r>
    <w:r>
      <w:fldChar w:fldCharType="end"/>
    </w:r>
    <w:r w:rsidR="007B4585">
      <w:t xml:space="preserve"> (4</w:t>
    </w:r>
    <w:r w:rsidR="001E2A17">
      <w:t>25100</w:t>
    </w:r>
    <w:r w:rsidR="007B4585">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85" w:rsidRDefault="007B4585">
      <w:r>
        <w:t>____________________</w:t>
      </w:r>
    </w:p>
  </w:footnote>
  <w:footnote w:type="continuationSeparator" w:id="0">
    <w:p w:rsidR="007B4585" w:rsidRDefault="007B4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85" w:rsidRDefault="007B4585" w:rsidP="00CE6F22">
    <w:pPr>
      <w:pStyle w:val="Header"/>
    </w:pPr>
    <w:r>
      <w:fldChar w:fldCharType="begin"/>
    </w:r>
    <w:r>
      <w:instrText>PAGE</w:instrText>
    </w:r>
    <w:r>
      <w:fldChar w:fldCharType="separate"/>
    </w:r>
    <w:r w:rsidR="00850472">
      <w:rPr>
        <w:noProof/>
      </w:rPr>
      <w:t>2</w:t>
    </w:r>
    <w:r>
      <w:rPr>
        <w:noProof/>
      </w:rPr>
      <w:fldChar w:fldCharType="end"/>
    </w:r>
  </w:p>
  <w:p w:rsidR="007B4585" w:rsidRDefault="007B4585" w:rsidP="004504EE">
    <w:pPr>
      <w:pStyle w:val="Header"/>
      <w:rPr>
        <w:lang w:eastAsia="zh-CN"/>
      </w:rPr>
    </w:pPr>
    <w:r>
      <w:t>C1</w:t>
    </w:r>
    <w:r>
      <w:rPr>
        <w:lang w:eastAsia="zh-CN"/>
      </w:rPr>
      <w:t>7</w:t>
    </w:r>
    <w:r>
      <w:t>/</w:t>
    </w:r>
    <w:r>
      <w:rPr>
        <w:lang w:eastAsia="zh-CN"/>
      </w:rPr>
      <w:t>27</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5AD6E0B"/>
    <w:multiLevelType w:val="hybridMultilevel"/>
    <w:tmpl w:val="EAF8AA3E"/>
    <w:lvl w:ilvl="0" w:tplc="921CCEBE">
      <w:start w:val="1"/>
      <w:numFmt w:val="decimal"/>
      <w:lvlText w:val="%1."/>
      <w:lvlJc w:val="left"/>
      <w:pPr>
        <w:ind w:left="720" w:hanging="360"/>
      </w:pPr>
    </w:lvl>
    <w:lvl w:ilvl="1" w:tplc="E21020AC" w:tentative="1">
      <w:start w:val="1"/>
      <w:numFmt w:val="lowerLetter"/>
      <w:lvlText w:val="%2."/>
      <w:lvlJc w:val="left"/>
      <w:pPr>
        <w:ind w:left="1440" w:hanging="360"/>
      </w:pPr>
    </w:lvl>
    <w:lvl w:ilvl="2" w:tplc="A7C830DA" w:tentative="1">
      <w:start w:val="1"/>
      <w:numFmt w:val="lowerRoman"/>
      <w:lvlText w:val="%3."/>
      <w:lvlJc w:val="right"/>
      <w:pPr>
        <w:ind w:left="2160" w:hanging="180"/>
      </w:pPr>
    </w:lvl>
    <w:lvl w:ilvl="3" w:tplc="687CF870" w:tentative="1">
      <w:start w:val="1"/>
      <w:numFmt w:val="decimal"/>
      <w:lvlText w:val="%4."/>
      <w:lvlJc w:val="left"/>
      <w:pPr>
        <w:ind w:left="2880" w:hanging="360"/>
      </w:pPr>
    </w:lvl>
    <w:lvl w:ilvl="4" w:tplc="7CD46058" w:tentative="1">
      <w:start w:val="1"/>
      <w:numFmt w:val="lowerLetter"/>
      <w:lvlText w:val="%5."/>
      <w:lvlJc w:val="left"/>
      <w:pPr>
        <w:ind w:left="3600" w:hanging="360"/>
      </w:pPr>
    </w:lvl>
    <w:lvl w:ilvl="5" w:tplc="89A89B32" w:tentative="1">
      <w:start w:val="1"/>
      <w:numFmt w:val="lowerRoman"/>
      <w:lvlText w:val="%6."/>
      <w:lvlJc w:val="right"/>
      <w:pPr>
        <w:ind w:left="4320" w:hanging="180"/>
      </w:pPr>
    </w:lvl>
    <w:lvl w:ilvl="6" w:tplc="54E2EA1C" w:tentative="1">
      <w:start w:val="1"/>
      <w:numFmt w:val="decimal"/>
      <w:lvlText w:val="%7."/>
      <w:lvlJc w:val="left"/>
      <w:pPr>
        <w:ind w:left="5040" w:hanging="360"/>
      </w:pPr>
    </w:lvl>
    <w:lvl w:ilvl="7" w:tplc="EA8CC420" w:tentative="1">
      <w:start w:val="1"/>
      <w:numFmt w:val="lowerLetter"/>
      <w:lvlText w:val="%8."/>
      <w:lvlJc w:val="left"/>
      <w:pPr>
        <w:ind w:left="5760" w:hanging="360"/>
      </w:pPr>
    </w:lvl>
    <w:lvl w:ilvl="8" w:tplc="9DBA95EE" w:tentative="1">
      <w:start w:val="1"/>
      <w:numFmt w:val="lowerRoman"/>
      <w:lvlText w:val="%9."/>
      <w:lvlJc w:val="right"/>
      <w:pPr>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1E"/>
    <w:rsid w:val="00001B77"/>
    <w:rsid w:val="0000517A"/>
    <w:rsid w:val="00031E72"/>
    <w:rsid w:val="000404D2"/>
    <w:rsid w:val="000851AE"/>
    <w:rsid w:val="000853C0"/>
    <w:rsid w:val="000A1C21"/>
    <w:rsid w:val="000B4362"/>
    <w:rsid w:val="000D15EA"/>
    <w:rsid w:val="00100D84"/>
    <w:rsid w:val="00112968"/>
    <w:rsid w:val="00124C9D"/>
    <w:rsid w:val="00155ED9"/>
    <w:rsid w:val="00157773"/>
    <w:rsid w:val="00160F45"/>
    <w:rsid w:val="0018251A"/>
    <w:rsid w:val="00190272"/>
    <w:rsid w:val="00193244"/>
    <w:rsid w:val="00195C6C"/>
    <w:rsid w:val="00195FED"/>
    <w:rsid w:val="001A4BD6"/>
    <w:rsid w:val="001D5A18"/>
    <w:rsid w:val="001E2A17"/>
    <w:rsid w:val="001E66B2"/>
    <w:rsid w:val="00272133"/>
    <w:rsid w:val="00280EB8"/>
    <w:rsid w:val="002A6670"/>
    <w:rsid w:val="002C6A14"/>
    <w:rsid w:val="002E0D99"/>
    <w:rsid w:val="00303502"/>
    <w:rsid w:val="00325C25"/>
    <w:rsid w:val="00342DE9"/>
    <w:rsid w:val="00356E62"/>
    <w:rsid w:val="00372C8F"/>
    <w:rsid w:val="00380ECE"/>
    <w:rsid w:val="00393DDF"/>
    <w:rsid w:val="003950A8"/>
    <w:rsid w:val="00397F55"/>
    <w:rsid w:val="003B4454"/>
    <w:rsid w:val="003C02F8"/>
    <w:rsid w:val="003C2E37"/>
    <w:rsid w:val="003F1415"/>
    <w:rsid w:val="003F3772"/>
    <w:rsid w:val="003F3DB7"/>
    <w:rsid w:val="0040144C"/>
    <w:rsid w:val="00403231"/>
    <w:rsid w:val="00403EB7"/>
    <w:rsid w:val="00430BF0"/>
    <w:rsid w:val="004504EE"/>
    <w:rsid w:val="0046089C"/>
    <w:rsid w:val="004672E6"/>
    <w:rsid w:val="00474ED1"/>
    <w:rsid w:val="00493085"/>
    <w:rsid w:val="00496258"/>
    <w:rsid w:val="004A36EC"/>
    <w:rsid w:val="004D163F"/>
    <w:rsid w:val="004E4BFF"/>
    <w:rsid w:val="004F2598"/>
    <w:rsid w:val="005403F7"/>
    <w:rsid w:val="00540632"/>
    <w:rsid w:val="00541CF4"/>
    <w:rsid w:val="005451E8"/>
    <w:rsid w:val="005507F2"/>
    <w:rsid w:val="005759CC"/>
    <w:rsid w:val="005A72E1"/>
    <w:rsid w:val="005C6632"/>
    <w:rsid w:val="005D1C9E"/>
    <w:rsid w:val="005D33F0"/>
    <w:rsid w:val="00654257"/>
    <w:rsid w:val="0065435A"/>
    <w:rsid w:val="006A2DD3"/>
    <w:rsid w:val="006A5AF8"/>
    <w:rsid w:val="006C36CD"/>
    <w:rsid w:val="006D2C2D"/>
    <w:rsid w:val="006E0C7B"/>
    <w:rsid w:val="00700D1F"/>
    <w:rsid w:val="007205CB"/>
    <w:rsid w:val="00726073"/>
    <w:rsid w:val="00734FE8"/>
    <w:rsid w:val="007360CE"/>
    <w:rsid w:val="00747B53"/>
    <w:rsid w:val="00762A3F"/>
    <w:rsid w:val="00772315"/>
    <w:rsid w:val="00775157"/>
    <w:rsid w:val="007813AE"/>
    <w:rsid w:val="00786874"/>
    <w:rsid w:val="00786DAF"/>
    <w:rsid w:val="007A37DB"/>
    <w:rsid w:val="007B4585"/>
    <w:rsid w:val="007D0656"/>
    <w:rsid w:val="007E189D"/>
    <w:rsid w:val="00811259"/>
    <w:rsid w:val="0081311E"/>
    <w:rsid w:val="00813AA2"/>
    <w:rsid w:val="008173A3"/>
    <w:rsid w:val="00820AF2"/>
    <w:rsid w:val="00850472"/>
    <w:rsid w:val="0086059C"/>
    <w:rsid w:val="00864589"/>
    <w:rsid w:val="00890AFB"/>
    <w:rsid w:val="00890FC4"/>
    <w:rsid w:val="00895905"/>
    <w:rsid w:val="008A6714"/>
    <w:rsid w:val="009164A9"/>
    <w:rsid w:val="009258CB"/>
    <w:rsid w:val="0093362E"/>
    <w:rsid w:val="00944563"/>
    <w:rsid w:val="00953160"/>
    <w:rsid w:val="009625D8"/>
    <w:rsid w:val="009638A3"/>
    <w:rsid w:val="00976698"/>
    <w:rsid w:val="0098459B"/>
    <w:rsid w:val="00997185"/>
    <w:rsid w:val="009B4B23"/>
    <w:rsid w:val="009C2458"/>
    <w:rsid w:val="009C4A7B"/>
    <w:rsid w:val="009C6123"/>
    <w:rsid w:val="009D3BE4"/>
    <w:rsid w:val="009E5FAC"/>
    <w:rsid w:val="009E73FA"/>
    <w:rsid w:val="009F1E3E"/>
    <w:rsid w:val="00A00FE0"/>
    <w:rsid w:val="00A10E29"/>
    <w:rsid w:val="00A1213C"/>
    <w:rsid w:val="00A272FF"/>
    <w:rsid w:val="00A42C17"/>
    <w:rsid w:val="00A5354B"/>
    <w:rsid w:val="00A57123"/>
    <w:rsid w:val="00AB42C1"/>
    <w:rsid w:val="00AC516F"/>
    <w:rsid w:val="00AD2E53"/>
    <w:rsid w:val="00AE2926"/>
    <w:rsid w:val="00AF540D"/>
    <w:rsid w:val="00B0184B"/>
    <w:rsid w:val="00B035CD"/>
    <w:rsid w:val="00B0769D"/>
    <w:rsid w:val="00B217F8"/>
    <w:rsid w:val="00B218F8"/>
    <w:rsid w:val="00B332EA"/>
    <w:rsid w:val="00B40A53"/>
    <w:rsid w:val="00B45365"/>
    <w:rsid w:val="00B46A65"/>
    <w:rsid w:val="00B60184"/>
    <w:rsid w:val="00B62D20"/>
    <w:rsid w:val="00B66FF9"/>
    <w:rsid w:val="00B7626F"/>
    <w:rsid w:val="00B81E75"/>
    <w:rsid w:val="00BD1A5A"/>
    <w:rsid w:val="00BD3D42"/>
    <w:rsid w:val="00BD7A9B"/>
    <w:rsid w:val="00BD7BE1"/>
    <w:rsid w:val="00BF416B"/>
    <w:rsid w:val="00C64E4E"/>
    <w:rsid w:val="00C66E64"/>
    <w:rsid w:val="00C761A0"/>
    <w:rsid w:val="00C85F7E"/>
    <w:rsid w:val="00CB0E15"/>
    <w:rsid w:val="00CD47F0"/>
    <w:rsid w:val="00CD5566"/>
    <w:rsid w:val="00CD64D7"/>
    <w:rsid w:val="00CE6F22"/>
    <w:rsid w:val="00CF41F6"/>
    <w:rsid w:val="00CF7D3E"/>
    <w:rsid w:val="00D02B4E"/>
    <w:rsid w:val="00D042B2"/>
    <w:rsid w:val="00D21D45"/>
    <w:rsid w:val="00D36817"/>
    <w:rsid w:val="00D5666C"/>
    <w:rsid w:val="00D666BC"/>
    <w:rsid w:val="00D83542"/>
    <w:rsid w:val="00D92F45"/>
    <w:rsid w:val="00D931E1"/>
    <w:rsid w:val="00D94637"/>
    <w:rsid w:val="00D9725C"/>
    <w:rsid w:val="00DA7006"/>
    <w:rsid w:val="00DB7231"/>
    <w:rsid w:val="00DC6427"/>
    <w:rsid w:val="00DD66A1"/>
    <w:rsid w:val="00DE196D"/>
    <w:rsid w:val="00DE34B7"/>
    <w:rsid w:val="00DF6B49"/>
    <w:rsid w:val="00E067C5"/>
    <w:rsid w:val="00E265BF"/>
    <w:rsid w:val="00E378D8"/>
    <w:rsid w:val="00E43A12"/>
    <w:rsid w:val="00E67C67"/>
    <w:rsid w:val="00E77476"/>
    <w:rsid w:val="00E8228B"/>
    <w:rsid w:val="00EE5706"/>
    <w:rsid w:val="00EF373D"/>
    <w:rsid w:val="00F11595"/>
    <w:rsid w:val="00F13BC9"/>
    <w:rsid w:val="00F33CF0"/>
    <w:rsid w:val="00F357B2"/>
    <w:rsid w:val="00F36556"/>
    <w:rsid w:val="00F678A0"/>
    <w:rsid w:val="00F67998"/>
    <w:rsid w:val="00F705DF"/>
    <w:rsid w:val="00F70622"/>
    <w:rsid w:val="00F85624"/>
    <w:rsid w:val="00F87C05"/>
    <w:rsid w:val="00F93191"/>
    <w:rsid w:val="00F93A17"/>
    <w:rsid w:val="00FA2AF6"/>
    <w:rsid w:val="00FB073D"/>
    <w:rsid w:val="00FB771F"/>
    <w:rsid w:val="00FC5386"/>
    <w:rsid w:val="00FD05AE"/>
    <w:rsid w:val="00FF0E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5537C90-4EEE-4A9F-8D05-83529413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72604793">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SG-CIR-0034/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SG-CIR-0052/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SG-CIR-0039/en" TargetMode="External"/><Relationship Id="rId5" Type="http://schemas.openxmlformats.org/officeDocument/2006/relationships/webSettings" Target="webSettings.xml"/><Relationship Id="rId15" Type="http://schemas.openxmlformats.org/officeDocument/2006/relationships/hyperlink" Target="https://www.itu.int/md/S17-SG-CIR-0052/en" TargetMode="External"/><Relationship Id="rId10" Type="http://schemas.openxmlformats.org/officeDocument/2006/relationships/hyperlink" Target="https://www.itu.int/md/S17-SG-CIR-003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6-CL-C-0130/en" TargetMode="External"/><Relationship Id="rId14" Type="http://schemas.openxmlformats.org/officeDocument/2006/relationships/hyperlink" Target="https://www.itu.int/md/S17-SG-CIR-003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E180-C815-4675-8DEA-7D6FAA8E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Wang, Yujia</dc:creator>
  <cp:lastModifiedBy>Yuan, Tianxiang</cp:lastModifiedBy>
  <cp:revision>5</cp:revision>
  <cp:lastPrinted>2018-02-27T14:07:00Z</cp:lastPrinted>
  <dcterms:created xsi:type="dcterms:W3CDTF">2018-02-28T13:54:00Z</dcterms:created>
  <dcterms:modified xsi:type="dcterms:W3CDTF">2018-02-28T14:01:00Z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