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80728">
        <w:trPr>
          <w:cantSplit/>
        </w:trPr>
        <w:tc>
          <w:tcPr>
            <w:tcW w:w="6912" w:type="dxa"/>
          </w:tcPr>
          <w:p w:rsidR="00093EEB" w:rsidRPr="00080728" w:rsidRDefault="00093EEB" w:rsidP="00E85888">
            <w:pPr>
              <w:spacing w:before="360"/>
              <w:rPr>
                <w:szCs w:val="24"/>
              </w:rPr>
            </w:pPr>
            <w:bookmarkStart w:id="0" w:name="dc06"/>
            <w:bookmarkStart w:id="1" w:name="dbluepink" w:colFirst="0" w:colLast="0"/>
            <w:bookmarkEnd w:id="0"/>
            <w:r w:rsidRPr="00080728">
              <w:rPr>
                <w:b/>
                <w:bCs/>
                <w:sz w:val="30"/>
                <w:szCs w:val="30"/>
              </w:rPr>
              <w:t>Consejo 201</w:t>
            </w:r>
            <w:r w:rsidR="009F4811" w:rsidRPr="00080728">
              <w:rPr>
                <w:b/>
                <w:bCs/>
                <w:sz w:val="30"/>
                <w:szCs w:val="30"/>
              </w:rPr>
              <w:t>8</w:t>
            </w:r>
            <w:r w:rsidRPr="00080728">
              <w:rPr>
                <w:b/>
                <w:bCs/>
                <w:sz w:val="26"/>
                <w:szCs w:val="26"/>
              </w:rPr>
              <w:br/>
            </w:r>
            <w:r w:rsidRPr="00080728">
              <w:rPr>
                <w:b/>
                <w:bCs/>
                <w:szCs w:val="24"/>
              </w:rPr>
              <w:t>Ginebra, 1</w:t>
            </w:r>
            <w:r w:rsidR="009F4811" w:rsidRPr="00080728">
              <w:rPr>
                <w:b/>
                <w:bCs/>
                <w:szCs w:val="24"/>
              </w:rPr>
              <w:t>7</w:t>
            </w:r>
            <w:r w:rsidRPr="00080728">
              <w:rPr>
                <w:b/>
                <w:bCs/>
                <w:szCs w:val="24"/>
              </w:rPr>
              <w:t>-2</w:t>
            </w:r>
            <w:r w:rsidR="009F4811" w:rsidRPr="00080728">
              <w:rPr>
                <w:b/>
                <w:bCs/>
                <w:szCs w:val="24"/>
              </w:rPr>
              <w:t>7</w:t>
            </w:r>
            <w:r w:rsidRPr="00080728">
              <w:rPr>
                <w:b/>
                <w:bCs/>
                <w:szCs w:val="24"/>
              </w:rPr>
              <w:t xml:space="preserve"> de </w:t>
            </w:r>
            <w:r w:rsidR="009F4811" w:rsidRPr="00080728">
              <w:rPr>
                <w:b/>
                <w:bCs/>
                <w:szCs w:val="24"/>
              </w:rPr>
              <w:t>abril</w:t>
            </w:r>
            <w:r w:rsidRPr="00080728">
              <w:rPr>
                <w:b/>
                <w:bCs/>
                <w:szCs w:val="24"/>
              </w:rPr>
              <w:t xml:space="preserve"> de 201</w:t>
            </w:r>
            <w:r w:rsidR="009F4811" w:rsidRPr="00080728">
              <w:rPr>
                <w:b/>
                <w:bCs/>
                <w:szCs w:val="24"/>
              </w:rPr>
              <w:t>8</w:t>
            </w:r>
          </w:p>
        </w:tc>
        <w:tc>
          <w:tcPr>
            <w:tcW w:w="3261" w:type="dxa"/>
          </w:tcPr>
          <w:p w:rsidR="00093EEB" w:rsidRPr="00080728" w:rsidRDefault="00093EEB" w:rsidP="00E85888">
            <w:pPr>
              <w:spacing w:before="0"/>
              <w:jc w:val="right"/>
              <w:rPr>
                <w:szCs w:val="24"/>
              </w:rPr>
            </w:pPr>
            <w:bookmarkStart w:id="2" w:name="ditulogo"/>
            <w:bookmarkEnd w:id="2"/>
            <w:r w:rsidRPr="00080728">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80728">
        <w:trPr>
          <w:cantSplit/>
          <w:trHeight w:val="20"/>
        </w:trPr>
        <w:tc>
          <w:tcPr>
            <w:tcW w:w="10173" w:type="dxa"/>
            <w:gridSpan w:val="2"/>
            <w:tcBorders>
              <w:bottom w:val="single" w:sz="12" w:space="0" w:color="auto"/>
            </w:tcBorders>
          </w:tcPr>
          <w:p w:rsidR="00093EEB" w:rsidRPr="00080728" w:rsidRDefault="00093EEB" w:rsidP="00E85888">
            <w:pPr>
              <w:spacing w:before="0"/>
              <w:rPr>
                <w:b/>
                <w:bCs/>
                <w:szCs w:val="24"/>
              </w:rPr>
            </w:pPr>
          </w:p>
        </w:tc>
      </w:tr>
      <w:tr w:rsidR="00093EEB" w:rsidRPr="00080728">
        <w:trPr>
          <w:cantSplit/>
          <w:trHeight w:val="20"/>
        </w:trPr>
        <w:tc>
          <w:tcPr>
            <w:tcW w:w="6912" w:type="dxa"/>
            <w:tcBorders>
              <w:top w:val="single" w:sz="12" w:space="0" w:color="auto"/>
            </w:tcBorders>
          </w:tcPr>
          <w:p w:rsidR="00093EEB" w:rsidRPr="00080728" w:rsidRDefault="00093EEB" w:rsidP="00E85888">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080728" w:rsidRDefault="00093EEB" w:rsidP="00E85888">
            <w:pPr>
              <w:spacing w:before="0"/>
              <w:rPr>
                <w:b/>
                <w:bCs/>
                <w:szCs w:val="24"/>
              </w:rPr>
            </w:pPr>
          </w:p>
        </w:tc>
      </w:tr>
      <w:tr w:rsidR="00093EEB" w:rsidRPr="00080728">
        <w:trPr>
          <w:cantSplit/>
          <w:trHeight w:val="20"/>
        </w:trPr>
        <w:tc>
          <w:tcPr>
            <w:tcW w:w="6912" w:type="dxa"/>
            <w:shd w:val="clear" w:color="auto" w:fill="auto"/>
          </w:tcPr>
          <w:p w:rsidR="00093EEB" w:rsidRPr="00080728" w:rsidRDefault="005A175A" w:rsidP="00E85888">
            <w:pPr>
              <w:tabs>
                <w:tab w:val="left" w:pos="1560"/>
                <w:tab w:val="left" w:pos="3544"/>
                <w:tab w:val="left" w:pos="3969"/>
              </w:tabs>
              <w:spacing w:before="0"/>
              <w:rPr>
                <w:rFonts w:cs="Times"/>
                <w:b/>
                <w:szCs w:val="24"/>
              </w:rPr>
            </w:pPr>
            <w:bookmarkStart w:id="3" w:name="dnum" w:colFirst="1" w:colLast="1"/>
            <w:bookmarkStart w:id="4" w:name="dmeeting" w:colFirst="0" w:colLast="0"/>
            <w:r w:rsidRPr="00080728">
              <w:rPr>
                <w:rFonts w:cs="Times"/>
                <w:b/>
                <w:szCs w:val="24"/>
              </w:rPr>
              <w:t>Punto del orden del día: PL 3.3</w:t>
            </w:r>
          </w:p>
        </w:tc>
        <w:tc>
          <w:tcPr>
            <w:tcW w:w="3261" w:type="dxa"/>
          </w:tcPr>
          <w:p w:rsidR="00093EEB" w:rsidRPr="00080728" w:rsidRDefault="00093EEB" w:rsidP="00E85888">
            <w:pPr>
              <w:spacing w:before="0"/>
              <w:rPr>
                <w:b/>
                <w:bCs/>
                <w:szCs w:val="24"/>
              </w:rPr>
            </w:pPr>
            <w:r w:rsidRPr="00080728">
              <w:rPr>
                <w:b/>
                <w:bCs/>
                <w:szCs w:val="24"/>
              </w:rPr>
              <w:t>Documento C1</w:t>
            </w:r>
            <w:r w:rsidR="009F4811" w:rsidRPr="00080728">
              <w:rPr>
                <w:b/>
                <w:bCs/>
                <w:szCs w:val="24"/>
              </w:rPr>
              <w:t>8</w:t>
            </w:r>
            <w:r w:rsidRPr="00080728">
              <w:rPr>
                <w:b/>
                <w:bCs/>
                <w:szCs w:val="24"/>
              </w:rPr>
              <w:t>/</w:t>
            </w:r>
            <w:r w:rsidR="005A175A" w:rsidRPr="00080728">
              <w:rPr>
                <w:b/>
                <w:bCs/>
                <w:szCs w:val="24"/>
              </w:rPr>
              <w:t>25</w:t>
            </w:r>
            <w:r w:rsidRPr="00080728">
              <w:rPr>
                <w:b/>
                <w:bCs/>
                <w:szCs w:val="24"/>
              </w:rPr>
              <w:t>-S</w:t>
            </w:r>
          </w:p>
        </w:tc>
      </w:tr>
      <w:tr w:rsidR="00093EEB" w:rsidRPr="00080728">
        <w:trPr>
          <w:cantSplit/>
          <w:trHeight w:val="20"/>
        </w:trPr>
        <w:tc>
          <w:tcPr>
            <w:tcW w:w="6912" w:type="dxa"/>
            <w:shd w:val="clear" w:color="auto" w:fill="auto"/>
          </w:tcPr>
          <w:p w:rsidR="00093EEB" w:rsidRPr="00080728" w:rsidRDefault="00093EEB" w:rsidP="00E85888">
            <w:pPr>
              <w:shd w:val="solid" w:color="FFFFFF" w:fill="FFFFFF"/>
              <w:spacing w:before="0"/>
              <w:rPr>
                <w:smallCaps/>
                <w:szCs w:val="24"/>
              </w:rPr>
            </w:pPr>
            <w:bookmarkStart w:id="5" w:name="ddate" w:colFirst="1" w:colLast="1"/>
            <w:bookmarkEnd w:id="3"/>
            <w:bookmarkEnd w:id="4"/>
          </w:p>
        </w:tc>
        <w:tc>
          <w:tcPr>
            <w:tcW w:w="3261" w:type="dxa"/>
          </w:tcPr>
          <w:p w:rsidR="00093EEB" w:rsidRPr="00080728" w:rsidRDefault="005A175A" w:rsidP="00E85888">
            <w:pPr>
              <w:spacing w:before="0"/>
              <w:rPr>
                <w:b/>
                <w:bCs/>
                <w:szCs w:val="24"/>
              </w:rPr>
            </w:pPr>
            <w:r w:rsidRPr="00080728">
              <w:rPr>
                <w:b/>
                <w:bCs/>
                <w:szCs w:val="24"/>
              </w:rPr>
              <w:t>8 de febrero</w:t>
            </w:r>
            <w:r w:rsidR="00093EEB" w:rsidRPr="00080728">
              <w:rPr>
                <w:b/>
                <w:bCs/>
                <w:szCs w:val="24"/>
              </w:rPr>
              <w:t xml:space="preserve"> de 201</w:t>
            </w:r>
            <w:r w:rsidR="009F4811" w:rsidRPr="00080728">
              <w:rPr>
                <w:b/>
                <w:bCs/>
                <w:szCs w:val="24"/>
              </w:rPr>
              <w:t>8</w:t>
            </w:r>
          </w:p>
        </w:tc>
      </w:tr>
      <w:tr w:rsidR="00093EEB" w:rsidRPr="00080728">
        <w:trPr>
          <w:cantSplit/>
          <w:trHeight w:val="20"/>
        </w:trPr>
        <w:tc>
          <w:tcPr>
            <w:tcW w:w="6912" w:type="dxa"/>
            <w:shd w:val="clear" w:color="auto" w:fill="auto"/>
          </w:tcPr>
          <w:p w:rsidR="00093EEB" w:rsidRPr="00080728" w:rsidRDefault="00093EEB" w:rsidP="00E85888">
            <w:pPr>
              <w:shd w:val="solid" w:color="FFFFFF" w:fill="FFFFFF"/>
              <w:spacing w:before="0"/>
              <w:rPr>
                <w:smallCaps/>
                <w:szCs w:val="24"/>
              </w:rPr>
            </w:pPr>
            <w:bookmarkStart w:id="6" w:name="dorlang" w:colFirst="1" w:colLast="1"/>
            <w:bookmarkEnd w:id="5"/>
          </w:p>
        </w:tc>
        <w:tc>
          <w:tcPr>
            <w:tcW w:w="3261" w:type="dxa"/>
          </w:tcPr>
          <w:p w:rsidR="00093EEB" w:rsidRPr="00080728" w:rsidRDefault="00093EEB" w:rsidP="00E85888">
            <w:pPr>
              <w:spacing w:before="0"/>
              <w:rPr>
                <w:b/>
                <w:bCs/>
                <w:szCs w:val="24"/>
              </w:rPr>
            </w:pPr>
            <w:r w:rsidRPr="00080728">
              <w:rPr>
                <w:b/>
                <w:bCs/>
                <w:szCs w:val="24"/>
              </w:rPr>
              <w:t>Original: inglés</w:t>
            </w:r>
          </w:p>
        </w:tc>
      </w:tr>
      <w:tr w:rsidR="00093EEB" w:rsidRPr="00080728">
        <w:trPr>
          <w:cantSplit/>
        </w:trPr>
        <w:tc>
          <w:tcPr>
            <w:tcW w:w="10173" w:type="dxa"/>
            <w:gridSpan w:val="2"/>
          </w:tcPr>
          <w:p w:rsidR="00093EEB" w:rsidRPr="00080728" w:rsidRDefault="005A175A" w:rsidP="00E85888">
            <w:pPr>
              <w:pStyle w:val="Source"/>
            </w:pPr>
            <w:bookmarkStart w:id="7" w:name="dsource" w:colFirst="0" w:colLast="0"/>
            <w:bookmarkEnd w:id="1"/>
            <w:bookmarkEnd w:id="6"/>
            <w:r w:rsidRPr="00080728">
              <w:t>Informe del Secretario General</w:t>
            </w:r>
          </w:p>
        </w:tc>
      </w:tr>
      <w:tr w:rsidR="00093EEB" w:rsidRPr="00080728">
        <w:trPr>
          <w:cantSplit/>
        </w:trPr>
        <w:tc>
          <w:tcPr>
            <w:tcW w:w="10173" w:type="dxa"/>
            <w:gridSpan w:val="2"/>
          </w:tcPr>
          <w:p w:rsidR="00093EEB" w:rsidRPr="00080728" w:rsidRDefault="005A175A" w:rsidP="00E85888">
            <w:pPr>
              <w:pStyle w:val="Title1"/>
            </w:pPr>
            <w:bookmarkStart w:id="8" w:name="dtitle1" w:colFirst="0" w:colLast="0"/>
            <w:bookmarkEnd w:id="7"/>
            <w:r w:rsidRPr="00080728">
              <w:t>FORTALECIMIENTO DE LA PREsEnCIA REGIONAL</w:t>
            </w:r>
          </w:p>
        </w:tc>
      </w:tr>
      <w:bookmarkEnd w:id="8"/>
    </w:tbl>
    <w:p w:rsidR="00093EEB" w:rsidRPr="00080728" w:rsidRDefault="00093EEB" w:rsidP="00E858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80728">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80728" w:rsidRDefault="00093EEB" w:rsidP="00E85888">
            <w:pPr>
              <w:pStyle w:val="Headingb"/>
            </w:pPr>
            <w:r w:rsidRPr="00080728">
              <w:t>Resumen</w:t>
            </w:r>
          </w:p>
          <w:p w:rsidR="00093EEB" w:rsidRPr="00080728" w:rsidRDefault="00107D0E" w:rsidP="00E85888">
            <w:r w:rsidRPr="00080728">
              <w:t xml:space="preserve">El presente documento tiene por objeto informar sobre la aplicación de la Resolución 25 (Rev. Busán, 2014). El </w:t>
            </w:r>
            <w:hyperlink r:id="rId9" w:history="1">
              <w:r w:rsidRPr="00080728">
                <w:rPr>
                  <w:rStyle w:val="Hyperlink"/>
                </w:rPr>
                <w:t>Documento C18/INF/6</w:t>
              </w:r>
            </w:hyperlink>
            <w:r w:rsidRPr="00080728">
              <w:t xml:space="preserve"> contiene seis anexos en relación con el presente documento.</w:t>
            </w:r>
          </w:p>
          <w:p w:rsidR="00093EEB" w:rsidRPr="00080728" w:rsidRDefault="00093EEB" w:rsidP="00E85888">
            <w:pPr>
              <w:pStyle w:val="Headingb"/>
            </w:pPr>
            <w:r w:rsidRPr="00080728">
              <w:t>Acción solicitada</w:t>
            </w:r>
          </w:p>
          <w:p w:rsidR="00093EEB" w:rsidRPr="00080728" w:rsidRDefault="00BA01B5" w:rsidP="00E85888">
            <w:r w:rsidRPr="00080728">
              <w:t xml:space="preserve">Se invita al Consejo a </w:t>
            </w:r>
            <w:r w:rsidRPr="00080728">
              <w:rPr>
                <w:b/>
                <w:bCs/>
              </w:rPr>
              <w:t xml:space="preserve">tomar nota </w:t>
            </w:r>
            <w:r w:rsidRPr="00080728">
              <w:t>del presente informe.</w:t>
            </w:r>
          </w:p>
          <w:p w:rsidR="00093EEB" w:rsidRPr="00080728" w:rsidRDefault="00093EEB" w:rsidP="00E85888">
            <w:pPr>
              <w:pStyle w:val="Table"/>
              <w:keepNext w:val="0"/>
              <w:spacing w:before="0" w:after="0"/>
              <w:rPr>
                <w:caps w:val="0"/>
                <w:sz w:val="22"/>
                <w:lang w:val="es-ES_tradnl"/>
              </w:rPr>
            </w:pPr>
            <w:r w:rsidRPr="00080728">
              <w:rPr>
                <w:caps w:val="0"/>
                <w:sz w:val="22"/>
                <w:lang w:val="es-ES_tradnl"/>
              </w:rPr>
              <w:t>____________</w:t>
            </w:r>
          </w:p>
          <w:p w:rsidR="00093EEB" w:rsidRPr="00080728" w:rsidRDefault="00093EEB" w:rsidP="00E85888">
            <w:pPr>
              <w:pStyle w:val="Headingb"/>
            </w:pPr>
            <w:r w:rsidRPr="00080728">
              <w:t>Referencia</w:t>
            </w:r>
            <w:r w:rsidR="00BA01B5" w:rsidRPr="00080728">
              <w:t>s</w:t>
            </w:r>
          </w:p>
          <w:p w:rsidR="00BA01B5" w:rsidRPr="00080728" w:rsidRDefault="00080728" w:rsidP="00E85888">
            <w:pPr>
              <w:spacing w:after="120"/>
              <w:rPr>
                <w:rStyle w:val="Hyperlink"/>
                <w:i/>
                <w:iCs/>
                <w:color w:val="auto"/>
                <w:u w:val="none"/>
              </w:rPr>
            </w:pPr>
            <w:hyperlink r:id="rId10" w:history="1">
              <w:r w:rsidR="00BA01B5" w:rsidRPr="00080728">
                <w:rPr>
                  <w:rStyle w:val="Hyperlink"/>
                  <w:i/>
                  <w:iCs/>
                </w:rPr>
                <w:t>Resolución 25 (Rev. Busán, 2014)</w:t>
              </w:r>
            </w:hyperlink>
            <w:r w:rsidR="00BA01B5" w:rsidRPr="00080728">
              <w:rPr>
                <w:rStyle w:val="Hyperlink"/>
                <w:i/>
                <w:iCs/>
                <w:color w:val="auto"/>
                <w:u w:val="none"/>
              </w:rPr>
              <w:t xml:space="preserve">; </w:t>
            </w:r>
          </w:p>
          <w:p w:rsidR="00093EEB" w:rsidRPr="00080728" w:rsidRDefault="00BA01B5" w:rsidP="00E85888">
            <w:pPr>
              <w:spacing w:after="120"/>
              <w:rPr>
                <w:i/>
                <w:iCs/>
              </w:rPr>
            </w:pPr>
            <w:r w:rsidRPr="00080728">
              <w:rPr>
                <w:rStyle w:val="Hyperlink"/>
                <w:i/>
                <w:iCs/>
                <w:color w:val="auto"/>
                <w:u w:val="none"/>
              </w:rPr>
              <w:t xml:space="preserve">Documento </w:t>
            </w:r>
            <w:hyperlink r:id="rId11" w:history="1">
              <w:r w:rsidRPr="00080728">
                <w:rPr>
                  <w:rStyle w:val="Hyperlink"/>
                  <w:i/>
                  <w:iCs/>
                </w:rPr>
                <w:t>C17/INF/12</w:t>
              </w:r>
            </w:hyperlink>
            <w:r w:rsidRPr="00080728">
              <w:t xml:space="preserve"> del Consejo</w:t>
            </w:r>
          </w:p>
        </w:tc>
      </w:tr>
    </w:tbl>
    <w:p w:rsidR="00093EEB" w:rsidRPr="00080728" w:rsidRDefault="00BA01B5" w:rsidP="00E85888">
      <w:pPr>
        <w:pStyle w:val="Heading1"/>
      </w:pPr>
      <w:r w:rsidRPr="00080728">
        <w:t>1</w:t>
      </w:r>
      <w:r w:rsidRPr="00080728">
        <w:tab/>
        <w:t>Antecedentes</w:t>
      </w:r>
    </w:p>
    <w:p w:rsidR="0066783F" w:rsidRPr="00080728" w:rsidRDefault="0066783F" w:rsidP="00E85888">
      <w:pPr>
        <w:rPr>
          <w:rFonts w:eastAsia="Arial Unicode MS"/>
        </w:rPr>
      </w:pPr>
      <w:r w:rsidRPr="00080728">
        <w:t>1.1</w:t>
      </w:r>
      <w:r w:rsidRPr="00080728">
        <w:tab/>
      </w:r>
      <w:r w:rsidR="00CA2FD0" w:rsidRPr="00080728">
        <w:rPr>
          <w:rFonts w:eastAsia="Arial Unicode MS"/>
        </w:rPr>
        <w:t>En la Resolución</w:t>
      </w:r>
      <w:r w:rsidRPr="00080728">
        <w:rPr>
          <w:rFonts w:eastAsia="Arial Unicode MS"/>
        </w:rPr>
        <w:t xml:space="preserve"> 25</w:t>
      </w:r>
      <w:r w:rsidR="00AF7EDF" w:rsidRPr="00080728">
        <w:rPr>
          <w:rFonts w:eastAsia="Arial Unicode MS"/>
        </w:rPr>
        <w:t xml:space="preserve"> revisada</w:t>
      </w:r>
      <w:r w:rsidRPr="00080728">
        <w:rPr>
          <w:rFonts w:eastAsia="Arial Unicode MS"/>
        </w:rPr>
        <w:t xml:space="preserve"> (</w:t>
      </w:r>
      <w:r w:rsidR="00CA2FD0" w:rsidRPr="00080728">
        <w:rPr>
          <w:rFonts w:eastAsia="Arial Unicode MS"/>
        </w:rPr>
        <w:t xml:space="preserve">Fortalecimiento de la presencia regional), aprobada en la </w:t>
      </w:r>
      <w:r w:rsidRPr="00080728">
        <w:rPr>
          <w:rFonts w:eastAsia="Arial Unicode MS"/>
        </w:rPr>
        <w:t>PP-14</w:t>
      </w:r>
      <w:r w:rsidR="00CA2FD0" w:rsidRPr="00080728">
        <w:rPr>
          <w:rFonts w:eastAsia="Arial Unicode MS"/>
        </w:rPr>
        <w:t xml:space="preserve">, se hace hincapié en la importancia que reviste la función de las </w:t>
      </w:r>
      <w:r w:rsidR="003C527D" w:rsidRPr="00080728">
        <w:t xml:space="preserve">Oficinas Regionales y de Zona </w:t>
      </w:r>
      <w:r w:rsidR="00CA2FD0" w:rsidRPr="00080728">
        <w:rPr>
          <w:rFonts w:eastAsia="Arial Unicode MS"/>
        </w:rPr>
        <w:t>para la preparación e implantaci</w:t>
      </w:r>
      <w:r w:rsidR="000A245C" w:rsidRPr="00080728">
        <w:rPr>
          <w:rFonts w:eastAsia="Arial Unicode MS"/>
        </w:rPr>
        <w:t>ón del P</w:t>
      </w:r>
      <w:r w:rsidR="00CA2FD0" w:rsidRPr="00080728">
        <w:rPr>
          <w:rFonts w:eastAsia="Arial Unicode MS"/>
        </w:rPr>
        <w:t xml:space="preserve">lan estratégico y </w:t>
      </w:r>
      <w:r w:rsidR="000A245C" w:rsidRPr="00080728">
        <w:rPr>
          <w:rFonts w:eastAsia="Arial Unicode MS"/>
        </w:rPr>
        <w:t>la observancia</w:t>
      </w:r>
      <w:r w:rsidR="00CA2FD0" w:rsidRPr="00080728">
        <w:rPr>
          <w:rFonts w:eastAsia="Arial Unicode MS"/>
        </w:rPr>
        <w:t xml:space="preserve"> de los requisitos de los Miembros de la UIT. En virtud de la Resolución 25</w:t>
      </w:r>
      <w:r w:rsidR="000A245C" w:rsidRPr="00080728">
        <w:rPr>
          <w:rFonts w:eastAsia="Arial Unicode MS"/>
        </w:rPr>
        <w:t>,</w:t>
      </w:r>
      <w:r w:rsidR="00CA2FD0" w:rsidRPr="00080728">
        <w:rPr>
          <w:rFonts w:eastAsia="Arial Unicode MS"/>
        </w:rPr>
        <w:t xml:space="preserve"> se pide al Secretario General de la UIT que presente cada año al Consejo un informe sobre presencia regional. Dicho documento constituye una actualización de un documento similar presentado al Consejo</w:t>
      </w:r>
      <w:r w:rsidR="000A245C" w:rsidRPr="00080728">
        <w:rPr>
          <w:rFonts w:eastAsia="Arial Unicode MS"/>
        </w:rPr>
        <w:t>, en su reunión</w:t>
      </w:r>
      <w:r w:rsidR="00CA2FD0" w:rsidRPr="00080728">
        <w:rPr>
          <w:rFonts w:eastAsia="Arial Unicode MS"/>
        </w:rPr>
        <w:t xml:space="preserve"> de 2017</w:t>
      </w:r>
      <w:r w:rsidRPr="00080728">
        <w:rPr>
          <w:rFonts w:eastAsia="Arial Unicode MS"/>
        </w:rPr>
        <w:t xml:space="preserve"> (</w:t>
      </w:r>
      <w:hyperlink r:id="rId12" w:history="1">
        <w:r w:rsidRPr="00080728">
          <w:rPr>
            <w:rStyle w:val="Hyperlink"/>
            <w:rFonts w:eastAsia="Arial Unicode MS" w:cstheme="minorHAnsi"/>
            <w:szCs w:val="24"/>
          </w:rPr>
          <w:t>Document</w:t>
        </w:r>
        <w:r w:rsidR="00CA2FD0" w:rsidRPr="00080728">
          <w:rPr>
            <w:rStyle w:val="Hyperlink"/>
            <w:rFonts w:eastAsia="Arial Unicode MS" w:cstheme="minorHAnsi"/>
            <w:szCs w:val="24"/>
          </w:rPr>
          <w:t>o</w:t>
        </w:r>
        <w:r w:rsidRPr="00080728">
          <w:rPr>
            <w:rStyle w:val="Hyperlink"/>
            <w:rFonts w:eastAsia="Arial Unicode MS" w:cstheme="minorHAnsi"/>
            <w:szCs w:val="24"/>
          </w:rPr>
          <w:t> C17/25</w:t>
        </w:r>
      </w:hyperlink>
      <w:r w:rsidRPr="00080728">
        <w:rPr>
          <w:rFonts w:eastAsia="Arial Unicode MS"/>
        </w:rPr>
        <w:t>)</w:t>
      </w:r>
      <w:r w:rsidR="000A245C" w:rsidRPr="00080728">
        <w:rPr>
          <w:rFonts w:eastAsia="Arial Unicode MS"/>
        </w:rPr>
        <w:t>,</w:t>
      </w:r>
      <w:r w:rsidRPr="00080728">
        <w:rPr>
          <w:rFonts w:eastAsia="Arial Unicode MS"/>
        </w:rPr>
        <w:t xml:space="preserve"> </w:t>
      </w:r>
      <w:r w:rsidR="00CA2FD0" w:rsidRPr="00080728">
        <w:rPr>
          <w:rFonts w:eastAsia="Arial Unicode MS"/>
        </w:rPr>
        <w:t xml:space="preserve">en el que </w:t>
      </w:r>
      <w:r w:rsidR="000A245C" w:rsidRPr="00080728">
        <w:rPr>
          <w:rFonts w:eastAsia="Arial Unicode MS"/>
        </w:rPr>
        <w:t>se informa de</w:t>
      </w:r>
      <w:r w:rsidR="00CA2FD0" w:rsidRPr="00080728">
        <w:rPr>
          <w:rFonts w:eastAsia="Arial Unicode MS"/>
        </w:rPr>
        <w:t xml:space="preserve"> los avances y las actividades</w:t>
      </w:r>
      <w:r w:rsidR="000A245C" w:rsidRPr="00080728">
        <w:rPr>
          <w:rFonts w:eastAsia="Arial Unicode MS"/>
        </w:rPr>
        <w:t xml:space="preserve"> llevado</w:t>
      </w:r>
      <w:r w:rsidR="00CA2FD0" w:rsidRPr="00080728">
        <w:rPr>
          <w:rFonts w:eastAsia="Arial Unicode MS"/>
        </w:rPr>
        <w:t xml:space="preserve">s a cabo </w:t>
      </w:r>
      <w:r w:rsidR="000A245C" w:rsidRPr="00080728">
        <w:rPr>
          <w:rFonts w:eastAsia="Arial Unicode MS"/>
        </w:rPr>
        <w:t>en</w:t>
      </w:r>
      <w:r w:rsidR="00AF7EDF" w:rsidRPr="00080728">
        <w:rPr>
          <w:rFonts w:eastAsia="Arial Unicode MS"/>
        </w:rPr>
        <w:t> </w:t>
      </w:r>
      <w:r w:rsidRPr="00080728">
        <w:rPr>
          <w:rFonts w:eastAsia="Arial Unicode MS"/>
        </w:rPr>
        <w:t>2017.</w:t>
      </w:r>
    </w:p>
    <w:p w:rsidR="00BA01B5" w:rsidRPr="00080728" w:rsidRDefault="00CA2FD0" w:rsidP="00E85888">
      <w:pPr>
        <w:rPr>
          <w:szCs w:val="24"/>
        </w:rPr>
      </w:pPr>
      <w:r w:rsidRPr="00080728">
        <w:rPr>
          <w:rFonts w:eastAsia="Arial Unicode MS" w:cstheme="minorHAnsi"/>
          <w:szCs w:val="24"/>
        </w:rPr>
        <w:t>1.2</w:t>
      </w:r>
      <w:r w:rsidRPr="00080728">
        <w:rPr>
          <w:rFonts w:eastAsia="Arial Unicode MS" w:cstheme="minorHAnsi"/>
          <w:szCs w:val="24"/>
        </w:rPr>
        <w:tab/>
        <w:t xml:space="preserve">En 2017 se desplegaron asimismo esfuerzos para mejorar la presencia regional de la UIT mediante una serie de medidas encaminadas a facilitar a la UIT la adaptación de </w:t>
      </w:r>
      <w:r w:rsidR="000A245C" w:rsidRPr="00080728">
        <w:rPr>
          <w:rFonts w:eastAsia="Arial Unicode MS" w:cstheme="minorHAnsi"/>
          <w:szCs w:val="24"/>
        </w:rPr>
        <w:t xml:space="preserve">su </w:t>
      </w:r>
      <w:r w:rsidRPr="00080728">
        <w:rPr>
          <w:rFonts w:eastAsia="Arial Unicode MS" w:cstheme="minorHAnsi"/>
          <w:szCs w:val="24"/>
        </w:rPr>
        <w:t xml:space="preserve">labor a las necesidades específicas de las regiones y </w:t>
      </w:r>
      <w:r w:rsidR="000A245C" w:rsidRPr="00080728">
        <w:rPr>
          <w:rFonts w:eastAsia="Arial Unicode MS" w:cstheme="minorHAnsi"/>
          <w:szCs w:val="24"/>
        </w:rPr>
        <w:t>a proporcionar productos y servicios de gran calidad</w:t>
      </w:r>
      <w:r w:rsidR="00736635" w:rsidRPr="00080728">
        <w:rPr>
          <w:rFonts w:eastAsia="Arial Unicode MS" w:cstheme="minorHAnsi"/>
          <w:szCs w:val="24"/>
        </w:rPr>
        <w:t>,</w:t>
      </w:r>
      <w:r w:rsidR="000A245C" w:rsidRPr="00080728">
        <w:rPr>
          <w:rFonts w:eastAsia="Arial Unicode MS" w:cstheme="minorHAnsi"/>
          <w:szCs w:val="24"/>
        </w:rPr>
        <w:t xml:space="preserve"> de forma oportuna y eficaz a escalas nacional y regional</w:t>
      </w:r>
      <w:r w:rsidR="0066783F" w:rsidRPr="00080728">
        <w:rPr>
          <w:szCs w:val="24"/>
        </w:rPr>
        <w:t>.</w:t>
      </w:r>
    </w:p>
    <w:p w:rsidR="00A933D7" w:rsidRPr="00080728" w:rsidRDefault="0066783F" w:rsidP="00E85888">
      <w:pPr>
        <w:rPr>
          <w:rFonts w:eastAsia="Arial Unicode MS"/>
        </w:rPr>
      </w:pPr>
      <w:r w:rsidRPr="00080728">
        <w:rPr>
          <w:rFonts w:eastAsia="Arial Unicode MS"/>
        </w:rPr>
        <w:t>1.3</w:t>
      </w:r>
      <w:r w:rsidRPr="00080728">
        <w:rPr>
          <w:rFonts w:eastAsia="Arial Unicode MS"/>
        </w:rPr>
        <w:tab/>
        <w:t xml:space="preserve">En </w:t>
      </w:r>
      <w:r w:rsidR="00736635" w:rsidRPr="00080728">
        <w:rPr>
          <w:rFonts w:eastAsia="Arial Unicode MS"/>
        </w:rPr>
        <w:t>el presente</w:t>
      </w:r>
      <w:r w:rsidRPr="00080728">
        <w:rPr>
          <w:rFonts w:eastAsia="Arial Unicode MS"/>
        </w:rPr>
        <w:t xml:space="preserve"> </w:t>
      </w:r>
      <w:r w:rsidR="000A245C" w:rsidRPr="00080728">
        <w:rPr>
          <w:rFonts w:eastAsia="Arial Unicode MS"/>
        </w:rPr>
        <w:t>informe se aborda</w:t>
      </w:r>
      <w:r w:rsidRPr="00080728">
        <w:rPr>
          <w:rFonts w:eastAsia="Arial Unicode MS"/>
        </w:rPr>
        <w:t xml:space="preserve"> la ejecución del Plan de Acción y </w:t>
      </w:r>
      <w:r w:rsidR="000A245C" w:rsidRPr="00080728">
        <w:rPr>
          <w:rFonts w:eastAsia="Arial Unicode MS"/>
        </w:rPr>
        <w:t xml:space="preserve">de </w:t>
      </w:r>
      <w:r w:rsidRPr="00080728">
        <w:rPr>
          <w:rFonts w:eastAsia="Arial Unicode MS"/>
        </w:rPr>
        <w:t>las iniciativas regionales. Contiene</w:t>
      </w:r>
      <w:r w:rsidR="00736635" w:rsidRPr="00080728">
        <w:rPr>
          <w:rFonts w:eastAsia="Arial Unicode MS"/>
        </w:rPr>
        <w:t xml:space="preserve"> asimismo</w:t>
      </w:r>
      <w:r w:rsidRPr="00080728">
        <w:rPr>
          <w:rFonts w:eastAsia="Arial Unicode MS"/>
        </w:rPr>
        <w:t xml:space="preserve"> información </w:t>
      </w:r>
      <w:r w:rsidR="00736635" w:rsidRPr="00080728">
        <w:rPr>
          <w:rFonts w:eastAsia="Arial Unicode MS"/>
        </w:rPr>
        <w:t>pormenorizada</w:t>
      </w:r>
      <w:r w:rsidRPr="00080728">
        <w:rPr>
          <w:rFonts w:eastAsia="Arial Unicode MS"/>
        </w:rPr>
        <w:t xml:space="preserve"> sobre </w:t>
      </w:r>
      <w:r w:rsidR="00736635" w:rsidRPr="00080728">
        <w:rPr>
          <w:rFonts w:eastAsia="Arial Unicode MS"/>
        </w:rPr>
        <w:t>la aplicación d</w:t>
      </w:r>
      <w:r w:rsidR="00AF7EDF" w:rsidRPr="00080728">
        <w:rPr>
          <w:rFonts w:eastAsia="Arial Unicode MS"/>
        </w:rPr>
        <w:t>el presupuesto de </w:t>
      </w:r>
      <w:r w:rsidRPr="00080728">
        <w:rPr>
          <w:rFonts w:eastAsia="Arial Unicode MS"/>
        </w:rPr>
        <w:t xml:space="preserve">2017, tanto para las fuentes de financiación ordinarias como para las extrapresupuestarias. </w:t>
      </w:r>
      <w:r w:rsidRPr="00080728">
        <w:rPr>
          <w:rFonts w:eastAsia="Arial Unicode MS"/>
        </w:rPr>
        <w:lastRenderedPageBreak/>
        <w:t xml:space="preserve">También </w:t>
      </w:r>
      <w:r w:rsidR="00736635" w:rsidRPr="00080728">
        <w:rPr>
          <w:rFonts w:eastAsia="Arial Unicode MS"/>
        </w:rPr>
        <w:t>se proporciona</w:t>
      </w:r>
      <w:r w:rsidRPr="00080728">
        <w:rPr>
          <w:rFonts w:eastAsia="Arial Unicode MS"/>
        </w:rPr>
        <w:t xml:space="preserve"> </w:t>
      </w:r>
      <w:r w:rsidR="00736635" w:rsidRPr="00080728">
        <w:rPr>
          <w:rFonts w:eastAsia="Arial Unicode MS"/>
        </w:rPr>
        <w:t>información actualizada sobre el grado</w:t>
      </w:r>
      <w:r w:rsidRPr="00080728">
        <w:rPr>
          <w:rFonts w:eastAsia="Arial Unicode MS"/>
        </w:rPr>
        <w:t xml:space="preserve"> de dotación de personal de </w:t>
      </w:r>
      <w:r w:rsidR="00736635" w:rsidRPr="00080728">
        <w:rPr>
          <w:rFonts w:eastAsia="Arial Unicode MS"/>
        </w:rPr>
        <w:t>cada</w:t>
      </w:r>
      <w:r w:rsidRPr="00080728">
        <w:rPr>
          <w:rFonts w:eastAsia="Arial Unicode MS"/>
        </w:rPr>
        <w:t xml:space="preserve"> </w:t>
      </w:r>
      <w:r w:rsidR="00736635" w:rsidRPr="00080728">
        <w:rPr>
          <w:rFonts w:eastAsia="Arial Unicode MS"/>
        </w:rPr>
        <w:t>oficina</w:t>
      </w:r>
      <w:r w:rsidRPr="00080728">
        <w:rPr>
          <w:rFonts w:eastAsia="Arial Unicode MS"/>
        </w:rPr>
        <w:t xml:space="preserve"> regional y de zona, así como otro tipo de información operacional</w:t>
      </w:r>
      <w:r w:rsidR="00736635" w:rsidRPr="00080728">
        <w:rPr>
          <w:rFonts w:eastAsia="Arial Unicode MS"/>
        </w:rPr>
        <w:t>, en particular sobre</w:t>
      </w:r>
      <w:r w:rsidRPr="00080728">
        <w:rPr>
          <w:rFonts w:eastAsia="Arial Unicode MS"/>
        </w:rPr>
        <w:t xml:space="preserve"> becas, expertos y misiones </w:t>
      </w:r>
      <w:r w:rsidR="00736635" w:rsidRPr="00080728">
        <w:rPr>
          <w:rFonts w:eastAsia="Arial Unicode MS"/>
        </w:rPr>
        <w:t xml:space="preserve">internas </w:t>
      </w:r>
      <w:r w:rsidRPr="00080728">
        <w:rPr>
          <w:rFonts w:eastAsia="Arial Unicode MS"/>
        </w:rPr>
        <w:t xml:space="preserve">de expertos. </w:t>
      </w:r>
      <w:r w:rsidR="00FC1032" w:rsidRPr="00080728">
        <w:rPr>
          <w:rFonts w:eastAsia="Arial Unicode MS"/>
        </w:rPr>
        <w:t xml:space="preserve">El </w:t>
      </w:r>
      <w:r w:rsidR="00736635" w:rsidRPr="00080728">
        <w:rPr>
          <w:rFonts w:eastAsia="Arial Unicode MS"/>
        </w:rPr>
        <w:t>informe</w:t>
      </w:r>
      <w:r w:rsidR="00FC1032" w:rsidRPr="00080728">
        <w:rPr>
          <w:rFonts w:eastAsia="Arial Unicode MS"/>
        </w:rPr>
        <w:t xml:space="preserve"> se complementa </w:t>
      </w:r>
      <w:r w:rsidR="00736635" w:rsidRPr="00080728">
        <w:rPr>
          <w:rFonts w:eastAsia="Arial Unicode MS"/>
        </w:rPr>
        <w:t>mediante</w:t>
      </w:r>
      <w:r w:rsidR="00FC1032" w:rsidRPr="00080728">
        <w:rPr>
          <w:rFonts w:eastAsia="Arial Unicode MS"/>
        </w:rPr>
        <w:t xml:space="preserve"> el Documento de información </w:t>
      </w:r>
      <w:hyperlink r:id="rId13" w:history="1">
        <w:r w:rsidR="00FC1032" w:rsidRPr="00080728">
          <w:rPr>
            <w:rStyle w:val="Hyperlink"/>
            <w:rFonts w:eastAsia="Arial Unicode MS"/>
          </w:rPr>
          <w:t>C18/INF/6</w:t>
        </w:r>
      </w:hyperlink>
      <w:r w:rsidR="00FC1032" w:rsidRPr="00080728">
        <w:rPr>
          <w:rFonts w:eastAsia="Arial Unicode MS"/>
        </w:rPr>
        <w:t xml:space="preserve"> que contiene los anexos siguientes:</w:t>
      </w:r>
    </w:p>
    <w:p w:rsidR="00080728" w:rsidRPr="00080728" w:rsidRDefault="000E3B4A" w:rsidP="00080728">
      <w:pPr>
        <w:pStyle w:val="enumlev1"/>
        <w:rPr>
          <w:rFonts w:eastAsia="Arial Unicode MS"/>
        </w:rPr>
      </w:pPr>
      <w:r w:rsidRPr="00080728">
        <w:rPr>
          <w:rFonts w:eastAsia="Arial Unicode MS"/>
        </w:rPr>
        <w:t>•</w:t>
      </w:r>
      <w:r w:rsidRPr="00080728">
        <w:rPr>
          <w:rFonts w:eastAsia="Arial Unicode MS"/>
        </w:rPr>
        <w:tab/>
      </w:r>
      <w:r w:rsidR="00080728" w:rsidRPr="00080728">
        <w:rPr>
          <w:rFonts w:eastAsia="Arial Unicode MS"/>
        </w:rPr>
        <w:t>Anexo 1:</w:t>
      </w:r>
      <w:r w:rsidR="00080728" w:rsidRPr="00080728">
        <w:rPr>
          <w:rFonts w:eastAsia="Arial Unicode MS"/>
        </w:rPr>
        <w:tab/>
      </w:r>
      <w:r w:rsidR="00080728" w:rsidRPr="00080728">
        <w:rPr>
          <w:rFonts w:eastAsia="Arial Unicode MS"/>
        </w:rPr>
        <w:t>Resumen del nivel de implantación del plan operacional y de los proyectos en 2017, incluidos los gastos de las Oficinas Regionales y de Zona en dicho año.</w:t>
      </w:r>
    </w:p>
    <w:p w:rsidR="00080728" w:rsidRPr="00080728" w:rsidRDefault="00080728" w:rsidP="00080728">
      <w:pPr>
        <w:pStyle w:val="enumlev1"/>
        <w:rPr>
          <w:rFonts w:eastAsia="Arial Unicode MS"/>
        </w:rPr>
      </w:pPr>
      <w:r w:rsidRPr="00080728">
        <w:rPr>
          <w:rFonts w:eastAsia="Arial Unicode MS"/>
        </w:rPr>
        <w:t>•</w:t>
      </w:r>
      <w:r w:rsidRPr="00080728">
        <w:rPr>
          <w:rFonts w:eastAsia="Arial Unicode MS"/>
        </w:rPr>
        <w:tab/>
        <w:t>Anexo 2:</w:t>
      </w:r>
      <w:r w:rsidRPr="00080728">
        <w:rPr>
          <w:rFonts w:eastAsia="Arial Unicode MS"/>
        </w:rPr>
        <w:tab/>
        <w:t>Nivel de implantación del plan operacional en 2017, por región y objetivo.</w:t>
      </w:r>
    </w:p>
    <w:p w:rsidR="00080728" w:rsidRPr="00080728" w:rsidRDefault="00080728" w:rsidP="00080728">
      <w:pPr>
        <w:pStyle w:val="enumlev1"/>
        <w:rPr>
          <w:rFonts w:eastAsia="Arial Unicode MS"/>
        </w:rPr>
      </w:pPr>
      <w:r w:rsidRPr="00080728">
        <w:rPr>
          <w:rFonts w:eastAsia="Arial Unicode MS"/>
        </w:rPr>
        <w:t>•</w:t>
      </w:r>
      <w:r w:rsidRPr="00080728">
        <w:rPr>
          <w:rFonts w:eastAsia="Arial Unicode MS"/>
        </w:rPr>
        <w:tab/>
        <w:t>Anexo 3:</w:t>
      </w:r>
      <w:r w:rsidRPr="00080728">
        <w:rPr>
          <w:rFonts w:eastAsia="Arial Unicode MS"/>
        </w:rPr>
        <w:tab/>
        <w:t>Desglose de los gastos de las Oficinas Regionales y de Zona en 2017, por categoría de gastos.</w:t>
      </w:r>
    </w:p>
    <w:p w:rsidR="00080728" w:rsidRPr="00080728" w:rsidRDefault="00080728" w:rsidP="00080728">
      <w:pPr>
        <w:pStyle w:val="enumlev1"/>
        <w:rPr>
          <w:rFonts w:eastAsia="Arial Unicode MS"/>
        </w:rPr>
      </w:pPr>
      <w:r w:rsidRPr="00080728">
        <w:rPr>
          <w:rFonts w:eastAsia="Arial Unicode MS"/>
        </w:rPr>
        <w:t>•</w:t>
      </w:r>
      <w:r w:rsidRPr="00080728">
        <w:rPr>
          <w:rFonts w:eastAsia="Arial Unicode MS"/>
        </w:rPr>
        <w:tab/>
        <w:t>Anexo 4:</w:t>
      </w:r>
      <w:r w:rsidRPr="00080728">
        <w:rPr>
          <w:rFonts w:eastAsia="Arial Unicode MS"/>
        </w:rPr>
        <w:tab/>
        <w:t>Becas concedidas y expertos contratados en 2017.</w:t>
      </w:r>
    </w:p>
    <w:p w:rsidR="00080728" w:rsidRPr="00080728" w:rsidRDefault="00080728" w:rsidP="00080728">
      <w:pPr>
        <w:pStyle w:val="enumlev1"/>
        <w:rPr>
          <w:rFonts w:eastAsia="Arial Unicode MS"/>
        </w:rPr>
      </w:pPr>
      <w:r w:rsidRPr="00080728">
        <w:rPr>
          <w:rFonts w:eastAsia="Arial Unicode MS"/>
        </w:rPr>
        <w:t>•</w:t>
      </w:r>
      <w:r w:rsidRPr="00080728">
        <w:rPr>
          <w:rFonts w:eastAsia="Arial Unicode MS"/>
        </w:rPr>
        <w:tab/>
        <w:t>Anexo 5:</w:t>
      </w:r>
      <w:r w:rsidRPr="00080728">
        <w:rPr>
          <w:rFonts w:eastAsia="Arial Unicode MS"/>
        </w:rPr>
        <w:tab/>
        <w:t>Resumen del nivel de dotación de personal por Oficina Regional y de Zona.</w:t>
      </w:r>
    </w:p>
    <w:p w:rsidR="00080728" w:rsidRPr="00080728" w:rsidRDefault="00080728" w:rsidP="00080728">
      <w:pPr>
        <w:pStyle w:val="enumlev1"/>
        <w:rPr>
          <w:rFonts w:eastAsia="Arial Unicode MS"/>
        </w:rPr>
      </w:pPr>
      <w:r w:rsidRPr="00080728">
        <w:rPr>
          <w:rFonts w:eastAsia="Arial Unicode MS"/>
        </w:rPr>
        <w:t>•</w:t>
      </w:r>
      <w:r w:rsidRPr="00080728">
        <w:rPr>
          <w:rFonts w:eastAsia="Arial Unicode MS"/>
        </w:rPr>
        <w:tab/>
        <w:t>Anexo 6:</w:t>
      </w:r>
      <w:r w:rsidRPr="00080728">
        <w:rPr>
          <w:rFonts w:eastAsia="Arial Unicode MS"/>
        </w:rPr>
        <w:tab/>
        <w:t>Desglose</w:t>
      </w:r>
      <w:r w:rsidRPr="00080728">
        <w:rPr>
          <w:rFonts w:eastAsia="Arial Unicode MS"/>
        </w:rPr>
        <w:t xml:space="preserve"> del nivel de dotación de personal por Oficina Regional y de Zona.</w:t>
      </w:r>
    </w:p>
    <w:p w:rsidR="002805DF" w:rsidRPr="00080728" w:rsidRDefault="002805DF" w:rsidP="00080728">
      <w:r w:rsidRPr="00080728">
        <w:t>1.4</w:t>
      </w:r>
      <w:r w:rsidRPr="00080728">
        <w:tab/>
      </w:r>
      <w:r w:rsidR="00736635" w:rsidRPr="00080728">
        <w:t>Por otro lado</w:t>
      </w:r>
      <w:r w:rsidRPr="00080728">
        <w:t xml:space="preserve">, </w:t>
      </w:r>
      <w:r w:rsidR="007C3755" w:rsidRPr="00080728">
        <w:t>en la Resolución</w:t>
      </w:r>
      <w:r w:rsidRPr="00080728">
        <w:t xml:space="preserve"> 25 </w:t>
      </w:r>
      <w:r w:rsidR="007C3755" w:rsidRPr="00080728">
        <w:t>de la</w:t>
      </w:r>
      <w:r w:rsidRPr="00080728">
        <w:t xml:space="preserve"> PP-14</w:t>
      </w:r>
      <w:r w:rsidR="007C3755" w:rsidRPr="00080728">
        <w:t>, se pide en su Anexo</w:t>
      </w:r>
      <w:r w:rsidRPr="00080728">
        <w:t xml:space="preserve"> </w:t>
      </w:r>
      <w:r w:rsidR="002E7793" w:rsidRPr="00080728">
        <w:t>que</w:t>
      </w:r>
      <w:r w:rsidRPr="00080728">
        <w:t xml:space="preserve"> </w:t>
      </w:r>
      <w:r w:rsidR="002E7793" w:rsidRPr="00080728">
        <w:t xml:space="preserve">se organice </w:t>
      </w:r>
      <w:r w:rsidR="005F3F6C" w:rsidRPr="00080728">
        <w:t>una encuesta cuadrienal acerca del nivel de satisfacción de los Estados Miembros, los Miembros de Sector y las organizaciones regionales de telecomunicaciones en lo tocante a la presencia regional de la UIT</w:t>
      </w:r>
      <w:r w:rsidRPr="00080728">
        <w:t xml:space="preserve">. </w:t>
      </w:r>
      <w:r w:rsidR="007C3755" w:rsidRPr="00080728">
        <w:t>De conformidad con el Anexo a la Resolución</w:t>
      </w:r>
      <w:r w:rsidRPr="00080728">
        <w:t xml:space="preserve"> 25, </w:t>
      </w:r>
      <w:r w:rsidR="005F3F6C" w:rsidRPr="00080728">
        <w:t>"el Consejo deberá considerar en ese momento las medidas apropiadas para informar sobre este particular a la Conferencia de Plenipotenciarios de 2018"</w:t>
      </w:r>
      <w:r w:rsidR="00790744" w:rsidRPr="00080728">
        <w:t>.</w:t>
      </w:r>
    </w:p>
    <w:p w:rsidR="0066783F" w:rsidRPr="00080728" w:rsidRDefault="002805DF" w:rsidP="00AF7EDF">
      <w:r w:rsidRPr="00080728">
        <w:t>1.5</w:t>
      </w:r>
      <w:r w:rsidRPr="00080728">
        <w:tab/>
      </w:r>
      <w:r w:rsidR="00433F65" w:rsidRPr="00080728">
        <w:t>Cabe recordar</w:t>
      </w:r>
      <w:r w:rsidR="007C3755" w:rsidRPr="00080728">
        <w:t xml:space="preserve"> que dicha encuesta se llevó a cabo en 2016, y que sus resultados se presentaron, </w:t>
      </w:r>
      <w:r w:rsidR="00096BB7" w:rsidRPr="00080728">
        <w:t>acompañados de</w:t>
      </w:r>
      <w:r w:rsidR="007C3755" w:rsidRPr="00080728">
        <w:t xml:space="preserve"> un informe, </w:t>
      </w:r>
      <w:r w:rsidR="00433F65" w:rsidRPr="00080728">
        <w:t>en</w:t>
      </w:r>
      <w:r w:rsidR="007C3755" w:rsidRPr="00080728">
        <w:t xml:space="preserve"> la reunión de 2017 del Consejo</w:t>
      </w:r>
      <w:r w:rsidRPr="00080728">
        <w:t xml:space="preserve"> (</w:t>
      </w:r>
      <w:hyperlink r:id="rId14" w:history="1">
        <w:r w:rsidR="007C3755" w:rsidRPr="00080728">
          <w:rPr>
            <w:rStyle w:val="Hyperlink"/>
            <w:szCs w:val="24"/>
          </w:rPr>
          <w:t>C17/INF/12</w:t>
        </w:r>
      </w:hyperlink>
      <w:r w:rsidR="007C3755" w:rsidRPr="00080728">
        <w:rPr>
          <w:rStyle w:val="Hyperlink"/>
          <w:szCs w:val="24"/>
        </w:rPr>
        <w:t>).</w:t>
      </w:r>
      <w:r w:rsidRPr="00080728">
        <w:t xml:space="preserve"> </w:t>
      </w:r>
      <w:r w:rsidR="00096BB7" w:rsidRPr="00080728">
        <w:t>En dicha reunión se tomó nota del</w:t>
      </w:r>
      <w:r w:rsidRPr="00080728">
        <w:t xml:space="preserve"> Document</w:t>
      </w:r>
      <w:r w:rsidR="00096BB7" w:rsidRPr="00080728">
        <w:t>o</w:t>
      </w:r>
      <w:r w:rsidRPr="00080728">
        <w:t xml:space="preserve"> C17/25 (Fortalecimiento de la presencia regional), </w:t>
      </w:r>
      <w:r w:rsidR="00096BB7" w:rsidRPr="00080728">
        <w:t>en el que se aborda la encuesta de satisfacción descrita en el</w:t>
      </w:r>
      <w:r w:rsidRPr="00080728">
        <w:t xml:space="preserve"> Document</w:t>
      </w:r>
      <w:r w:rsidR="00096BB7" w:rsidRPr="00080728">
        <w:t>o</w:t>
      </w:r>
      <w:r w:rsidRPr="00080728">
        <w:t xml:space="preserve"> C17/INF/12. La UIT </w:t>
      </w:r>
      <w:r w:rsidR="00096BB7" w:rsidRPr="00080728">
        <w:t>recibió</w:t>
      </w:r>
      <w:r w:rsidR="000C798C" w:rsidRPr="00080728">
        <w:t> </w:t>
      </w:r>
      <w:r w:rsidRPr="00080728">
        <w:t>129 respuestas a la encuesta, 88 de Estados Miembros y 41 de Miembros de Sector, Asociados, organizaciones regionales y organizaciones internacional</w:t>
      </w:r>
      <w:r w:rsidR="00096BB7" w:rsidRPr="00080728">
        <w:t>es. Los resultados globales son, por lo general,</w:t>
      </w:r>
      <w:r w:rsidRPr="00080728">
        <w:t xml:space="preserve"> satisfactorios </w:t>
      </w:r>
      <w:r w:rsidR="00096BB7" w:rsidRPr="00080728">
        <w:t>en relación con</w:t>
      </w:r>
      <w:r w:rsidRPr="00080728">
        <w:t xml:space="preserve"> todos los aspectos de la encuesta. La amplia mayoría de los participantes en la encuesta </w:t>
      </w:r>
      <w:r w:rsidR="00096BB7" w:rsidRPr="00080728">
        <w:t>señalaron</w:t>
      </w:r>
      <w:r w:rsidRPr="00080728">
        <w:t xml:space="preserve"> que la ubicación d</w:t>
      </w:r>
      <w:r w:rsidR="003C527D" w:rsidRPr="00080728">
        <w:t>e las Oficinas Regionales y de Z</w:t>
      </w:r>
      <w:r w:rsidRPr="00080728">
        <w:t xml:space="preserve">ona es adecuada, y que están familiarizados con las actividades de la UIT a nivel regional. La mayoría de los participantes en la encuesta han indicado también que consideraban apropiado el </w:t>
      </w:r>
      <w:r w:rsidR="00096BB7" w:rsidRPr="00080728">
        <w:t>grado</w:t>
      </w:r>
      <w:r w:rsidRPr="00080728">
        <w:t xml:space="preserve"> de </w:t>
      </w:r>
      <w:r w:rsidR="00096BB7" w:rsidRPr="00080728">
        <w:t xml:space="preserve">dotación de </w:t>
      </w:r>
      <w:r w:rsidRPr="00080728">
        <w:t>personal d</w:t>
      </w:r>
      <w:r w:rsidR="003C527D" w:rsidRPr="00080728">
        <w:t>e las Oficinas Regionales y de Z</w:t>
      </w:r>
      <w:r w:rsidRPr="00080728">
        <w:t>ona.</w:t>
      </w:r>
    </w:p>
    <w:p w:rsidR="00B97EC0" w:rsidRPr="00080728" w:rsidRDefault="00B97EC0" w:rsidP="00E85888">
      <w:pPr>
        <w:pStyle w:val="Heading1"/>
      </w:pPr>
      <w:r w:rsidRPr="00080728">
        <w:t>2</w:t>
      </w:r>
      <w:r w:rsidRPr="00080728">
        <w:tab/>
        <w:t>Logros a nivel regional (Plan operacional, Iniciativas Regionales y proyectos)</w:t>
      </w:r>
    </w:p>
    <w:p w:rsidR="00286FFB" w:rsidRPr="00080728" w:rsidRDefault="00286FFB" w:rsidP="00E85888">
      <w:r w:rsidRPr="00080728">
        <w:t>2.1</w:t>
      </w:r>
      <w:r w:rsidRPr="00080728">
        <w:tab/>
        <w:t xml:space="preserve">La ejecución de Iniciativas Regionales y de los programas, proyectos y actividades se realiza </w:t>
      </w:r>
      <w:r w:rsidR="0037124F" w:rsidRPr="00080728">
        <w:t>sobre</w:t>
      </w:r>
      <w:r w:rsidRPr="00080728">
        <w:t xml:space="preserve"> el terreno bajo los auspicios de las </w:t>
      </w:r>
      <w:r w:rsidR="001F220F" w:rsidRPr="00080728">
        <w:t>Oficinas Regionales y de Zona</w:t>
      </w:r>
      <w:r w:rsidRPr="00080728">
        <w:t xml:space="preserve">. Se informa al GADT y al Consejo de los principales resultados. También figuran en los informes trimestrales, que la Oficina publica desde 2013 con el fin de informar en detalle de la ejecución de los Planes Estratégico, Financiero y Operacional, a nivel regional inclusive. Los informes trimestrales figuran en la siguiente dirección: </w:t>
      </w:r>
      <w:r w:rsidRPr="00080728">
        <w:br/>
      </w:r>
      <w:hyperlink r:id="rId15" w:history="1">
        <w:r w:rsidRPr="00080728">
          <w:rPr>
            <w:rStyle w:val="Hyperlink"/>
            <w:rFonts w:asciiTheme="minorHAnsi" w:hAnsiTheme="minorHAnsi"/>
          </w:rPr>
          <w:t>http://www.itu.int/en/ITU-D/Pages/OperationalPlansPerformanceReports.aspx</w:t>
        </w:r>
      </w:hyperlink>
      <w:r w:rsidRPr="00080728">
        <w:rPr>
          <w:rStyle w:val="Hyperlink"/>
          <w:rFonts w:asciiTheme="minorHAnsi" w:hAnsiTheme="minorHAnsi"/>
          <w:color w:val="auto"/>
          <w:u w:val="none"/>
        </w:rPr>
        <w:t>.</w:t>
      </w:r>
    </w:p>
    <w:p w:rsidR="00963BBE" w:rsidRPr="00080728" w:rsidRDefault="00963BBE" w:rsidP="00E85888">
      <w:r w:rsidRPr="00080728">
        <w:t>2.2</w:t>
      </w:r>
      <w:r w:rsidRPr="00080728">
        <w:tab/>
        <w:t xml:space="preserve">El informe sobre el rendimiento del UIT-D en 2017 explica en detalle la contribución de las </w:t>
      </w:r>
      <w:r w:rsidR="001F220F" w:rsidRPr="00080728">
        <w:t xml:space="preserve">Oficinas Regionales y de Zona </w:t>
      </w:r>
      <w:r w:rsidRPr="00080728">
        <w:t xml:space="preserve">a la ejecución de los Planes Estratégico y Operacional del UIT-D para el año 2017. Ese Informe se puede consultar en la dirección </w:t>
      </w:r>
      <w:hyperlink r:id="rId16" w:history="1">
        <w:r w:rsidRPr="00080728">
          <w:rPr>
            <w:rStyle w:val="Hyperlink"/>
            <w:szCs w:val="24"/>
          </w:rPr>
          <w:t>https://www.itu.int/en/ITU-D/TIES_Protected/PerfReport2017.pdf</w:t>
        </w:r>
      </w:hyperlink>
      <w:r w:rsidRPr="00080728">
        <w:t>.</w:t>
      </w:r>
    </w:p>
    <w:p w:rsidR="00947CEB" w:rsidRPr="00080728" w:rsidRDefault="008D3E49" w:rsidP="00E85888">
      <w:r w:rsidRPr="00080728">
        <w:lastRenderedPageBreak/>
        <w:t>2.3</w:t>
      </w:r>
      <w:r w:rsidRPr="00080728">
        <w:tab/>
        <w:t xml:space="preserve">En 2017, la ejecución del Plan Operacional de la BDT </w:t>
      </w:r>
      <w:r w:rsidR="00096BB7" w:rsidRPr="00080728">
        <w:t xml:space="preserve">(presupuesto ordinario) </w:t>
      </w:r>
      <w:r w:rsidR="00187294" w:rsidRPr="00080728">
        <w:t>abarcó</w:t>
      </w:r>
      <w:r w:rsidR="00AF7EDF" w:rsidRPr="00080728">
        <w:t> </w:t>
      </w:r>
      <w:r w:rsidRPr="00080728">
        <w:t>239 </w:t>
      </w:r>
      <w:r w:rsidR="00AE7A86" w:rsidRPr="00080728">
        <w:t>intervenciones</w:t>
      </w:r>
      <w:r w:rsidRPr="00080728">
        <w:t xml:space="preserve"> </w:t>
      </w:r>
      <w:r w:rsidR="00187294" w:rsidRPr="00080728">
        <w:t>relativas a</w:t>
      </w:r>
      <w:r w:rsidRPr="00080728">
        <w:t xml:space="preserve"> un </w:t>
      </w:r>
      <w:r w:rsidR="004A0269" w:rsidRPr="00080728">
        <w:t>nivel</w:t>
      </w:r>
      <w:r w:rsidRPr="00080728">
        <w:t xml:space="preserve"> de ejecución total de 2</w:t>
      </w:r>
      <w:r w:rsidR="00187294" w:rsidRPr="00080728">
        <w:t xml:space="preserve">,4 </w:t>
      </w:r>
      <w:r w:rsidR="00AF7EDF" w:rsidRPr="00080728">
        <w:t>millones</w:t>
      </w:r>
      <w:r w:rsidRPr="00080728">
        <w:t xml:space="preserve"> CHF (Cuadro 1). El </w:t>
      </w:r>
      <w:r w:rsidR="004A0269" w:rsidRPr="00080728">
        <w:t>nivel</w:t>
      </w:r>
      <w:r w:rsidRPr="00080728">
        <w:t xml:space="preserve"> de ejecución de proyectos de cooperación técnica </w:t>
      </w:r>
      <w:r w:rsidR="00187294" w:rsidRPr="00080728">
        <w:t>se elevó</w:t>
      </w:r>
      <w:r w:rsidRPr="00080728">
        <w:t xml:space="preserve"> a </w:t>
      </w:r>
      <w:r w:rsidR="00187294" w:rsidRPr="00080728">
        <w:t xml:space="preserve">9,4 </w:t>
      </w:r>
      <w:r w:rsidR="00AF7EDF" w:rsidRPr="00080728">
        <w:t>millones</w:t>
      </w:r>
      <w:r w:rsidR="00187294" w:rsidRPr="00080728">
        <w:t xml:space="preserve"> </w:t>
      </w:r>
      <w:r w:rsidR="00433F65" w:rsidRPr="00080728">
        <w:t>USD</w:t>
      </w:r>
      <w:r w:rsidRPr="00080728">
        <w:t xml:space="preserve"> </w:t>
      </w:r>
      <w:r w:rsidR="004A0269" w:rsidRPr="00080728">
        <w:t>para</w:t>
      </w:r>
      <w:r w:rsidRPr="00080728">
        <w:t xml:space="preserve"> 48 proyectos (Cuadro 2).</w:t>
      </w:r>
      <w:r w:rsidRPr="00080728">
        <w:rPr>
          <w:rStyle w:val="FootnoteReference"/>
          <w:sz w:val="20"/>
          <w:szCs w:val="24"/>
          <w:vertAlign w:val="superscript"/>
        </w:rPr>
        <w:footnoteReference w:id="1"/>
      </w:r>
    </w:p>
    <w:p w:rsidR="00992B39" w:rsidRPr="00080728" w:rsidRDefault="00992B39" w:rsidP="00E85888">
      <w:pPr>
        <w:pStyle w:val="Tabletitle"/>
        <w:spacing w:before="240" w:after="0"/>
      </w:pPr>
      <w:r w:rsidRPr="00080728">
        <w:t xml:space="preserve">Cuadro 1. </w:t>
      </w:r>
      <w:r w:rsidR="00187294" w:rsidRPr="00080728">
        <w:t>Ejecución del plan operacional de la BDT en</w:t>
      </w:r>
      <w:r w:rsidRPr="00080728">
        <w:t xml:space="preserve"> 2017</w:t>
      </w:r>
    </w:p>
    <w:p w:rsidR="00992B39" w:rsidRPr="00080728" w:rsidRDefault="00992B39" w:rsidP="00E85888">
      <w:pPr>
        <w:keepNext/>
        <w:keepLines/>
        <w:tabs>
          <w:tab w:val="clear" w:pos="567"/>
          <w:tab w:val="clear" w:pos="1134"/>
          <w:tab w:val="clear" w:pos="1701"/>
          <w:tab w:val="clear" w:pos="2268"/>
          <w:tab w:val="clear" w:pos="2835"/>
        </w:tabs>
        <w:spacing w:before="0" w:after="120"/>
        <w:jc w:val="center"/>
        <w:rPr>
          <w:i/>
          <w:iCs/>
        </w:rPr>
      </w:pPr>
      <w:r w:rsidRPr="00080728">
        <w:rPr>
          <w:i/>
          <w:iCs/>
        </w:rPr>
        <w:t>(</w:t>
      </w:r>
      <w:r w:rsidR="00187294" w:rsidRPr="00080728">
        <w:rPr>
          <w:i/>
          <w:iCs/>
        </w:rPr>
        <w:t>cuantías en miles de francos suizos</w:t>
      </w:r>
      <w:r w:rsidRPr="00080728">
        <w:rPr>
          <w:i/>
          <w:iCs/>
        </w:rPr>
        <w:t xml:space="preserve"> (CHF))</w:t>
      </w:r>
    </w:p>
    <w:p w:rsidR="00947CEB" w:rsidRPr="00080728" w:rsidRDefault="00080728" w:rsidP="00E85888">
      <w:pPr>
        <w:tabs>
          <w:tab w:val="clear" w:pos="567"/>
          <w:tab w:val="clear" w:pos="1134"/>
          <w:tab w:val="clear" w:pos="1701"/>
          <w:tab w:val="clear" w:pos="2268"/>
          <w:tab w:val="clear" w:pos="2835"/>
        </w:tabs>
        <w:spacing w:before="0"/>
        <w:jc w:val="center"/>
      </w:pPr>
      <w:r w:rsidRPr="00080728">
        <w:drawing>
          <wp:inline distT="0" distB="0" distL="0" distR="0">
            <wp:extent cx="6120765" cy="1513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1513297"/>
                    </a:xfrm>
                    <a:prstGeom prst="rect">
                      <a:avLst/>
                    </a:prstGeom>
                    <a:noFill/>
                    <a:ln>
                      <a:noFill/>
                    </a:ln>
                  </pic:spPr>
                </pic:pic>
              </a:graphicData>
            </a:graphic>
          </wp:inline>
        </w:drawing>
      </w:r>
    </w:p>
    <w:p w:rsidR="00B05BC1" w:rsidRPr="00080728" w:rsidRDefault="00B05BC1" w:rsidP="00E85888">
      <w:pPr>
        <w:pStyle w:val="Tabletitle"/>
        <w:keepLines/>
        <w:spacing w:before="240" w:after="0"/>
      </w:pPr>
      <w:r w:rsidRPr="00080728">
        <w:t xml:space="preserve">Cuadro 2. </w:t>
      </w:r>
      <w:r w:rsidR="004A0269" w:rsidRPr="00080728">
        <w:t>Ejecución de proyectos en</w:t>
      </w:r>
      <w:r w:rsidRPr="00080728">
        <w:t xml:space="preserve"> 2017</w:t>
      </w:r>
    </w:p>
    <w:p w:rsidR="00B05BC1" w:rsidRPr="00080728" w:rsidRDefault="00B05BC1" w:rsidP="00E85888">
      <w:pPr>
        <w:keepNext/>
        <w:keepLines/>
        <w:tabs>
          <w:tab w:val="clear" w:pos="567"/>
          <w:tab w:val="clear" w:pos="1134"/>
          <w:tab w:val="clear" w:pos="1701"/>
          <w:tab w:val="clear" w:pos="2268"/>
          <w:tab w:val="clear" w:pos="2835"/>
        </w:tabs>
        <w:spacing w:before="0"/>
        <w:jc w:val="center"/>
        <w:rPr>
          <w:i/>
          <w:iCs/>
        </w:rPr>
      </w:pPr>
      <w:r w:rsidRPr="00080728">
        <w:rPr>
          <w:i/>
          <w:iCs/>
        </w:rPr>
        <w:t>(</w:t>
      </w:r>
      <w:r w:rsidR="004A0269" w:rsidRPr="00080728">
        <w:rPr>
          <w:i/>
          <w:iCs/>
        </w:rPr>
        <w:t xml:space="preserve">cuantías en miles de dólares de Estados Unidos </w:t>
      </w:r>
      <w:r w:rsidRPr="00080728">
        <w:rPr>
          <w:i/>
          <w:iCs/>
        </w:rPr>
        <w:t>(USD))</w:t>
      </w:r>
    </w:p>
    <w:p w:rsidR="00B05BC1" w:rsidRPr="00080728" w:rsidRDefault="00F31B63" w:rsidP="00E85888">
      <w:pPr>
        <w:keepNext/>
        <w:keepLines/>
      </w:pPr>
      <w:r w:rsidRPr="00080728">
        <w:drawing>
          <wp:inline distT="0" distB="0" distL="0" distR="0">
            <wp:extent cx="6120765" cy="15082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1508229"/>
                    </a:xfrm>
                    <a:prstGeom prst="rect">
                      <a:avLst/>
                    </a:prstGeom>
                    <a:noFill/>
                    <a:ln>
                      <a:noFill/>
                    </a:ln>
                  </pic:spPr>
                </pic:pic>
              </a:graphicData>
            </a:graphic>
          </wp:inline>
        </w:drawing>
      </w:r>
    </w:p>
    <w:p w:rsidR="00B05BC1" w:rsidRPr="00080728" w:rsidRDefault="00B05BC1" w:rsidP="00E85888">
      <w:pPr>
        <w:pStyle w:val="Heading2"/>
      </w:pPr>
      <w:r w:rsidRPr="00080728">
        <w:t>2.4</w:t>
      </w:r>
      <w:r w:rsidRPr="00080728">
        <w:tab/>
        <w:t>Región de África</w:t>
      </w:r>
    </w:p>
    <w:p w:rsidR="00577B76" w:rsidRPr="00080728" w:rsidRDefault="00577B76" w:rsidP="00E85888">
      <w:r w:rsidRPr="00080728">
        <w:t>2</w:t>
      </w:r>
      <w:r w:rsidR="004A0269" w:rsidRPr="00080728">
        <w:t>.4.1</w:t>
      </w:r>
      <w:r w:rsidR="004A0269" w:rsidRPr="00080728">
        <w:tab/>
        <w:t>E</w:t>
      </w:r>
      <w:r w:rsidRPr="00080728">
        <w:t xml:space="preserve">n 2017, </w:t>
      </w:r>
      <w:r w:rsidR="004A0269" w:rsidRPr="00080728">
        <w:t xml:space="preserve">la </w:t>
      </w:r>
      <w:r w:rsidRPr="00080728">
        <w:t xml:space="preserve">BDT </w:t>
      </w:r>
      <w:r w:rsidR="004A0269" w:rsidRPr="00080728">
        <w:t>llevó a cabo</w:t>
      </w:r>
      <w:r w:rsidR="00AE7A86" w:rsidRPr="00080728">
        <w:t xml:space="preserve"> </w:t>
      </w:r>
      <w:r w:rsidR="003323FE" w:rsidRPr="00080728">
        <w:t>diversas</w:t>
      </w:r>
      <w:r w:rsidR="004A0269" w:rsidRPr="00080728">
        <w:t xml:space="preserve"> actividades en el marco de 13 proyectos de cooperación técnica </w:t>
      </w:r>
      <w:r w:rsidR="000F6FD1" w:rsidRPr="00080728">
        <w:t xml:space="preserve">en la región de África </w:t>
      </w:r>
      <w:r w:rsidR="004A0269" w:rsidRPr="00080728">
        <w:t>por un</w:t>
      </w:r>
      <w:r w:rsidR="000F6FD1" w:rsidRPr="00080728">
        <w:t>a cuantía</w:t>
      </w:r>
      <w:r w:rsidR="004A0269" w:rsidRPr="00080728">
        <w:t xml:space="preserve"> total </w:t>
      </w:r>
      <w:r w:rsidR="000F6FD1" w:rsidRPr="00080728">
        <w:t xml:space="preserve">aproximada de </w:t>
      </w:r>
      <w:r w:rsidR="004A0269" w:rsidRPr="00080728">
        <w:t xml:space="preserve">3 </w:t>
      </w:r>
      <w:r w:rsidR="00AF7EDF" w:rsidRPr="00080728">
        <w:t>millones</w:t>
      </w:r>
      <w:r w:rsidR="004A0269" w:rsidRPr="00080728">
        <w:t xml:space="preserve"> CHF, en colaboración con los Estados Miembros. Por otro lado, se realizaron actividades sobre </w:t>
      </w:r>
      <w:r w:rsidR="000F6FD1" w:rsidRPr="00080728">
        <w:t xml:space="preserve">48 </w:t>
      </w:r>
      <w:r w:rsidR="00AE7A86" w:rsidRPr="00080728">
        <w:t>intervenciones</w:t>
      </w:r>
      <w:r w:rsidR="000F6FD1" w:rsidRPr="00080728">
        <w:t xml:space="preserve"> por un</w:t>
      </w:r>
      <w:r w:rsidR="00AE7A86" w:rsidRPr="00080728">
        <w:t>a cuantía</w:t>
      </w:r>
      <w:r w:rsidR="000F6FD1" w:rsidRPr="00080728">
        <w:t xml:space="preserve"> total de 597 </w:t>
      </w:r>
      <w:r w:rsidR="00080728">
        <w:t>000 CHF.</w:t>
      </w:r>
      <w:bookmarkStart w:id="9" w:name="_GoBack"/>
      <w:bookmarkEnd w:id="9"/>
    </w:p>
    <w:p w:rsidR="00577B76" w:rsidRPr="00080728" w:rsidRDefault="00577B76" w:rsidP="00E85888">
      <w:r w:rsidRPr="00080728">
        <w:rPr>
          <w:rFonts w:asciiTheme="minorHAnsi" w:hAnsiTheme="minorHAnsi"/>
          <w:szCs w:val="24"/>
        </w:rPr>
        <w:t>2.4.2</w:t>
      </w:r>
      <w:r w:rsidRPr="00080728">
        <w:rPr>
          <w:rFonts w:asciiTheme="minorHAnsi" w:hAnsiTheme="minorHAnsi"/>
          <w:szCs w:val="24"/>
        </w:rPr>
        <w:tab/>
      </w:r>
      <w:r w:rsidR="00AE7A86" w:rsidRPr="00080728">
        <w:rPr>
          <w:rFonts w:asciiTheme="minorHAnsi" w:hAnsiTheme="minorHAnsi"/>
          <w:szCs w:val="24"/>
        </w:rPr>
        <w:t xml:space="preserve">La UIT prestó apoyo a la Unión Africana de Telecomunicaciones (UAT) </w:t>
      </w:r>
      <w:r w:rsidR="00D75547" w:rsidRPr="00080728">
        <w:rPr>
          <w:rFonts w:asciiTheme="minorHAnsi" w:hAnsiTheme="minorHAnsi"/>
          <w:szCs w:val="24"/>
        </w:rPr>
        <w:t xml:space="preserve">para organizar las reuniones preparatorias destinadas a </w:t>
      </w:r>
      <w:r w:rsidR="00FA55A7" w:rsidRPr="00080728">
        <w:rPr>
          <w:rFonts w:asciiTheme="minorHAnsi" w:hAnsiTheme="minorHAnsi"/>
          <w:szCs w:val="24"/>
        </w:rPr>
        <w:t>definir las posturas</w:t>
      </w:r>
      <w:r w:rsidR="00D75547" w:rsidRPr="00080728">
        <w:rPr>
          <w:rFonts w:asciiTheme="minorHAnsi" w:hAnsiTheme="minorHAnsi"/>
          <w:szCs w:val="24"/>
        </w:rPr>
        <w:t xml:space="preserve"> africanas comunes con respecto a la CMDT y la CMR.</w:t>
      </w:r>
      <w:r w:rsidRPr="00080728">
        <w:rPr>
          <w:rFonts w:asciiTheme="minorHAnsi" w:hAnsiTheme="minorHAnsi"/>
          <w:szCs w:val="24"/>
        </w:rPr>
        <w:t xml:space="preserve"> </w:t>
      </w:r>
      <w:r w:rsidR="00A67D61" w:rsidRPr="00080728">
        <w:rPr>
          <w:rFonts w:asciiTheme="minorHAnsi" w:hAnsiTheme="minorHAnsi"/>
          <w:szCs w:val="24"/>
        </w:rPr>
        <w:t>T</w:t>
      </w:r>
      <w:r w:rsidRPr="00080728">
        <w:rPr>
          <w:rFonts w:asciiTheme="minorHAnsi" w:hAnsiTheme="minorHAnsi"/>
          <w:szCs w:val="24"/>
        </w:rPr>
        <w:t xml:space="preserve">ambién facilitó la armonización de políticas y marcos reglamentarios en la región, </w:t>
      </w:r>
      <w:r w:rsidR="00D75547" w:rsidRPr="00080728">
        <w:rPr>
          <w:rFonts w:asciiTheme="minorHAnsi" w:hAnsiTheme="minorHAnsi"/>
          <w:szCs w:val="24"/>
        </w:rPr>
        <w:t>en particular</w:t>
      </w:r>
      <w:r w:rsidRPr="00080728">
        <w:rPr>
          <w:rFonts w:asciiTheme="minorHAnsi" w:hAnsiTheme="minorHAnsi"/>
          <w:szCs w:val="24"/>
        </w:rPr>
        <w:t xml:space="preserve"> la universalización de la banda ancha, l</w:t>
      </w:r>
      <w:r w:rsidR="00D75547" w:rsidRPr="00080728">
        <w:rPr>
          <w:rFonts w:asciiTheme="minorHAnsi" w:hAnsiTheme="minorHAnsi"/>
          <w:szCs w:val="24"/>
        </w:rPr>
        <w:t>os servicios de</w:t>
      </w:r>
      <w:r w:rsidRPr="00080728">
        <w:rPr>
          <w:rFonts w:asciiTheme="minorHAnsi" w:hAnsiTheme="minorHAnsi"/>
          <w:szCs w:val="24"/>
        </w:rPr>
        <w:t xml:space="preserve"> cibersalud mediante aplicaciones móviles</w:t>
      </w:r>
      <w:r w:rsidR="00017E58" w:rsidRPr="00080728">
        <w:rPr>
          <w:rFonts w:asciiTheme="minorHAnsi" w:hAnsiTheme="minorHAnsi"/>
          <w:szCs w:val="24"/>
        </w:rPr>
        <w:t>,</w:t>
      </w:r>
      <w:r w:rsidRPr="00080728">
        <w:rPr>
          <w:rFonts w:asciiTheme="minorHAnsi" w:hAnsiTheme="minorHAnsi"/>
          <w:szCs w:val="24"/>
        </w:rPr>
        <w:t xml:space="preserve"> e IXP regionales y </w:t>
      </w:r>
      <w:r w:rsidR="00017E58" w:rsidRPr="00080728">
        <w:rPr>
          <w:rFonts w:asciiTheme="minorHAnsi" w:hAnsiTheme="minorHAnsi"/>
          <w:szCs w:val="24"/>
        </w:rPr>
        <w:t>subregionales para reducir costo</w:t>
      </w:r>
      <w:r w:rsidRPr="00080728">
        <w:rPr>
          <w:rFonts w:asciiTheme="minorHAnsi" w:hAnsiTheme="minorHAnsi"/>
          <w:szCs w:val="24"/>
        </w:rPr>
        <w:t xml:space="preserve">s de tráfico. </w:t>
      </w:r>
      <w:r w:rsidR="00017E58" w:rsidRPr="00080728">
        <w:rPr>
          <w:rFonts w:asciiTheme="minorHAnsi" w:hAnsiTheme="minorHAnsi"/>
          <w:szCs w:val="24"/>
        </w:rPr>
        <w:t>Se prestó</w:t>
      </w:r>
      <w:r w:rsidR="00D75547" w:rsidRPr="00080728">
        <w:rPr>
          <w:rFonts w:asciiTheme="minorHAnsi" w:hAnsiTheme="minorHAnsi"/>
          <w:szCs w:val="24"/>
        </w:rPr>
        <w:t xml:space="preserve"> asistencia a los países de la región en varias esferas, en particular los planes nacionales modelo sobre banda ancha, la formulación de políticas sobre economía digital, el desarrollo de estrategias y planes empresariales estratégicos para instituciones.</w:t>
      </w:r>
    </w:p>
    <w:p w:rsidR="00B05BC1" w:rsidRPr="00080728" w:rsidRDefault="008E33CF" w:rsidP="00E85888">
      <w:r w:rsidRPr="00080728">
        <w:lastRenderedPageBreak/>
        <w:t>2</w:t>
      </w:r>
      <w:r w:rsidR="00D75547" w:rsidRPr="00080728">
        <w:t>.4.3</w:t>
      </w:r>
      <w:r w:rsidR="00D75547" w:rsidRPr="00080728">
        <w:tab/>
        <w:t xml:space="preserve">Actualmente se están realizando varios proyectos en esferas tales como la reforma institucional, la telemedicina, </w:t>
      </w:r>
      <w:r w:rsidR="00D04E86" w:rsidRPr="00080728">
        <w:t>los servicios de</w:t>
      </w:r>
      <w:r w:rsidR="00D75547" w:rsidRPr="00080728">
        <w:t xml:space="preserve"> banda ancha inalámbrica, la capacitación </w:t>
      </w:r>
      <w:r w:rsidR="00D04E86" w:rsidRPr="00080728">
        <w:t>jurídica</w:t>
      </w:r>
      <w:r w:rsidR="00D75547" w:rsidRPr="00080728">
        <w:t xml:space="preserve">, la </w:t>
      </w:r>
      <w:r w:rsidR="00D04E86" w:rsidRPr="00080728">
        <w:t>implantación</w:t>
      </w:r>
      <w:r w:rsidR="00D75547" w:rsidRPr="00080728">
        <w:t xml:space="preserve"> y mejora de </w:t>
      </w:r>
      <w:r w:rsidR="00D04E86" w:rsidRPr="00080728">
        <w:t>EIII</w:t>
      </w:r>
      <w:r w:rsidR="00D75547" w:rsidRPr="00080728">
        <w:t xml:space="preserve">, </w:t>
      </w:r>
      <w:r w:rsidR="00D04E86" w:rsidRPr="00080728">
        <w:t xml:space="preserve">y los servicios móviles para el control de la diabetes </w:t>
      </w:r>
      <w:r w:rsidR="00D75547" w:rsidRPr="00080728">
        <w:t xml:space="preserve">y </w:t>
      </w:r>
      <w:r w:rsidR="00D04E86" w:rsidRPr="00080728">
        <w:t>del cáncer cervical</w:t>
      </w:r>
      <w:r w:rsidR="00D75547" w:rsidRPr="00080728">
        <w:t xml:space="preserve">. </w:t>
      </w:r>
      <w:r w:rsidR="00D04E86" w:rsidRPr="00080728">
        <w:t>En 2017 se organizaron en la Región varios talleres y foros regionales, en particular en las esferas de la conformidad e interoperabilidad, I</w:t>
      </w:r>
      <w:r w:rsidR="00D75547" w:rsidRPr="00080728">
        <w:t xml:space="preserve">PV6, </w:t>
      </w:r>
      <w:r w:rsidR="00D04E86" w:rsidRPr="00080728">
        <w:t>la c</w:t>
      </w:r>
      <w:r w:rsidR="00D75547" w:rsidRPr="00080728">
        <w:t xml:space="preserve">iberseguridad y </w:t>
      </w:r>
      <w:r w:rsidR="005A4BCE" w:rsidRPr="00080728">
        <w:t>los cibersimulacros</w:t>
      </w:r>
      <w:r w:rsidR="00D75547" w:rsidRPr="00080728">
        <w:t xml:space="preserve">, </w:t>
      </w:r>
      <w:r w:rsidR="00D04E86" w:rsidRPr="00080728">
        <w:t>la IOT, los aspectos económicos y financieros de las TIC, la c</w:t>
      </w:r>
      <w:r w:rsidR="00D75547" w:rsidRPr="00080728">
        <w:t xml:space="preserve">alidad del servicio y </w:t>
      </w:r>
      <w:r w:rsidR="00D04E86" w:rsidRPr="00080728">
        <w:t xml:space="preserve">la </w:t>
      </w:r>
      <w:r w:rsidR="00D75547" w:rsidRPr="00080728">
        <w:t xml:space="preserve">calidad </w:t>
      </w:r>
      <w:r w:rsidR="00D04E86" w:rsidRPr="00080728">
        <w:t>percibida</w:t>
      </w:r>
      <w:r w:rsidR="00D75547" w:rsidRPr="00080728">
        <w:t xml:space="preserve">, </w:t>
      </w:r>
      <w:r w:rsidR="00D04E86" w:rsidRPr="00080728">
        <w:t xml:space="preserve">la </w:t>
      </w:r>
      <w:r w:rsidR="00D75547" w:rsidRPr="00080728">
        <w:t>itinerancia internacional</w:t>
      </w:r>
      <w:r w:rsidR="00D04E86" w:rsidRPr="00080728">
        <w:t>,</w:t>
      </w:r>
      <w:r w:rsidR="00D75547" w:rsidRPr="00080728">
        <w:t xml:space="preserve"> </w:t>
      </w:r>
      <w:r w:rsidR="00D04E86" w:rsidRPr="00080728">
        <w:t xml:space="preserve">el </w:t>
      </w:r>
      <w:r w:rsidR="00D75547" w:rsidRPr="00080728">
        <w:t xml:space="preserve">acceso a las TIC </w:t>
      </w:r>
      <w:r w:rsidR="00D04E86" w:rsidRPr="00080728">
        <w:t>y la inclusión digital</w:t>
      </w:r>
      <w:r w:rsidR="00D75547" w:rsidRPr="00080728">
        <w:t xml:space="preserve">. </w:t>
      </w:r>
      <w:r w:rsidR="00D04E86" w:rsidRPr="00080728">
        <w:t xml:space="preserve">También se organizaron varios talleres nacionales sobre gestión de espectro, mediciones e indicadores sobre las TIC, gestión de EIII, formación de instructores en TIC, PIeL, </w:t>
      </w:r>
      <w:r w:rsidR="00237BBC" w:rsidRPr="00080728">
        <w:t>examen y estrategia sobre evolución de la ciberseguridad, plan de gestión de crisis, capacitación jurídica y calidad de servicio y calidad percibida.</w:t>
      </w:r>
    </w:p>
    <w:p w:rsidR="008E33CF" w:rsidRPr="00080728" w:rsidRDefault="00D74791" w:rsidP="00E85888">
      <w:pPr>
        <w:pStyle w:val="Heading2"/>
      </w:pPr>
      <w:r w:rsidRPr="00080728">
        <w:t>2.6</w:t>
      </w:r>
      <w:r w:rsidRPr="00080728">
        <w:tab/>
        <w:t>Región de las Américas</w:t>
      </w:r>
    </w:p>
    <w:p w:rsidR="00237BBC" w:rsidRPr="00080728" w:rsidRDefault="00CF3EEF" w:rsidP="00E85888">
      <w:r w:rsidRPr="00080728">
        <w:t>2.5.1</w:t>
      </w:r>
      <w:r w:rsidRPr="00080728">
        <w:tab/>
      </w:r>
      <w:r w:rsidR="003323FE" w:rsidRPr="00080728">
        <w:t xml:space="preserve">En 2017, la BDT llevó a cabo diversas actividades en el marco de 11 proyectos de cooperación técnica en la región de las Américas por una cuantía total aproximada de 3,8 </w:t>
      </w:r>
      <w:r w:rsidR="00AF7EDF" w:rsidRPr="00080728">
        <w:t>millones </w:t>
      </w:r>
      <w:r w:rsidR="003323FE" w:rsidRPr="00080728">
        <w:t xml:space="preserve">CHF, en colaboración con los Estados Miembros. Por otro lado, </w:t>
      </w:r>
      <w:r w:rsidR="00AF7EDF" w:rsidRPr="00080728">
        <w:t>se realizaron actividades sobre </w:t>
      </w:r>
      <w:r w:rsidR="003323FE" w:rsidRPr="00080728">
        <w:t>32 intervenciones por una cuantía total de 649 000 CHF.</w:t>
      </w:r>
    </w:p>
    <w:p w:rsidR="00237BBC" w:rsidRPr="00080728" w:rsidRDefault="00237BBC" w:rsidP="00E85888">
      <w:r w:rsidRPr="00080728">
        <w:t>2.5.2</w:t>
      </w:r>
      <w:r w:rsidR="001225C7" w:rsidRPr="00080728">
        <w:tab/>
      </w:r>
      <w:r w:rsidR="003323FE" w:rsidRPr="00080728">
        <w:t>Se prestó asistencia y apoyo directos a varios países de la Regi</w:t>
      </w:r>
      <w:r w:rsidR="00CD0C04" w:rsidRPr="00080728">
        <w:t xml:space="preserve">ón con respecto a los marcos políticos y reglamentarios relativos a actividades de </w:t>
      </w:r>
      <w:r w:rsidRPr="00080728">
        <w:t xml:space="preserve">gestión de desechos electrónicos, </w:t>
      </w:r>
      <w:r w:rsidR="00CD0C04" w:rsidRPr="00080728">
        <w:t>formulación</w:t>
      </w:r>
      <w:r w:rsidRPr="00080728">
        <w:t xml:space="preserve"> de planes nacionales de TIC, </w:t>
      </w:r>
      <w:r w:rsidR="00CD0C04" w:rsidRPr="00080728">
        <w:t>elaboración</w:t>
      </w:r>
      <w:r w:rsidRPr="00080728">
        <w:t xml:space="preserve"> de directrices para la transición de la radiodifusión analógica a la digital, despliegue de infraestructura</w:t>
      </w:r>
      <w:r w:rsidR="00CD0C04" w:rsidRPr="00080728">
        <w:t>s</w:t>
      </w:r>
      <w:r w:rsidRPr="00080728">
        <w:t xml:space="preserve">, </w:t>
      </w:r>
      <w:r w:rsidR="00CD0C04" w:rsidRPr="00080728">
        <w:t>formación sobre</w:t>
      </w:r>
      <w:r w:rsidRPr="00080728">
        <w:t xml:space="preserve"> accesibilidad</w:t>
      </w:r>
      <w:r w:rsidR="00CD0C04" w:rsidRPr="00080728">
        <w:t xml:space="preserve"> web</w:t>
      </w:r>
      <w:r w:rsidRPr="00080728">
        <w:t xml:space="preserve">, etc. Se impartió </w:t>
      </w:r>
      <w:r w:rsidR="00CD0C04" w:rsidRPr="00080728">
        <w:t>formación</w:t>
      </w:r>
      <w:r w:rsidRPr="00080728">
        <w:t xml:space="preserve"> en línea </w:t>
      </w:r>
      <w:r w:rsidR="00CD0C04" w:rsidRPr="00080728">
        <w:t xml:space="preserve">a más de 150 personas indígenas de 16 países </w:t>
      </w:r>
      <w:r w:rsidRPr="00080728">
        <w:t xml:space="preserve">sobre herramientas de comunicación innovadoras </w:t>
      </w:r>
      <w:r w:rsidR="00CD0C04" w:rsidRPr="00080728">
        <w:t>a fin de</w:t>
      </w:r>
      <w:r w:rsidRPr="00080728">
        <w:t xml:space="preserve"> </w:t>
      </w:r>
      <w:r w:rsidR="00CD0C04" w:rsidRPr="00080728">
        <w:t xml:space="preserve">facilitar </w:t>
      </w:r>
      <w:r w:rsidRPr="00080728">
        <w:t>la inclusión de pueblos indígenas</w:t>
      </w:r>
      <w:r w:rsidR="00CD0C04" w:rsidRPr="00080728">
        <w:t xml:space="preserve"> y mejorar su situación</w:t>
      </w:r>
      <w:r w:rsidRPr="00080728">
        <w:t>.</w:t>
      </w:r>
    </w:p>
    <w:p w:rsidR="00CF3EEF" w:rsidRPr="00080728" w:rsidRDefault="00237BBC" w:rsidP="001225C7">
      <w:pPr>
        <w:rPr>
          <w:color w:val="000000"/>
        </w:rPr>
      </w:pPr>
      <w:r w:rsidRPr="00080728">
        <w:t>2.5.3</w:t>
      </w:r>
      <w:r w:rsidR="001225C7" w:rsidRPr="00080728">
        <w:tab/>
      </w:r>
      <w:r w:rsidR="00CD0C04" w:rsidRPr="00080728">
        <w:t xml:space="preserve">También se organizaron </w:t>
      </w:r>
      <w:r w:rsidR="005A4BCE" w:rsidRPr="00080728">
        <w:t>e impartieron en 2017 en la Región de las Américas v</w:t>
      </w:r>
      <w:r w:rsidRPr="00080728">
        <w:t xml:space="preserve">arios talleres y foros regionales sobre conformidad e </w:t>
      </w:r>
      <w:r w:rsidR="005A4BCE" w:rsidRPr="00080728">
        <w:t>i</w:t>
      </w:r>
      <w:r w:rsidRPr="00080728">
        <w:t xml:space="preserve">nteroperabilidad, </w:t>
      </w:r>
      <w:r w:rsidR="005A4BCE" w:rsidRPr="00080728">
        <w:t>gobernanza de Internet, c</w:t>
      </w:r>
      <w:r w:rsidRPr="00080728">
        <w:t xml:space="preserve">iberacoso, </w:t>
      </w:r>
      <w:r w:rsidR="005A4BCE" w:rsidRPr="00080728">
        <w:t xml:space="preserve">accesibilidad a las TIC e inclusión digital, ciberseguridad y cibersimulacros, telecomunicaciones de emergencia e IOT. Se impartieron asimismo </w:t>
      </w:r>
      <w:r w:rsidRPr="00080728">
        <w:t xml:space="preserve">varios cursos en línea </w:t>
      </w:r>
      <w:r w:rsidR="005A4BCE" w:rsidRPr="00080728">
        <w:t xml:space="preserve">en el marco de </w:t>
      </w:r>
      <w:r w:rsidRPr="00080728">
        <w:t xml:space="preserve">la Academia de la UIT </w:t>
      </w:r>
      <w:r w:rsidR="005A4BCE" w:rsidRPr="00080728">
        <w:t>sobre</w:t>
      </w:r>
      <w:r w:rsidRPr="00080728">
        <w:t xml:space="preserve"> espectro radioeléctrico, el papel de las TIC en</w:t>
      </w:r>
      <w:r w:rsidR="005A4BCE" w:rsidRPr="00080728">
        <w:t xml:space="preserve"> las</w:t>
      </w:r>
      <w:r w:rsidRPr="00080728">
        <w:t xml:space="preserve"> ciudades inteligentes y sostenibles, las redes ópticas y </w:t>
      </w:r>
      <w:r w:rsidR="005A4BCE" w:rsidRPr="00080728">
        <w:t xml:space="preserve">las </w:t>
      </w:r>
      <w:r w:rsidRPr="00080728">
        <w:t xml:space="preserve">NGN, </w:t>
      </w:r>
      <w:r w:rsidR="005A4BCE" w:rsidRPr="00080728">
        <w:t xml:space="preserve">y </w:t>
      </w:r>
      <w:r w:rsidRPr="00080728">
        <w:t xml:space="preserve">la regulación de los servicios de espectro y telecomunicaciones, </w:t>
      </w:r>
      <w:r w:rsidR="005A4BCE" w:rsidRPr="00080728">
        <w:t>entre otros temas</w:t>
      </w:r>
      <w:r w:rsidRPr="00080728">
        <w:t xml:space="preserve">. Se preparó un proyecto piloto sobre el establecimiento de una Red </w:t>
      </w:r>
      <w:r w:rsidR="005A4BCE" w:rsidRPr="00080728">
        <w:t xml:space="preserve">Regional Alternativa </w:t>
      </w:r>
      <w:r w:rsidRPr="00080728">
        <w:t xml:space="preserve">de Telecomunicaciones de Emergencia </w:t>
      </w:r>
      <w:r w:rsidR="005A4BCE" w:rsidRPr="00080728">
        <w:t>para</w:t>
      </w:r>
      <w:r w:rsidRPr="00080728">
        <w:t xml:space="preserve"> la Región de las Américas </w:t>
      </w:r>
      <w:r w:rsidR="005A4BCE" w:rsidRPr="00080728">
        <w:t>a raíz de los esfuerzos conjuntos desplegados por</w:t>
      </w:r>
      <w:r w:rsidRPr="00080728">
        <w:t xml:space="preserve"> la UIT, CITEL y COMTELCA. Se </w:t>
      </w:r>
      <w:r w:rsidR="005A4BCE" w:rsidRPr="00080728">
        <w:t>llevó a cabo</w:t>
      </w:r>
      <w:r w:rsidRPr="00080728">
        <w:t xml:space="preserve"> un estudio de evaluación de conformidad e interoperabilidad con el </w:t>
      </w:r>
      <w:r w:rsidR="005A4BCE" w:rsidRPr="00080728">
        <w:t xml:space="preserve">principal </w:t>
      </w:r>
      <w:r w:rsidRPr="00080728">
        <w:t xml:space="preserve">objetivo de </w:t>
      </w:r>
      <w:r w:rsidR="005A4BCE" w:rsidRPr="00080728">
        <w:t xml:space="preserve">formular propuestas sobre posibles medidas </w:t>
      </w:r>
      <w:r w:rsidR="007B7396" w:rsidRPr="00080728">
        <w:t>para la</w:t>
      </w:r>
      <w:r w:rsidR="005A4BCE" w:rsidRPr="00080728">
        <w:t xml:space="preserve"> mejora </w:t>
      </w:r>
      <w:r w:rsidR="007B7396" w:rsidRPr="00080728">
        <w:t>de la C+I en la R</w:t>
      </w:r>
      <w:r w:rsidRPr="00080728">
        <w:t>egión</w:t>
      </w:r>
      <w:r w:rsidR="00CF3EEF" w:rsidRPr="00080728">
        <w:rPr>
          <w:color w:val="000000"/>
        </w:rPr>
        <w:t xml:space="preserve">. </w:t>
      </w:r>
    </w:p>
    <w:p w:rsidR="00CF3EEF" w:rsidRPr="00080728" w:rsidRDefault="00CF3EEF" w:rsidP="00AF7EDF">
      <w:pPr>
        <w:pStyle w:val="Heading2"/>
      </w:pPr>
      <w:r w:rsidRPr="00080728">
        <w:t>2.6</w:t>
      </w:r>
      <w:r w:rsidRPr="00080728">
        <w:tab/>
        <w:t xml:space="preserve">Región </w:t>
      </w:r>
      <w:r w:rsidR="00AF7EDF" w:rsidRPr="00080728">
        <w:t>de los Estados Árabes</w:t>
      </w:r>
    </w:p>
    <w:p w:rsidR="007B7396" w:rsidRPr="00080728" w:rsidRDefault="005C4809" w:rsidP="00AF7EDF">
      <w:r w:rsidRPr="00080728">
        <w:t>2.6.1</w:t>
      </w:r>
      <w:r w:rsidRPr="00080728">
        <w:tab/>
      </w:r>
      <w:r w:rsidR="007B7396" w:rsidRPr="00080728">
        <w:t xml:space="preserve">En 2017, la BDT llevó a cabo diversas actividades en el marco de ocho proyectos de cooperación técnica en la </w:t>
      </w:r>
      <w:r w:rsidR="00AF7EDF" w:rsidRPr="00080728">
        <w:t>Región de los Estados Árabes</w:t>
      </w:r>
      <w:r w:rsidR="007B7396" w:rsidRPr="00080728">
        <w:t xml:space="preserve"> por una cuantía total</w:t>
      </w:r>
      <w:r w:rsidR="00AF7EDF" w:rsidRPr="00080728">
        <w:t xml:space="preserve"> aproximada de 865 000 millones </w:t>
      </w:r>
      <w:r w:rsidR="007B7396" w:rsidRPr="00080728">
        <w:t>CHF, en colaboración con los Estados Miembros. Por otro lado, se realizaron actividades sobre 32 intervenciones por una cuantía total de 369 000 CHF.</w:t>
      </w:r>
    </w:p>
    <w:p w:rsidR="007B7396" w:rsidRPr="00080728" w:rsidRDefault="007B7396" w:rsidP="001225C7">
      <w:r w:rsidRPr="00080728">
        <w:t>2.6.2</w:t>
      </w:r>
      <w:r w:rsidR="001225C7" w:rsidRPr="00080728">
        <w:tab/>
      </w:r>
      <w:r w:rsidRPr="00080728">
        <w:t xml:space="preserve">En el marco de la red de CoE de la UIT para la </w:t>
      </w:r>
      <w:r w:rsidR="00AF7EDF" w:rsidRPr="00080728">
        <w:t>Región de los Estados Árabes</w:t>
      </w:r>
      <w:r w:rsidRPr="00080728">
        <w:t xml:space="preserve"> se organizaron diez cursos de capacitación sobre diversos aspectos de las aplicaciones y los servicios de las TIC, y se impartió formación a más de 250 participantes. Se suscribió un acuerdo de cooperación con Deutsche Gesellschaft für Internationale Zusammenarbeit (GIZ), </w:t>
      </w:r>
      <w:r w:rsidR="00F32FF8" w:rsidRPr="00080728">
        <w:t xml:space="preserve">en el marco del Proyecto de </w:t>
      </w:r>
      <w:r w:rsidR="00F32FF8" w:rsidRPr="00080728">
        <w:lastRenderedPageBreak/>
        <w:t xml:space="preserve">Promoción de Empleo (PPE), </w:t>
      </w:r>
      <w:r w:rsidRPr="00080728">
        <w:t>para la organización de</w:t>
      </w:r>
      <w:r w:rsidR="00F32FF8" w:rsidRPr="00080728">
        <w:t xml:space="preserve"> eventos relativos al</w:t>
      </w:r>
      <w:r w:rsidRPr="00080728">
        <w:t xml:space="preserve"> "</w:t>
      </w:r>
      <w:r w:rsidR="00F32FF8" w:rsidRPr="00080728">
        <w:t xml:space="preserve">Día de las Niñas en las TIC" </w:t>
      </w:r>
      <w:r w:rsidRPr="00080728">
        <w:t xml:space="preserve">hasta 2019. Se prestó </w:t>
      </w:r>
      <w:r w:rsidR="00F32FF8" w:rsidRPr="00080728">
        <w:t>apoyo</w:t>
      </w:r>
      <w:r w:rsidRPr="00080728">
        <w:t xml:space="preserve"> a la </w:t>
      </w:r>
      <w:r w:rsidR="00F32FF8" w:rsidRPr="00080728">
        <w:t xml:space="preserve">Red Árabe de Centros de establecimiento de empresas y de Parques Tecnológicos </w:t>
      </w:r>
      <w:r w:rsidR="00231814" w:rsidRPr="00080728">
        <w:t>(</w:t>
      </w:r>
      <w:r w:rsidRPr="00080728">
        <w:t xml:space="preserve">ARTECNET) y </w:t>
      </w:r>
      <w:r w:rsidR="00F32FF8" w:rsidRPr="00080728">
        <w:t xml:space="preserve">se realizó </w:t>
      </w:r>
      <w:r w:rsidRPr="00080728">
        <w:t>un estudio sobre redes de banda ancha y desarrollo de IXP.</w:t>
      </w:r>
    </w:p>
    <w:p w:rsidR="00D74791" w:rsidRPr="00080728" w:rsidRDefault="007B7396" w:rsidP="001225C7">
      <w:r w:rsidRPr="00080728">
        <w:t>2.6.3</w:t>
      </w:r>
      <w:r w:rsidR="001225C7" w:rsidRPr="00080728">
        <w:tab/>
      </w:r>
      <w:r w:rsidR="00F32FF8" w:rsidRPr="00080728">
        <w:t>Por otro lado, se organizaron en la Región diversas</w:t>
      </w:r>
      <w:r w:rsidRPr="00080728">
        <w:t xml:space="preserve"> actividades de capacitación </w:t>
      </w:r>
      <w:r w:rsidR="00F32FF8" w:rsidRPr="00080728">
        <w:t>sobre IoT,</w:t>
      </w:r>
      <w:r w:rsidRPr="00080728">
        <w:t xml:space="preserve"> desarrollo de ciudades inteligentes, las TIC y el </w:t>
      </w:r>
      <w:r w:rsidR="00F32FF8" w:rsidRPr="00080728">
        <w:t>c</w:t>
      </w:r>
      <w:r w:rsidRPr="00080728">
        <w:t xml:space="preserve">ambio </w:t>
      </w:r>
      <w:r w:rsidR="00F32FF8" w:rsidRPr="00080728">
        <w:t>c</w:t>
      </w:r>
      <w:r w:rsidRPr="00080728">
        <w:t>limático</w:t>
      </w:r>
      <w:r w:rsidR="00F32FF8" w:rsidRPr="00080728">
        <w:t>,</w:t>
      </w:r>
      <w:r w:rsidRPr="00080728">
        <w:t xml:space="preserve"> y l</w:t>
      </w:r>
      <w:r w:rsidR="00F32FF8" w:rsidRPr="00080728">
        <w:t>a utilización de l</w:t>
      </w:r>
      <w:r w:rsidRPr="00080728">
        <w:t xml:space="preserve">as TIC para la gestión de </w:t>
      </w:r>
      <w:r w:rsidR="00F32FF8" w:rsidRPr="00080728">
        <w:t>catástrofes</w:t>
      </w:r>
      <w:r w:rsidRPr="00080728">
        <w:t xml:space="preserve">. Se brindó asistencia directa a Palestina, Somalia y Sudán </w:t>
      </w:r>
      <w:r w:rsidR="008048AA" w:rsidRPr="00080728">
        <w:t xml:space="preserve">respectivamente </w:t>
      </w:r>
      <w:r w:rsidR="00231814" w:rsidRPr="00080728">
        <w:t xml:space="preserve">en </w:t>
      </w:r>
      <w:r w:rsidR="008048AA" w:rsidRPr="00080728">
        <w:t>las esferas de</w:t>
      </w:r>
      <w:r w:rsidRPr="00080728">
        <w:t xml:space="preserve"> portabilidad de números móviles, </w:t>
      </w:r>
      <w:r w:rsidR="008048AA" w:rsidRPr="00080728">
        <w:t>planes de</w:t>
      </w:r>
      <w:r w:rsidRPr="00080728">
        <w:t xml:space="preserve"> numeración nacional y </w:t>
      </w:r>
      <w:r w:rsidR="008048AA" w:rsidRPr="00080728">
        <w:t>sistemas de evaluación</w:t>
      </w:r>
      <w:r w:rsidRPr="00080728">
        <w:t xml:space="preserve">. </w:t>
      </w:r>
      <w:r w:rsidR="008048AA" w:rsidRPr="00080728">
        <w:t>También se proporcionó asistencia a los países</w:t>
      </w:r>
      <w:r w:rsidRPr="00080728">
        <w:t xml:space="preserve"> </w:t>
      </w:r>
      <w:r w:rsidR="008048AA" w:rsidRPr="00080728">
        <w:t>en materia de capacitación</w:t>
      </w:r>
      <w:r w:rsidRPr="00080728">
        <w:t xml:space="preserve"> </w:t>
      </w:r>
      <w:r w:rsidR="008048AA" w:rsidRPr="00080728">
        <w:t>en</w:t>
      </w:r>
      <w:r w:rsidRPr="00080728">
        <w:t xml:space="preserve"> gestión de</w:t>
      </w:r>
      <w:r w:rsidR="008048AA" w:rsidRPr="00080728">
        <w:t>l</w:t>
      </w:r>
      <w:r w:rsidRPr="00080728">
        <w:t xml:space="preserve"> espectro y coordinación de frecuencias. </w:t>
      </w:r>
      <w:r w:rsidR="008048AA" w:rsidRPr="00080728">
        <w:t>Prosiguieron</w:t>
      </w:r>
      <w:r w:rsidRPr="00080728">
        <w:t xml:space="preserve"> los esfuerzos </w:t>
      </w:r>
      <w:r w:rsidR="008048AA" w:rsidRPr="00080728">
        <w:t>en relación con la temática de la ciberseguridad en el marco de la organización de cumbres y cibersimulacros regionales anuales, así como actividades de protección de la infancia en línea. Se promovió la</w:t>
      </w:r>
      <w:r w:rsidRPr="00080728">
        <w:t xml:space="preserve"> accesibilidad a las TIC </w:t>
      </w:r>
      <w:r w:rsidR="008048AA" w:rsidRPr="00080728">
        <w:t>mediante la organización de</w:t>
      </w:r>
      <w:r w:rsidRPr="00080728">
        <w:t xml:space="preserve"> la Semana Regional de Accesibilidad a las TIC</w:t>
      </w:r>
      <w:r w:rsidR="005C4809" w:rsidRPr="00080728">
        <w:t>.</w:t>
      </w:r>
    </w:p>
    <w:p w:rsidR="00534A80" w:rsidRPr="00080728" w:rsidRDefault="00534A80" w:rsidP="00E85888">
      <w:pPr>
        <w:pStyle w:val="Heading2"/>
      </w:pPr>
      <w:r w:rsidRPr="00080728">
        <w:t>2.7</w:t>
      </w:r>
      <w:r w:rsidRPr="00080728">
        <w:tab/>
        <w:t>Región de Asia y el Pacífico</w:t>
      </w:r>
    </w:p>
    <w:p w:rsidR="003767EF" w:rsidRPr="00080728" w:rsidRDefault="004A731A" w:rsidP="00AF7EDF">
      <w:r w:rsidRPr="00080728">
        <w:t>2.7.1</w:t>
      </w:r>
      <w:r w:rsidRPr="00080728">
        <w:tab/>
        <w:t>En 2017, la BDT llevó a cabo diversas actividades en el marco de 14 proyectos de cooperación técnica en la Región de Asia y el Pacífico por una cuantía total aproximada de 1,4 millones CHF, en colaboración con los Estados Miembros. Por otro lado, se llevaron a cabo actividades sobre 40 intervenciones por una cuantía total de 371 000 CHF.</w:t>
      </w:r>
    </w:p>
    <w:p w:rsidR="003767EF" w:rsidRPr="00080728" w:rsidRDefault="003767EF" w:rsidP="00E85888">
      <w:r w:rsidRPr="00080728">
        <w:t>2.7.2</w:t>
      </w:r>
      <w:r w:rsidRPr="00080728">
        <w:tab/>
        <w:t xml:space="preserve">Se </w:t>
      </w:r>
      <w:r w:rsidR="004A731A" w:rsidRPr="00080728">
        <w:t>hizo hincapié</w:t>
      </w:r>
      <w:r w:rsidRPr="00080728">
        <w:t xml:space="preserve"> en la capacitación y la prestación de asistencia especializada </w:t>
      </w:r>
      <w:r w:rsidR="00B22F88" w:rsidRPr="00080728">
        <w:t xml:space="preserve">sobre </w:t>
      </w:r>
      <w:r w:rsidR="00795574" w:rsidRPr="00080728">
        <w:t>gestión del espectro y</w:t>
      </w:r>
      <w:r w:rsidRPr="00080728">
        <w:t xml:space="preserve"> </w:t>
      </w:r>
      <w:r w:rsidR="00795574" w:rsidRPr="00080728">
        <w:t xml:space="preserve">elaboración de planes de </w:t>
      </w:r>
      <w:r w:rsidRPr="00080728">
        <w:t xml:space="preserve">comprobación técnica </w:t>
      </w:r>
      <w:r w:rsidR="00795574" w:rsidRPr="00080728">
        <w:t>del mismo,</w:t>
      </w:r>
      <w:r w:rsidRPr="00080728">
        <w:t xml:space="preserve"> preparación de marcos</w:t>
      </w:r>
      <w:r w:rsidR="00B22F88" w:rsidRPr="00080728">
        <w:t xml:space="preserve"> políticos y</w:t>
      </w:r>
      <w:r w:rsidRPr="00080728">
        <w:t xml:space="preserve"> </w:t>
      </w:r>
      <w:r w:rsidR="00B22F88" w:rsidRPr="00080728">
        <w:t>reglamentarios</w:t>
      </w:r>
      <w:r w:rsidRPr="00080728">
        <w:t>, ciberseguridad y protección de la infancia en línea, banda ancha, conformidad</w:t>
      </w:r>
      <w:r w:rsidR="00B22F88" w:rsidRPr="00080728">
        <w:t>,</w:t>
      </w:r>
      <w:r w:rsidRPr="00080728">
        <w:t xml:space="preserve"> interoperabilidad</w:t>
      </w:r>
      <w:r w:rsidR="00B22F88" w:rsidRPr="00080728">
        <w:t xml:space="preserve"> y homologaciones</w:t>
      </w:r>
      <w:r w:rsidRPr="00080728">
        <w:t xml:space="preserve">, radiodifusión, aplicaciones TIC, </w:t>
      </w:r>
      <w:r w:rsidR="00B22F88" w:rsidRPr="00080728">
        <w:t xml:space="preserve">marcos de licencias convergentes, calidad de servicio, </w:t>
      </w:r>
      <w:r w:rsidRPr="00080728">
        <w:t>indicadores y estadí</w:t>
      </w:r>
      <w:r w:rsidR="00AF7EDF" w:rsidRPr="00080728">
        <w:t>sticas de TIC, Internet de las c</w:t>
      </w:r>
      <w:r w:rsidRPr="00080728">
        <w:t xml:space="preserve">osas, </w:t>
      </w:r>
      <w:r w:rsidR="000C798C" w:rsidRPr="00080728">
        <w:t xml:space="preserve">intercambio internet, interconexión de redes para la distribución de contenido e implantación de la </w:t>
      </w:r>
      <w:r w:rsidRPr="00080728">
        <w:t xml:space="preserve">IPv6, </w:t>
      </w:r>
      <w:r w:rsidR="00B22F88" w:rsidRPr="00080728">
        <w:t>TIC para la promoción de la innovación y la creación de empresas, TIC para el empoderamiento de la mujer, cibergobernanza, ciudades</w:t>
      </w:r>
      <w:r w:rsidR="00567D12" w:rsidRPr="00080728">
        <w:t xml:space="preserve"> inteligentes y sostenibles, y ciberagricultura, entre</w:t>
      </w:r>
      <w:r w:rsidRPr="00080728">
        <w:t xml:space="preserve"> otros tipos de asistencia técnica y reglamentaria.</w:t>
      </w:r>
    </w:p>
    <w:p w:rsidR="003767EF" w:rsidRPr="00080728" w:rsidRDefault="003767EF" w:rsidP="00E85888">
      <w:r w:rsidRPr="00080728">
        <w:t>2.7.3</w:t>
      </w:r>
      <w:r w:rsidRPr="00080728">
        <w:tab/>
        <w:t>En el ámbito de la formación, se siguió haciendo hincapié</w:t>
      </w:r>
      <w:r w:rsidR="008B1593" w:rsidRPr="00080728">
        <w:t xml:space="preserve">, entre otros aspectos, </w:t>
      </w:r>
      <w:r w:rsidRPr="00080728">
        <w:t xml:space="preserve">en </w:t>
      </w:r>
      <w:r w:rsidR="00433F65" w:rsidRPr="00080728">
        <w:t xml:space="preserve">las </w:t>
      </w:r>
      <w:r w:rsidRPr="00080728">
        <w:t xml:space="preserve">tecnologías </w:t>
      </w:r>
      <w:r w:rsidR="00433F65" w:rsidRPr="00080728">
        <w:t xml:space="preserve">inteligentes </w:t>
      </w:r>
      <w:r w:rsidRPr="00080728">
        <w:t xml:space="preserve">sostenibles, </w:t>
      </w:r>
      <w:r w:rsidR="00433F65" w:rsidRPr="00080728">
        <w:t xml:space="preserve">las </w:t>
      </w:r>
      <w:r w:rsidRPr="00080728">
        <w:t>aplicaciones</w:t>
      </w:r>
      <w:r w:rsidR="00433F65" w:rsidRPr="00080728">
        <w:t xml:space="preserve"> electrónicas</w:t>
      </w:r>
      <w:r w:rsidRPr="00080728">
        <w:t xml:space="preserve">, </w:t>
      </w:r>
      <w:r w:rsidR="00433F65" w:rsidRPr="00080728">
        <w:t>la c</w:t>
      </w:r>
      <w:r w:rsidRPr="00080728">
        <w:t xml:space="preserve">omputación en la nube, </w:t>
      </w:r>
      <w:r w:rsidR="00433F65" w:rsidRPr="00080728">
        <w:t xml:space="preserve">la </w:t>
      </w:r>
      <w:r w:rsidRPr="00080728">
        <w:t xml:space="preserve">seguridad </w:t>
      </w:r>
      <w:r w:rsidR="00433F65" w:rsidRPr="00080728">
        <w:t>de las infraestructuras</w:t>
      </w:r>
      <w:r w:rsidRPr="00080728">
        <w:t xml:space="preserve"> IPv6</w:t>
      </w:r>
      <w:r w:rsidR="00433F65" w:rsidRPr="00080728">
        <w:t xml:space="preserve"> y la transición a las mismas</w:t>
      </w:r>
      <w:r w:rsidRPr="00080728">
        <w:t xml:space="preserve">, </w:t>
      </w:r>
      <w:r w:rsidR="00433F65" w:rsidRPr="00080728">
        <w:t xml:space="preserve">los nodos de intercambio de tráfico de </w:t>
      </w:r>
      <w:r w:rsidRPr="00080728">
        <w:t xml:space="preserve">Internet, </w:t>
      </w:r>
      <w:r w:rsidR="00433F65" w:rsidRPr="00080728">
        <w:t xml:space="preserve">la </w:t>
      </w:r>
      <w:r w:rsidRPr="00080728">
        <w:t xml:space="preserve">ciberseguridad y protección de la infancia en línea, indicadores y estadísticas de TIC, tecnologías y hojas de ruta </w:t>
      </w:r>
      <w:r w:rsidR="00433F65" w:rsidRPr="00080728">
        <w:t>relativas a la</w:t>
      </w:r>
      <w:r w:rsidRPr="00080728">
        <w:t xml:space="preserve"> banda ancha, conformidad e interoperabilidad, Internet de las cosas, </w:t>
      </w:r>
      <w:r w:rsidR="00433F65" w:rsidRPr="00080728">
        <w:t>aspectos económicos</w:t>
      </w:r>
      <w:r w:rsidRPr="00080728">
        <w:t xml:space="preserve"> del espectro, </w:t>
      </w:r>
      <w:r w:rsidR="008B1593" w:rsidRPr="00080728">
        <w:t xml:space="preserve">instrumentos de </w:t>
      </w:r>
      <w:r w:rsidRPr="00080728">
        <w:t xml:space="preserve">comprobación técnica y </w:t>
      </w:r>
      <w:r w:rsidR="008B1593" w:rsidRPr="00080728">
        <w:t>automatización</w:t>
      </w:r>
      <w:r w:rsidRPr="00080728">
        <w:t xml:space="preserve"> (SMS4DC), preparación de conferencias internacionales, </w:t>
      </w:r>
      <w:r w:rsidR="008B1593" w:rsidRPr="00080728">
        <w:t>formulación</w:t>
      </w:r>
      <w:r w:rsidRPr="00080728">
        <w:t xml:space="preserve"> de ciberestrategias (agricultura, sanidad, servicios postales</w:t>
      </w:r>
      <w:r w:rsidR="008B1593" w:rsidRPr="00080728">
        <w:t xml:space="preserve"> y</w:t>
      </w:r>
      <w:r w:rsidRPr="00080728">
        <w:t xml:space="preserve"> telecomunicaciones), modelización de cost</w:t>
      </w:r>
      <w:r w:rsidR="008B1593" w:rsidRPr="00080728">
        <w:t>o</w:t>
      </w:r>
      <w:r w:rsidRPr="00080728">
        <w:t>s, incluida la tarificación y la determinación de precios</w:t>
      </w:r>
      <w:r w:rsidR="008B1593" w:rsidRPr="00080728">
        <w:t xml:space="preserve"> para servicios mayoristas</w:t>
      </w:r>
      <w:r w:rsidRPr="00080728">
        <w:t xml:space="preserve">, </w:t>
      </w:r>
      <w:r w:rsidR="008B1593" w:rsidRPr="00080728">
        <w:t xml:space="preserve">minoristas y redes móviles, </w:t>
      </w:r>
      <w:r w:rsidRPr="00080728">
        <w:t>y radiodifusión.</w:t>
      </w:r>
    </w:p>
    <w:p w:rsidR="00D91DA8" w:rsidRPr="00080728" w:rsidRDefault="00D91DA8" w:rsidP="00E85888">
      <w:pPr>
        <w:pStyle w:val="Heading2"/>
      </w:pPr>
      <w:r w:rsidRPr="00080728">
        <w:t>2.8</w:t>
      </w:r>
      <w:r w:rsidRPr="00080728">
        <w:tab/>
        <w:t>Región de la CEI</w:t>
      </w:r>
    </w:p>
    <w:p w:rsidR="005216FD" w:rsidRPr="00080728" w:rsidRDefault="005216FD" w:rsidP="00E85888">
      <w:pPr>
        <w:rPr>
          <w:rFonts w:asciiTheme="minorHAnsi" w:hAnsiTheme="minorHAnsi"/>
          <w:szCs w:val="24"/>
        </w:rPr>
      </w:pPr>
      <w:r w:rsidRPr="00080728">
        <w:rPr>
          <w:rFonts w:asciiTheme="minorHAnsi" w:hAnsiTheme="minorHAnsi"/>
          <w:szCs w:val="24"/>
        </w:rPr>
        <w:t>2.8.1</w:t>
      </w:r>
      <w:r w:rsidRPr="00080728">
        <w:rPr>
          <w:rFonts w:asciiTheme="minorHAnsi" w:hAnsiTheme="minorHAnsi"/>
          <w:szCs w:val="24"/>
        </w:rPr>
        <w:tab/>
      </w:r>
      <w:r w:rsidR="000C25E3" w:rsidRPr="00080728">
        <w:rPr>
          <w:rFonts w:asciiTheme="minorHAnsi" w:hAnsiTheme="minorHAnsi"/>
          <w:szCs w:val="24"/>
        </w:rPr>
        <w:t>En</w:t>
      </w:r>
      <w:r w:rsidRPr="00080728">
        <w:rPr>
          <w:rFonts w:asciiTheme="minorHAnsi" w:hAnsiTheme="minorHAnsi"/>
          <w:szCs w:val="24"/>
        </w:rPr>
        <w:t xml:space="preserve"> 2017, </w:t>
      </w:r>
      <w:r w:rsidR="000C25E3" w:rsidRPr="00080728">
        <w:t xml:space="preserve">la BDT llevó a cabo </w:t>
      </w:r>
      <w:r w:rsidR="008A4400" w:rsidRPr="00080728">
        <w:t xml:space="preserve">diversas </w:t>
      </w:r>
      <w:r w:rsidR="000C25E3" w:rsidRPr="00080728">
        <w:t>actividades sobre 19 in</w:t>
      </w:r>
      <w:r w:rsidR="000C798C" w:rsidRPr="00080728">
        <w:t>tervenciones por una cuantía de </w:t>
      </w:r>
      <w:r w:rsidR="000C25E3" w:rsidRPr="00080728">
        <w:t>231 000 CHF</w:t>
      </w:r>
      <w:r w:rsidRPr="00080728">
        <w:rPr>
          <w:rFonts w:asciiTheme="minorHAnsi" w:hAnsiTheme="minorHAnsi"/>
          <w:szCs w:val="24"/>
        </w:rPr>
        <w:t>.</w:t>
      </w:r>
    </w:p>
    <w:p w:rsidR="005216FD" w:rsidRPr="00080728" w:rsidRDefault="005216FD" w:rsidP="00E85888">
      <w:r w:rsidRPr="00080728">
        <w:t>2.8.2</w:t>
      </w:r>
      <w:r w:rsidRPr="00080728">
        <w:tab/>
      </w:r>
      <w:r w:rsidR="009A1599" w:rsidRPr="00080728">
        <w:t xml:space="preserve">Se implantaron las cinco iniciativas regionales de la CMDT-14. Entre los principales resultados de las Iniciativas regionales de la CEI para 2017 cabe destacar el acceso a Internet y el centro de capacitación para personas con discapacidad auditiva en Vitebsk (República de Belarús) </w:t>
      </w:r>
      <w:r w:rsidR="009A1599" w:rsidRPr="00080728">
        <w:lastRenderedPageBreak/>
        <w:t>(cinco puestos de trabajo) y el software que permite seleccionar la solución más viable para el despliegue de la banda ancha en todas las ciudades y localidades de CIS y Georgia (</w:t>
      </w:r>
      <w:hyperlink r:id="rId19" w:history="1">
        <w:r w:rsidR="009A1599" w:rsidRPr="00080728">
          <w:rPr>
            <w:rStyle w:val="Hyperlink"/>
          </w:rPr>
          <w:t>https://broadbandcalculator.online</w:t>
        </w:r>
      </w:hyperlink>
      <w:r w:rsidR="009A1599" w:rsidRPr="00080728">
        <w:t xml:space="preserve"> ).</w:t>
      </w:r>
    </w:p>
    <w:p w:rsidR="005216FD" w:rsidRPr="00080728" w:rsidRDefault="005216FD" w:rsidP="00E85888">
      <w:r w:rsidRPr="00080728">
        <w:t>2.8.3</w:t>
      </w:r>
      <w:r w:rsidRPr="00080728">
        <w:tab/>
      </w:r>
      <w:r w:rsidR="009A1599" w:rsidRPr="00080728">
        <w:t xml:space="preserve">A raíz de la demanda de </w:t>
      </w:r>
      <w:r w:rsidR="00661697" w:rsidRPr="00080728">
        <w:t>los M</w:t>
      </w:r>
      <w:r w:rsidR="009A1599" w:rsidRPr="00080728">
        <w:t xml:space="preserve">iembros de la UIT en la </w:t>
      </w:r>
      <w:r w:rsidR="00661697" w:rsidRPr="00080728">
        <w:t>R</w:t>
      </w:r>
      <w:r w:rsidR="009A1599" w:rsidRPr="00080728">
        <w:t xml:space="preserve">egión de la CEI, las actividades de </w:t>
      </w:r>
      <w:r w:rsidR="00661697" w:rsidRPr="00080728">
        <w:t>capacitación</w:t>
      </w:r>
      <w:r w:rsidR="009A1599" w:rsidRPr="00080728">
        <w:t xml:space="preserve"> y </w:t>
      </w:r>
      <w:r w:rsidR="00661697" w:rsidRPr="00080728">
        <w:t>los debates</w:t>
      </w:r>
      <w:r w:rsidR="009A1599" w:rsidRPr="00080728">
        <w:t xml:space="preserve"> regionales </w:t>
      </w:r>
      <w:r w:rsidR="00661697" w:rsidRPr="00080728">
        <w:t xml:space="preserve">en 2017 guardaron relación especialmente con la </w:t>
      </w:r>
      <w:r w:rsidR="009A1599" w:rsidRPr="00080728">
        <w:t xml:space="preserve">innovación, </w:t>
      </w:r>
      <w:r w:rsidR="00661697" w:rsidRPr="00080728">
        <w:t xml:space="preserve">la </w:t>
      </w:r>
      <w:r w:rsidR="009A1599" w:rsidRPr="00080728">
        <w:t xml:space="preserve">gestión del espectro y </w:t>
      </w:r>
      <w:r w:rsidR="00661697" w:rsidRPr="00080728">
        <w:t xml:space="preserve">la </w:t>
      </w:r>
      <w:r w:rsidR="009A1599" w:rsidRPr="00080728">
        <w:t xml:space="preserve">radiodifusión, </w:t>
      </w:r>
      <w:r w:rsidR="00661697" w:rsidRPr="00080728">
        <w:t xml:space="preserve">las </w:t>
      </w:r>
      <w:r w:rsidR="009A1599" w:rsidRPr="00080728">
        <w:t xml:space="preserve">ciudades sostenibles inteligentes, </w:t>
      </w:r>
      <w:r w:rsidR="00661697" w:rsidRPr="00080728">
        <w:t xml:space="preserve">las </w:t>
      </w:r>
      <w:r w:rsidR="009A1599" w:rsidRPr="00080728">
        <w:t xml:space="preserve">redes futuras, </w:t>
      </w:r>
      <w:r w:rsidR="00661697" w:rsidRPr="00080728">
        <w:t xml:space="preserve">la </w:t>
      </w:r>
      <w:r w:rsidR="009A1599" w:rsidRPr="00080728">
        <w:t xml:space="preserve">IoT, </w:t>
      </w:r>
      <w:r w:rsidR="00661697" w:rsidRPr="00080728">
        <w:t xml:space="preserve">los </w:t>
      </w:r>
      <w:r w:rsidR="009A1599" w:rsidRPr="00080728">
        <w:t xml:space="preserve">servicios financieros digitales, </w:t>
      </w:r>
      <w:r w:rsidR="00661697" w:rsidRPr="00080728">
        <w:t xml:space="preserve">las </w:t>
      </w:r>
      <w:r w:rsidR="009A1599" w:rsidRPr="00080728">
        <w:t xml:space="preserve">políticas y </w:t>
      </w:r>
      <w:r w:rsidR="00661697" w:rsidRPr="00080728">
        <w:t>la reglamentación</w:t>
      </w:r>
      <w:r w:rsidR="009A1599" w:rsidRPr="00080728">
        <w:t xml:space="preserve"> y </w:t>
      </w:r>
      <w:r w:rsidR="00661697" w:rsidRPr="00080728">
        <w:t xml:space="preserve">la </w:t>
      </w:r>
      <w:r w:rsidR="009A1599" w:rsidRPr="00080728">
        <w:t xml:space="preserve">ciberseguridad. A lo largo del año se organizaron 18 eventos regionales </w:t>
      </w:r>
      <w:r w:rsidR="00661697" w:rsidRPr="00080728">
        <w:t>en los que participaron</w:t>
      </w:r>
      <w:r w:rsidR="009A1599" w:rsidRPr="00080728">
        <w:t xml:space="preserve"> alrededor de 1</w:t>
      </w:r>
      <w:r w:rsidR="00661697" w:rsidRPr="00080728">
        <w:t xml:space="preserve"> </w:t>
      </w:r>
      <w:r w:rsidR="009A1599" w:rsidRPr="00080728">
        <w:t xml:space="preserve">170 participantes de más de 30 países. Se brindó asistencia técnica </w:t>
      </w:r>
      <w:r w:rsidR="00661697" w:rsidRPr="00080728">
        <w:t>a tenor de</w:t>
      </w:r>
      <w:r w:rsidR="009A1599" w:rsidRPr="00080728">
        <w:t xml:space="preserve"> las solicitudes de los Estados Miembros de la UIT </w:t>
      </w:r>
      <w:r w:rsidR="00661697" w:rsidRPr="00080728">
        <w:t>de</w:t>
      </w:r>
      <w:r w:rsidR="009A1599" w:rsidRPr="00080728">
        <w:t xml:space="preserve"> la </w:t>
      </w:r>
      <w:r w:rsidR="00661697" w:rsidRPr="00080728">
        <w:t>R</w:t>
      </w:r>
      <w:r w:rsidR="009A1599" w:rsidRPr="00080728">
        <w:t xml:space="preserve">egión en </w:t>
      </w:r>
      <w:r w:rsidR="00D85753" w:rsidRPr="00080728">
        <w:t>las esferas de</w:t>
      </w:r>
      <w:r w:rsidR="009A1599" w:rsidRPr="00080728">
        <w:t xml:space="preserve"> capacitación de docentes de informática en zonas rurales; </w:t>
      </w:r>
      <w:r w:rsidR="00D85753" w:rsidRPr="00080728">
        <w:t xml:space="preserve">la </w:t>
      </w:r>
      <w:r w:rsidR="009A1599" w:rsidRPr="00080728">
        <w:t xml:space="preserve">mejora de las instalaciones de </w:t>
      </w:r>
      <w:r w:rsidR="00D85753" w:rsidRPr="00080728">
        <w:t>enseñanza</w:t>
      </w:r>
      <w:r w:rsidR="009A1599" w:rsidRPr="00080728">
        <w:t xml:space="preserve"> a distancia </w:t>
      </w:r>
      <w:r w:rsidR="00D85753" w:rsidRPr="00080728">
        <w:t>a los efectos de capacitación</w:t>
      </w:r>
      <w:r w:rsidR="009A1599" w:rsidRPr="00080728">
        <w:t xml:space="preserve">; </w:t>
      </w:r>
      <w:r w:rsidR="00D85753" w:rsidRPr="00080728">
        <w:t>los estudios sobre prácticas idóneas en materia de reglamentación</w:t>
      </w:r>
      <w:r w:rsidR="009A1599" w:rsidRPr="00080728">
        <w:t xml:space="preserve">; y la evaluación </w:t>
      </w:r>
      <w:r w:rsidR="008A4400" w:rsidRPr="00080728">
        <w:t>a nivel experto</w:t>
      </w:r>
      <w:r w:rsidR="009A1599" w:rsidRPr="00080728">
        <w:t xml:space="preserve"> de la metodología de tarifas de banda ancha</w:t>
      </w:r>
      <w:r w:rsidRPr="00080728">
        <w:t>.</w:t>
      </w:r>
    </w:p>
    <w:p w:rsidR="00206D7A" w:rsidRPr="00080728" w:rsidRDefault="00206D7A" w:rsidP="00E85888">
      <w:pPr>
        <w:pStyle w:val="Heading2"/>
      </w:pPr>
      <w:r w:rsidRPr="00080728">
        <w:t>2.9</w:t>
      </w:r>
      <w:r w:rsidRPr="00080728">
        <w:tab/>
        <w:t xml:space="preserve">Región de Europa </w:t>
      </w:r>
    </w:p>
    <w:p w:rsidR="00CD16B6" w:rsidRPr="00080728" w:rsidRDefault="00CD16B6" w:rsidP="00E85888">
      <w:r w:rsidRPr="00080728">
        <w:t>2.9.1</w:t>
      </w:r>
      <w:r w:rsidRPr="00080728">
        <w:tab/>
        <w:t xml:space="preserve">In 2017, </w:t>
      </w:r>
      <w:r w:rsidR="008A4400" w:rsidRPr="00080728">
        <w:t>la BDT llevó a cabo diversas actividades en el marco de dos proyectos de cooperación técnica por una cuantía total de 415 000 CHF</w:t>
      </w:r>
      <w:r w:rsidRPr="00080728">
        <w:t xml:space="preserve"> en la Región de Europa, en colaboración con los Estados Miembros. </w:t>
      </w:r>
      <w:r w:rsidR="008A4400" w:rsidRPr="00080728">
        <w:t>Por otro lado</w:t>
      </w:r>
      <w:r w:rsidRPr="00080728">
        <w:t xml:space="preserve">, se llevaron a cabo 16 </w:t>
      </w:r>
      <w:r w:rsidR="009A562B" w:rsidRPr="00080728">
        <w:t>intervenciones</w:t>
      </w:r>
      <w:r w:rsidR="000C798C" w:rsidRPr="00080728">
        <w:t xml:space="preserve"> por un importe de </w:t>
      </w:r>
      <w:r w:rsidRPr="00080728">
        <w:t>223 000 CHF.</w:t>
      </w:r>
    </w:p>
    <w:p w:rsidR="00CD16B6" w:rsidRPr="00080728" w:rsidRDefault="00CD16B6" w:rsidP="00E85888">
      <w:r w:rsidRPr="00080728">
        <w:t>2.9.2</w:t>
      </w:r>
      <w:r w:rsidRPr="00080728">
        <w:tab/>
      </w:r>
      <w:r w:rsidR="004C1F09" w:rsidRPr="00080728">
        <w:t xml:space="preserve">Se siguieron desplegando esfuerzos para fortalecer el mecanismo de ejecución </w:t>
      </w:r>
      <w:r w:rsidR="008A4400" w:rsidRPr="00080728">
        <w:t>a nivel regional</w:t>
      </w:r>
      <w:r w:rsidR="004C1F09" w:rsidRPr="00080728">
        <w:t xml:space="preserve">, en particular </w:t>
      </w:r>
      <w:r w:rsidR="00701B2C" w:rsidRPr="00080728">
        <w:t xml:space="preserve">las </w:t>
      </w:r>
      <w:r w:rsidR="004C1F09" w:rsidRPr="00080728">
        <w:t xml:space="preserve">actividades de coordinación con diversas organizaciones pertinentes de la región, </w:t>
      </w:r>
      <w:r w:rsidR="00701B2C" w:rsidRPr="00080728">
        <w:t>en particular la</w:t>
      </w:r>
      <w:r w:rsidR="004C1F09" w:rsidRPr="00080728">
        <w:t xml:space="preserve"> CEPT, UE, CE, OCE, ENISA, </w:t>
      </w:r>
      <w:r w:rsidR="00701B2C" w:rsidRPr="00080728">
        <w:t>el Consejo de Cooperación Regional, ICPE, y la ONU,</w:t>
      </w:r>
      <w:r w:rsidR="001225C7" w:rsidRPr="00080728">
        <w:t xml:space="preserve"> </w:t>
      </w:r>
      <w:r w:rsidR="004C1F09" w:rsidRPr="00080728">
        <w:t>incluidas CEENU, R-</w:t>
      </w:r>
      <w:r w:rsidR="00701B2C" w:rsidRPr="00080728">
        <w:t>GNUD</w:t>
      </w:r>
      <w:r w:rsidR="004C1F09" w:rsidRPr="00080728">
        <w:t>, ONUDI, UNCTAD</w:t>
      </w:r>
      <w:r w:rsidR="00701B2C" w:rsidRPr="00080728">
        <w:t>, OMS</w:t>
      </w:r>
      <w:r w:rsidR="004C1F09" w:rsidRPr="00080728">
        <w:t xml:space="preserve"> y FAO</w:t>
      </w:r>
      <w:r w:rsidRPr="00080728">
        <w:t xml:space="preserve">, </w:t>
      </w:r>
      <w:r w:rsidR="00701B2C" w:rsidRPr="00080728">
        <w:t>así como varios equipos de la ONU a nivel nacional</w:t>
      </w:r>
      <w:r w:rsidRPr="00080728">
        <w:t xml:space="preserve">. </w:t>
      </w:r>
      <w:r w:rsidR="00701B2C" w:rsidRPr="00080728">
        <w:t>A lo largo d</w:t>
      </w:r>
      <w:r w:rsidR="004C1F09" w:rsidRPr="00080728">
        <w:t xml:space="preserve">el año se organizaron más de </w:t>
      </w:r>
      <w:r w:rsidR="00701B2C" w:rsidRPr="00080728">
        <w:t>21</w:t>
      </w:r>
      <w:r w:rsidR="004C1F09" w:rsidRPr="00080728">
        <w:t xml:space="preserve"> talleres, seminarios, reuniones de grupos de expertos sobre radiodifusión, banda ancha, accesibilidad, ciberseguridad, innovación</w:t>
      </w:r>
      <w:r w:rsidR="00701B2C" w:rsidRPr="00080728">
        <w:t xml:space="preserve">, TIC para aplicaciones energéticas y campos electromagnéticos en el contexto del despliegue de las redes 5G, </w:t>
      </w:r>
      <w:r w:rsidR="004C1F09" w:rsidRPr="00080728">
        <w:t xml:space="preserve">y </w:t>
      </w:r>
      <w:r w:rsidR="00701B2C" w:rsidRPr="00080728">
        <w:t xml:space="preserve">la </w:t>
      </w:r>
      <w:r w:rsidR="004C1F09" w:rsidRPr="00080728">
        <w:t>capacitación</w:t>
      </w:r>
      <w:r w:rsidR="00701B2C" w:rsidRPr="00080728">
        <w:t xml:space="preserve"> de personal</w:t>
      </w:r>
      <w:r w:rsidR="004C1F09" w:rsidRPr="00080728">
        <w:t xml:space="preserve">, </w:t>
      </w:r>
      <w:r w:rsidR="00701B2C" w:rsidRPr="00080728">
        <w:t>a los que asistieron</w:t>
      </w:r>
      <w:r w:rsidR="004C1F09" w:rsidRPr="00080728">
        <w:t xml:space="preserve"> más de 2 </w:t>
      </w:r>
      <w:r w:rsidR="00701B2C" w:rsidRPr="00080728">
        <w:t>1</w:t>
      </w:r>
      <w:r w:rsidR="000C798C" w:rsidRPr="00080728">
        <w:t>00 participantes de más de </w:t>
      </w:r>
      <w:r w:rsidR="004C1F09" w:rsidRPr="00080728">
        <w:t>3</w:t>
      </w:r>
      <w:r w:rsidR="00701B2C" w:rsidRPr="00080728">
        <w:t>5</w:t>
      </w:r>
      <w:r w:rsidR="004C1F09" w:rsidRPr="00080728">
        <w:t xml:space="preserve"> países. </w:t>
      </w:r>
      <w:r w:rsidR="00701B2C" w:rsidRPr="00080728">
        <w:t>Por otro lado</w:t>
      </w:r>
      <w:r w:rsidR="004C1F09" w:rsidRPr="00080728">
        <w:t xml:space="preserve">, se impartió capacitación a más de </w:t>
      </w:r>
      <w:r w:rsidR="009D7D15" w:rsidRPr="00080728">
        <w:t>400</w:t>
      </w:r>
      <w:r w:rsidR="004C1F09" w:rsidRPr="00080728">
        <w:t xml:space="preserve"> profesionales a través de la Red Europea de Centros de Excelencia (CoE), que ofreció </w:t>
      </w:r>
      <w:r w:rsidR="009D7D15" w:rsidRPr="00080728">
        <w:t>25</w:t>
      </w:r>
      <w:r w:rsidR="004C1F09" w:rsidRPr="00080728">
        <w:t xml:space="preserve"> cursos de </w:t>
      </w:r>
      <w:r w:rsidR="009D7D15" w:rsidRPr="00080728">
        <w:t>formación</w:t>
      </w:r>
      <w:r w:rsidRPr="00080728">
        <w:t>.</w:t>
      </w:r>
    </w:p>
    <w:p w:rsidR="00CD16B6" w:rsidRPr="00080728" w:rsidRDefault="00CD16B6" w:rsidP="00E85888">
      <w:r w:rsidRPr="00080728">
        <w:t>2.9.3</w:t>
      </w:r>
      <w:r w:rsidRPr="00080728">
        <w:tab/>
      </w:r>
      <w:r w:rsidR="004C1F09" w:rsidRPr="00080728">
        <w:t xml:space="preserve">Se </w:t>
      </w:r>
      <w:r w:rsidR="009D7D15" w:rsidRPr="00080728">
        <w:t>brindó</w:t>
      </w:r>
      <w:r w:rsidR="004C1F09" w:rsidRPr="00080728">
        <w:t xml:space="preserve"> asistencia a Albania, Bosnia y Herzegovina, Montenegro</w:t>
      </w:r>
      <w:r w:rsidR="003A0E3E" w:rsidRPr="00080728">
        <w:t>, Chipre,</w:t>
      </w:r>
      <w:r w:rsidR="004C1F09" w:rsidRPr="00080728">
        <w:t xml:space="preserve"> Polonia</w:t>
      </w:r>
      <w:r w:rsidR="003A0E3E" w:rsidRPr="00080728">
        <w:t xml:space="preserve">, la ex República Yugoslava de Macedonia y Serbia </w:t>
      </w:r>
      <w:r w:rsidR="004C1F09" w:rsidRPr="00080728">
        <w:t xml:space="preserve">en </w:t>
      </w:r>
      <w:r w:rsidR="003A0E3E" w:rsidRPr="00080728">
        <w:t xml:space="preserve">las esferas de la </w:t>
      </w:r>
      <w:r w:rsidR="004C1F09" w:rsidRPr="00080728">
        <w:t>innovación, la radiodifusión, la banda ancha, la ciberseguridad y las aplicaciones de TIC</w:t>
      </w:r>
      <w:r w:rsidRPr="00080728">
        <w:t xml:space="preserve">, </w:t>
      </w:r>
      <w:r w:rsidR="003A0E3E" w:rsidRPr="00080728">
        <w:t xml:space="preserve">así como la elaboración de perfiles de innovación digital. Se elaboraron más de diez publicaciones e informes. Se </w:t>
      </w:r>
      <w:r w:rsidR="004963AA" w:rsidRPr="00080728">
        <w:t>estableció</w:t>
      </w:r>
      <w:r w:rsidR="003A0E3E" w:rsidRPr="00080728">
        <w:t xml:space="preserve"> un enfoque piloto en dos países </w:t>
      </w:r>
      <w:r w:rsidR="004963AA" w:rsidRPr="00080728">
        <w:t xml:space="preserve">de Región </w:t>
      </w:r>
      <w:r w:rsidR="003A0E3E" w:rsidRPr="00080728">
        <w:t xml:space="preserve">para la </w:t>
      </w:r>
      <w:r w:rsidR="004963AA" w:rsidRPr="00080728">
        <w:t>impartición eficaz</w:t>
      </w:r>
      <w:r w:rsidR="003A0E3E" w:rsidRPr="00080728">
        <w:t xml:space="preserve"> de </w:t>
      </w:r>
      <w:r w:rsidR="004963AA" w:rsidRPr="00080728">
        <w:t>capacitación a nivel ejecutivo</w:t>
      </w:r>
      <w:r w:rsidR="003A0E3E" w:rsidRPr="00080728">
        <w:t xml:space="preserve"> sobre accesibilidad a nivel nacional</w:t>
      </w:r>
      <w:r w:rsidR="004963AA" w:rsidRPr="00080728">
        <w:t>,</w:t>
      </w:r>
      <w:r w:rsidR="003A0E3E" w:rsidRPr="00080728">
        <w:t xml:space="preserve"> con la colaboración de equipos </w:t>
      </w:r>
      <w:r w:rsidR="004963AA" w:rsidRPr="00080728">
        <w:t xml:space="preserve">locales </w:t>
      </w:r>
      <w:r w:rsidR="003A0E3E" w:rsidRPr="00080728">
        <w:t>de las Naciones Unidas</w:t>
      </w:r>
      <w:r w:rsidR="004963AA" w:rsidRPr="00080728">
        <w:t>; dichos enfoques se aplicarán posteriormente en otros países de la R</w:t>
      </w:r>
      <w:r w:rsidR="003A0E3E" w:rsidRPr="00080728">
        <w:t xml:space="preserve">egión de Europa. Se ha reforzado la colaboración con la Comisión Europea y el Consejo de Cooperación Regional para </w:t>
      </w:r>
      <w:r w:rsidR="004963AA" w:rsidRPr="00080728">
        <w:t xml:space="preserve">fomentar </w:t>
      </w:r>
      <w:r w:rsidR="003A0E3E" w:rsidRPr="00080728">
        <w:t xml:space="preserve">la integración digital </w:t>
      </w:r>
      <w:r w:rsidR="004963AA" w:rsidRPr="00080728">
        <w:t>en la región occidental de</w:t>
      </w:r>
      <w:r w:rsidR="003A0E3E" w:rsidRPr="00080728">
        <w:t xml:space="preserve"> los Balcanes</w:t>
      </w:r>
      <w:r w:rsidR="004C1F09" w:rsidRPr="00080728">
        <w:t>.</w:t>
      </w:r>
    </w:p>
    <w:p w:rsidR="00CD16B6" w:rsidRPr="00080728" w:rsidRDefault="00CD16B6" w:rsidP="00E85888">
      <w:r w:rsidRPr="00080728">
        <w:t>2.10</w:t>
      </w:r>
      <w:r w:rsidRPr="00080728">
        <w:tab/>
      </w:r>
      <w:r w:rsidR="004963AA" w:rsidRPr="00080728">
        <w:t>En la</w:t>
      </w:r>
      <w:r w:rsidR="00531213" w:rsidRPr="00080728">
        <w:t xml:space="preserve"> séptima Conferencia Mundial de Desarrollo de las Telecomunicaciones (CMDT-17) de la Unión Internacional de Telecomunicaciones (UIT)</w:t>
      </w:r>
      <w:r w:rsidR="004963AA" w:rsidRPr="00080728">
        <w:t xml:space="preserve">, que tuvo lugar </w:t>
      </w:r>
      <w:r w:rsidR="00531213" w:rsidRPr="00080728">
        <w:t xml:space="preserve">del 9 al 20 de octubre de 2017 en Buenos Aires (Argentina) </w:t>
      </w:r>
      <w:r w:rsidR="004963AA" w:rsidRPr="00080728">
        <w:t>con arreglo al</w:t>
      </w:r>
      <w:r w:rsidR="00531213" w:rsidRPr="00080728">
        <w:t xml:space="preserve"> tema "</w:t>
      </w:r>
      <w:r w:rsidR="004963AA" w:rsidRPr="00080728">
        <w:t>las TIC para los objetivos de desarrollo sostenible</w:t>
      </w:r>
      <w:r w:rsidR="00531213" w:rsidRPr="00080728">
        <w:t>" (ICT④SDGs)</w:t>
      </w:r>
      <w:r w:rsidRPr="00080728">
        <w:t xml:space="preserve">, </w:t>
      </w:r>
      <w:r w:rsidR="004963AA" w:rsidRPr="00080728">
        <w:t>se aprobó la Declaración de</w:t>
      </w:r>
      <w:r w:rsidRPr="00080728">
        <w:t xml:space="preserve"> Buenos Aires, </w:t>
      </w:r>
      <w:r w:rsidR="009644F3" w:rsidRPr="00080728">
        <w:t xml:space="preserve">la </w:t>
      </w:r>
      <w:r w:rsidR="004963AA" w:rsidRPr="00080728">
        <w:t>contribución</w:t>
      </w:r>
      <w:r w:rsidRPr="00080728">
        <w:t xml:space="preserve"> </w:t>
      </w:r>
      <w:r w:rsidR="004963AA" w:rsidRPr="00080728">
        <w:t>del UIT</w:t>
      </w:r>
      <w:r w:rsidRPr="00080728">
        <w:t>-D</w:t>
      </w:r>
      <w:r w:rsidR="005C2ECA" w:rsidRPr="00080728">
        <w:t xml:space="preserve"> </w:t>
      </w:r>
      <w:r w:rsidR="004963AA" w:rsidRPr="00080728">
        <w:t xml:space="preserve">al Plan </w:t>
      </w:r>
      <w:r w:rsidR="005C2ECA" w:rsidRPr="00080728">
        <w:t>E</w:t>
      </w:r>
      <w:r w:rsidR="004963AA" w:rsidRPr="00080728">
        <w:t>stratégico de la UIT y el Plan de Acción de B</w:t>
      </w:r>
      <w:r w:rsidRPr="00080728">
        <w:t xml:space="preserve">uenos Aires (BaAP), </w:t>
      </w:r>
      <w:r w:rsidR="004963AA" w:rsidRPr="00080728">
        <w:t xml:space="preserve">incluidas cinco iniciativas regionales </w:t>
      </w:r>
      <w:r w:rsidR="000F00E5" w:rsidRPr="00080728">
        <w:t>relativas a</w:t>
      </w:r>
      <w:r w:rsidR="004963AA" w:rsidRPr="00080728">
        <w:t xml:space="preserve"> cada una de las seis Regiones</w:t>
      </w:r>
      <w:r w:rsidRPr="00080728">
        <w:t xml:space="preserve">. </w:t>
      </w:r>
    </w:p>
    <w:p w:rsidR="00EF4B79" w:rsidRPr="00080728" w:rsidRDefault="00EF4B79" w:rsidP="00E85888">
      <w:pPr>
        <w:pStyle w:val="Heading1"/>
      </w:pPr>
      <w:r w:rsidRPr="00080728">
        <w:lastRenderedPageBreak/>
        <w:t>3</w:t>
      </w:r>
      <w:r w:rsidRPr="00080728">
        <w:tab/>
        <w:t>Contribución a otros sectores y a la Secretaría General</w:t>
      </w:r>
    </w:p>
    <w:p w:rsidR="00EF4B79" w:rsidRPr="00080728" w:rsidRDefault="00EF4B79" w:rsidP="00E85888">
      <w:r w:rsidRPr="00080728">
        <w:t>3.1</w:t>
      </w:r>
      <w:r w:rsidRPr="00080728">
        <w:tab/>
        <w:t xml:space="preserve">Las </w:t>
      </w:r>
      <w:r w:rsidR="001F220F" w:rsidRPr="00080728">
        <w:t xml:space="preserve">Oficinas Regionales y de Zona </w:t>
      </w:r>
      <w:r w:rsidRPr="00080728">
        <w:t>contribuyeron a la ejecución de los Planes Estratégico y Operacional del UIT-R, UIT-T y la Secretaría General:</w:t>
      </w:r>
    </w:p>
    <w:p w:rsidR="00EF4B79" w:rsidRPr="00080728" w:rsidRDefault="00EF4B79" w:rsidP="00E85888">
      <w:pPr>
        <w:pStyle w:val="Heading2"/>
      </w:pPr>
      <w:r w:rsidRPr="00080728">
        <w:t>3.2</w:t>
      </w:r>
      <w:r w:rsidRPr="00080728">
        <w:tab/>
        <w:t>UIT-R</w:t>
      </w:r>
    </w:p>
    <w:p w:rsidR="00EF4B79" w:rsidRPr="00080728" w:rsidRDefault="00EF4B79" w:rsidP="00E85888">
      <w:r w:rsidRPr="00080728">
        <w:t>3.2.1</w:t>
      </w:r>
      <w:r w:rsidRPr="00080728">
        <w:tab/>
        <w:t>A fin de informar y prestar asistencia a los Miembros de la UIT sobre cuestiones relacionadas con las radiocomunicaciones, en particular a los países en desarrollo, la BDT y la BR siguieron organizando talleres, seminarios, reuniones y actividades de capacitación en materia de espectro, con el apoyo de las Oficinas Regionales y en cooperación con organizaciones internacionales pertinentes y organismos nacionales. En este contexto, a lo largo de 2017 se organizaron, entre otros, los siguientes eventos:</w:t>
      </w:r>
    </w:p>
    <w:p w:rsidR="000F00E5" w:rsidRPr="00080728" w:rsidRDefault="0039106E" w:rsidP="00E85888">
      <w:pPr>
        <w:pStyle w:val="enumlev1"/>
      </w:pPr>
      <w:r w:rsidRPr="00080728">
        <w:t>•</w:t>
      </w:r>
      <w:r w:rsidRPr="00080728">
        <w:tab/>
      </w:r>
      <w:r w:rsidR="000F00E5" w:rsidRPr="00080728">
        <w:t>cuatro Seminarios Regionales de Radiocomunicaciones (SRR) en Nairobi (Kenya), Lima (Perú), Phnom Penh (Camboya) y Muscat (Omán); esos 4 seminarios reunieron a más de 450 participantes de 80 países de esas regiones;</w:t>
      </w:r>
    </w:p>
    <w:p w:rsidR="000F00E5" w:rsidRPr="00080728" w:rsidRDefault="000C798C" w:rsidP="00E85888">
      <w:pPr>
        <w:pStyle w:val="enumlev1"/>
      </w:pPr>
      <w:r w:rsidRPr="00080728">
        <w:t>•</w:t>
      </w:r>
      <w:r w:rsidR="000F00E5" w:rsidRPr="00080728">
        <w:tab/>
        <w:t>dos Reuniones de coordinación de frecuencias de la UIT sobre utilización de la banda de ondas métricas (174-216 MHz) y la banda de ondas decimétricas (470-806 MHz) en Managua</w:t>
      </w:r>
      <w:r w:rsidR="003634C8" w:rsidRPr="00080728">
        <w:t xml:space="preserve"> (</w:t>
      </w:r>
      <w:r w:rsidR="000F00E5" w:rsidRPr="00080728">
        <w:t>Nicaragua</w:t>
      </w:r>
      <w:r w:rsidR="003634C8" w:rsidRPr="00080728">
        <w:t>)</w:t>
      </w:r>
      <w:r w:rsidR="000F00E5" w:rsidRPr="00080728">
        <w:t xml:space="preserve"> (8-10 marzo) y Ciudad de Guatemala</w:t>
      </w:r>
      <w:r w:rsidR="003634C8" w:rsidRPr="00080728">
        <w:t xml:space="preserve"> (</w:t>
      </w:r>
      <w:r w:rsidR="000F00E5" w:rsidRPr="00080728">
        <w:t>Guatemala</w:t>
      </w:r>
      <w:r w:rsidR="003634C8" w:rsidRPr="00080728">
        <w:t>)</w:t>
      </w:r>
      <w:r w:rsidR="000F00E5" w:rsidRPr="00080728">
        <w:t xml:space="preserve"> (28 agosto-1 septiembre) , respectivamente</w:t>
      </w:r>
      <w:r w:rsidR="003634C8" w:rsidRPr="00080728">
        <w:t>;</w:t>
      </w:r>
    </w:p>
    <w:p w:rsidR="000F00E5" w:rsidRPr="00080728" w:rsidRDefault="000C798C" w:rsidP="00E85888">
      <w:pPr>
        <w:pStyle w:val="enumlev1"/>
      </w:pPr>
      <w:r w:rsidRPr="00080728">
        <w:t>•</w:t>
      </w:r>
      <w:r w:rsidR="003634C8" w:rsidRPr="00080728">
        <w:tab/>
        <w:t>dos Simposios Internacionales sobre satélites en Bariloche (Argentina) (29-31 de mayo) y en Bangkok (Tailandia) (30 de agosto-1 de septiembre), respectivamente;</w:t>
      </w:r>
    </w:p>
    <w:p w:rsidR="000F00E5" w:rsidRPr="00080728" w:rsidRDefault="000C798C" w:rsidP="00E85888">
      <w:pPr>
        <w:pStyle w:val="enumlev1"/>
      </w:pPr>
      <w:r w:rsidRPr="00080728">
        <w:t>•</w:t>
      </w:r>
      <w:r w:rsidR="003634C8" w:rsidRPr="00080728">
        <w:tab/>
        <w:t xml:space="preserve">el </w:t>
      </w:r>
      <w:r w:rsidR="000F00E5" w:rsidRPr="00080728">
        <w:t>2º Seminario UIT/OMM "</w:t>
      </w:r>
      <w:r w:rsidR="003634C8" w:rsidRPr="00080728">
        <w:t>Utilización</w:t>
      </w:r>
      <w:r w:rsidR="000F00E5" w:rsidRPr="00080728">
        <w:t xml:space="preserve"> del espectro radioeléctrico </w:t>
      </w:r>
      <w:r w:rsidR="003634C8" w:rsidRPr="00080728">
        <w:t>en m</w:t>
      </w:r>
      <w:r w:rsidR="000F00E5" w:rsidRPr="00080728">
        <w:t xml:space="preserve">eteorología: </w:t>
      </w:r>
      <w:r w:rsidR="003634C8" w:rsidRPr="00080728">
        <w:t>observación y predicción del clima, de los fenómenos meteorológicos y de los recursos hídricos</w:t>
      </w:r>
      <w:r w:rsidR="000F00E5" w:rsidRPr="00080728">
        <w:t>", en Ginebra</w:t>
      </w:r>
      <w:r w:rsidR="003634C8" w:rsidRPr="00080728">
        <w:t xml:space="preserve"> (</w:t>
      </w:r>
      <w:r w:rsidR="000F00E5" w:rsidRPr="00080728">
        <w:t>Suiza</w:t>
      </w:r>
      <w:r w:rsidR="003634C8" w:rsidRPr="00080728">
        <w:t>)</w:t>
      </w:r>
      <w:r w:rsidR="009C4603" w:rsidRPr="00080728">
        <w:t>, del 23 al 24 de octubre;</w:t>
      </w:r>
    </w:p>
    <w:p w:rsidR="000F00E5" w:rsidRPr="00080728" w:rsidRDefault="000C798C" w:rsidP="00E85888">
      <w:pPr>
        <w:pStyle w:val="enumlev1"/>
      </w:pPr>
      <w:r w:rsidRPr="00080728">
        <w:t>•</w:t>
      </w:r>
      <w:r w:rsidR="003634C8" w:rsidRPr="00080728">
        <w:tab/>
        <w:t xml:space="preserve">el </w:t>
      </w:r>
      <w:r w:rsidR="000F00E5" w:rsidRPr="00080728">
        <w:t xml:space="preserve">5° Congreso Latinoamericano de Telecomunicaciones, </w:t>
      </w:r>
      <w:r w:rsidR="003634C8" w:rsidRPr="00080728">
        <w:t xml:space="preserve">en </w:t>
      </w:r>
      <w:r w:rsidR="000F00E5" w:rsidRPr="00080728">
        <w:t>Cartagena</w:t>
      </w:r>
      <w:r w:rsidR="003634C8" w:rsidRPr="00080728">
        <w:t xml:space="preserve"> (</w:t>
      </w:r>
      <w:r w:rsidR="000F00E5" w:rsidRPr="00080728">
        <w:t>Colombia</w:t>
      </w:r>
      <w:r w:rsidR="003634C8" w:rsidRPr="00080728">
        <w:t xml:space="preserve">), del </w:t>
      </w:r>
      <w:r w:rsidR="000F00E5" w:rsidRPr="00080728">
        <w:t>20</w:t>
      </w:r>
      <w:r w:rsidR="003634C8" w:rsidRPr="00080728">
        <w:t xml:space="preserve"> al </w:t>
      </w:r>
      <w:r w:rsidR="000F00E5" w:rsidRPr="00080728">
        <w:t>23 de junio</w:t>
      </w:r>
      <w:r w:rsidR="003634C8" w:rsidRPr="00080728">
        <w:t>;</w:t>
      </w:r>
    </w:p>
    <w:p w:rsidR="0039106E" w:rsidRPr="00080728" w:rsidRDefault="000C798C" w:rsidP="00E85888">
      <w:pPr>
        <w:pStyle w:val="enumlev1"/>
      </w:pPr>
      <w:r w:rsidRPr="00080728">
        <w:t>•</w:t>
      </w:r>
      <w:r w:rsidR="003634C8" w:rsidRPr="00080728">
        <w:tab/>
        <w:t xml:space="preserve">el 7° </w:t>
      </w:r>
      <w:r w:rsidR="000F00E5" w:rsidRPr="00080728">
        <w:t xml:space="preserve">Congreso Internacional </w:t>
      </w:r>
      <w:r w:rsidR="003634C8" w:rsidRPr="00080728">
        <w:t>sobre el e</w:t>
      </w:r>
      <w:r w:rsidR="000F00E5" w:rsidRPr="00080728">
        <w:t>spectro y Taller de la UIT de coordinación de frecuencias en Bogotá</w:t>
      </w:r>
      <w:r w:rsidR="003634C8" w:rsidRPr="00080728">
        <w:t xml:space="preserve"> (</w:t>
      </w:r>
      <w:r w:rsidR="000F00E5" w:rsidRPr="00080728">
        <w:t>Colombia</w:t>
      </w:r>
      <w:r w:rsidR="003634C8" w:rsidRPr="00080728">
        <w:t>)</w:t>
      </w:r>
      <w:r w:rsidR="000F00E5" w:rsidRPr="00080728">
        <w:t xml:space="preserve">, </w:t>
      </w:r>
      <w:r w:rsidR="003634C8" w:rsidRPr="00080728">
        <w:t>del 5 al 8</w:t>
      </w:r>
      <w:r w:rsidR="000F00E5" w:rsidRPr="00080728">
        <w:t xml:space="preserve"> de septiembre</w:t>
      </w:r>
      <w:r w:rsidR="009C4603" w:rsidRPr="00080728">
        <w:t>.</w:t>
      </w:r>
    </w:p>
    <w:p w:rsidR="00DE624B" w:rsidRPr="00080728" w:rsidRDefault="005649AF" w:rsidP="00E85888">
      <w:r w:rsidRPr="00080728">
        <w:t>3.2.2</w:t>
      </w:r>
      <w:r w:rsidRPr="00080728">
        <w:tab/>
        <w:t>El objetivo de esos eventos era fomentar la capacitación humana sobre la utilización del espectro de radiofrecuencias y las órbitas de satélite, así como la aplicación de las disposiciones del Reglamento de Radiocomunicaciones de la UIT.</w:t>
      </w:r>
    </w:p>
    <w:p w:rsidR="005649AF" w:rsidRPr="00080728" w:rsidRDefault="005649AF" w:rsidP="00E85888">
      <w:r w:rsidRPr="00080728">
        <w:t>3.2.3</w:t>
      </w:r>
      <w:r w:rsidRPr="00080728">
        <w:tab/>
      </w:r>
      <w:r w:rsidR="003634C8" w:rsidRPr="00080728">
        <w:t>Por otro lado</w:t>
      </w:r>
      <w:r w:rsidRPr="00080728">
        <w:t xml:space="preserve">, se proporcionó asistencia directa </w:t>
      </w:r>
      <w:r w:rsidR="003634C8" w:rsidRPr="00080728">
        <w:t xml:space="preserve">(previa petición) </w:t>
      </w:r>
      <w:r w:rsidRPr="00080728">
        <w:t xml:space="preserve">a </w:t>
      </w:r>
      <w:r w:rsidR="003634C8" w:rsidRPr="00080728">
        <w:t>varios países, incluidos</w:t>
      </w:r>
      <w:r w:rsidRPr="00080728">
        <w:t xml:space="preserve"> Bhután, </w:t>
      </w:r>
      <w:r w:rsidR="003634C8" w:rsidRPr="00080728">
        <w:t>Tailandia, Camboya, Senegal, El Salador y Perú,</w:t>
      </w:r>
      <w:r w:rsidRPr="00080728">
        <w:t xml:space="preserve"> </w:t>
      </w:r>
      <w:r w:rsidR="003634C8" w:rsidRPr="00080728">
        <w:t>en</w:t>
      </w:r>
      <w:r w:rsidRPr="00080728">
        <w:t xml:space="preserve"> apoyo a sus actividades de gestión del espectro</w:t>
      </w:r>
      <w:r w:rsidR="003634C8" w:rsidRPr="00080728">
        <w:t xml:space="preserve"> a nivel nacional</w:t>
      </w:r>
      <w:r w:rsidRPr="00080728">
        <w:t xml:space="preserve">, gestión de frecuencias a largo plazo para la banda ancha móvil, </w:t>
      </w:r>
      <w:r w:rsidR="003634C8" w:rsidRPr="00080728">
        <w:t>y</w:t>
      </w:r>
      <w:r w:rsidRPr="00080728">
        <w:t xml:space="preserve"> la transición a la radiodifusión digital y la atribución del dividendo digital.</w:t>
      </w:r>
    </w:p>
    <w:p w:rsidR="00C5079F" w:rsidRPr="00080728" w:rsidRDefault="00C5079F" w:rsidP="00E85888">
      <w:pPr>
        <w:pStyle w:val="Heading2"/>
      </w:pPr>
      <w:r w:rsidRPr="00080728">
        <w:t>3.3</w:t>
      </w:r>
      <w:r w:rsidRPr="00080728">
        <w:tab/>
        <w:t>UIT-T</w:t>
      </w:r>
    </w:p>
    <w:p w:rsidR="00C5079F" w:rsidRPr="00080728" w:rsidRDefault="00C5079F" w:rsidP="000C798C">
      <w:r w:rsidRPr="00080728">
        <w:t>3.3.1</w:t>
      </w:r>
      <w:r w:rsidRPr="00080728">
        <w:tab/>
      </w:r>
      <w:r w:rsidR="00EA648F" w:rsidRPr="00080728">
        <w:t>Ha</w:t>
      </w:r>
      <w:r w:rsidRPr="00080728">
        <w:t xml:space="preserve"> quedado demostrado que los Grupos Regionales de las Comisiones de Estudio del UIT-T son un mecanismo efectivo que </w:t>
      </w:r>
      <w:r w:rsidR="00E47C84" w:rsidRPr="00080728">
        <w:t>contribuye</w:t>
      </w:r>
      <w:r w:rsidRPr="00080728">
        <w:t xml:space="preserve"> a </w:t>
      </w:r>
      <w:r w:rsidR="00E47C84" w:rsidRPr="00080728">
        <w:t>disminuir</w:t>
      </w:r>
      <w:r w:rsidRPr="00080728">
        <w:t xml:space="preserve"> la </w:t>
      </w:r>
      <w:r w:rsidR="00E47C84" w:rsidRPr="00080728">
        <w:t>disparidad</w:t>
      </w:r>
      <w:r w:rsidRPr="00080728">
        <w:t xml:space="preserve"> de normalización </w:t>
      </w:r>
      <w:r w:rsidR="00E47C84" w:rsidRPr="00080728">
        <w:t>mediante la promoción de</w:t>
      </w:r>
      <w:r w:rsidRPr="00080728">
        <w:t xml:space="preserve"> la participación </w:t>
      </w:r>
      <w:r w:rsidR="00E47C84" w:rsidRPr="00080728">
        <w:t>eficaz</w:t>
      </w:r>
      <w:r w:rsidRPr="00080728">
        <w:t xml:space="preserve"> en </w:t>
      </w:r>
      <w:r w:rsidR="00E47C84" w:rsidRPr="00080728">
        <w:t xml:space="preserve">las </w:t>
      </w:r>
      <w:r w:rsidRPr="00080728">
        <w:t xml:space="preserve">Comisiones de Estudio del UIT-T y </w:t>
      </w:r>
      <w:r w:rsidR="00E47C84" w:rsidRPr="00080728">
        <w:t>e</w:t>
      </w:r>
      <w:r w:rsidRPr="00080728">
        <w:t xml:space="preserve">l aumento del número y la calidad de las contribuciones de países en desarrollo, que en último término </w:t>
      </w:r>
      <w:r w:rsidR="00E47C84" w:rsidRPr="00080728">
        <w:t>puede dar lugar al establecimiento de</w:t>
      </w:r>
      <w:r w:rsidRPr="00080728">
        <w:t xml:space="preserve"> normas. El UIT-T </w:t>
      </w:r>
      <w:r w:rsidR="00E47C84" w:rsidRPr="00080728">
        <w:t>posee</w:t>
      </w:r>
      <w:r w:rsidRPr="00080728">
        <w:t xml:space="preserve"> 23 grupos regionales</w:t>
      </w:r>
      <w:r w:rsidR="00E47C84" w:rsidRPr="00080728">
        <w:t>, de los cuales están activos ocho para</w:t>
      </w:r>
      <w:r w:rsidRPr="00080728">
        <w:t xml:space="preserve"> África, </w:t>
      </w:r>
      <w:r w:rsidR="00E47C84" w:rsidRPr="00080728">
        <w:t>cuatro</w:t>
      </w:r>
      <w:r w:rsidRPr="00080728">
        <w:t xml:space="preserve"> para las Américas, </w:t>
      </w:r>
      <w:r w:rsidR="00E47C84" w:rsidRPr="00080728">
        <w:t>cinco</w:t>
      </w:r>
      <w:r w:rsidRPr="00080728">
        <w:t xml:space="preserve"> para la </w:t>
      </w:r>
      <w:r w:rsidR="00AF7EDF" w:rsidRPr="00080728">
        <w:t>Región de los Estados Árabes</w:t>
      </w:r>
      <w:r w:rsidRPr="00080728">
        <w:t xml:space="preserve">, dos para Asia y el Pacífico y </w:t>
      </w:r>
      <w:r w:rsidR="000C798C" w:rsidRPr="00080728">
        <w:t>tres</w:t>
      </w:r>
      <w:r w:rsidRPr="00080728">
        <w:t xml:space="preserve"> para</w:t>
      </w:r>
      <w:r w:rsidR="00E47C84" w:rsidRPr="00080728">
        <w:t xml:space="preserve"> Europa del Este, Asia Central y Transcaucasia (EECAT)</w:t>
      </w:r>
      <w:r w:rsidRPr="00080728">
        <w:t>.</w:t>
      </w:r>
    </w:p>
    <w:p w:rsidR="00C5079F" w:rsidRPr="00080728" w:rsidRDefault="00C5079F" w:rsidP="00E85888">
      <w:r w:rsidRPr="00080728">
        <w:lastRenderedPageBreak/>
        <w:t>3.3.2</w:t>
      </w:r>
      <w:r w:rsidRPr="00080728">
        <w:tab/>
        <w:t xml:space="preserve">En relación con </w:t>
      </w:r>
      <w:r w:rsidR="00C96116" w:rsidRPr="00080728">
        <w:t>la reducción</w:t>
      </w:r>
      <w:r w:rsidRPr="00080728">
        <w:t xml:space="preserve"> de la brecha digital</w:t>
      </w:r>
      <w:r w:rsidR="00C96116" w:rsidRPr="00080728">
        <w:t>,</w:t>
      </w:r>
      <w:r w:rsidRPr="00080728">
        <w:t xml:space="preserve"> </w:t>
      </w:r>
      <w:r w:rsidR="00C96116" w:rsidRPr="00080728">
        <w:t xml:space="preserve">en 2017 </w:t>
      </w:r>
      <w:r w:rsidRPr="00080728">
        <w:t xml:space="preserve">se celebraron </w:t>
      </w:r>
      <w:r w:rsidR="00C96116" w:rsidRPr="00080728">
        <w:t>cuatro</w:t>
      </w:r>
      <w:r w:rsidRPr="00080728">
        <w:t xml:space="preserve"> Foros de Normalización </w:t>
      </w:r>
      <w:r w:rsidR="00C96116" w:rsidRPr="00080728">
        <w:t>para</w:t>
      </w:r>
      <w:r w:rsidRPr="00080728">
        <w:t xml:space="preserve"> países en desarrollo</w:t>
      </w:r>
      <w:r w:rsidR="00C96116" w:rsidRPr="00080728">
        <w:t xml:space="preserve"> </w:t>
      </w:r>
      <w:r w:rsidRPr="00080728">
        <w:t xml:space="preserve">dedicados a una amplia gama de temas, </w:t>
      </w:r>
      <w:r w:rsidR="00C96116" w:rsidRPr="00080728">
        <w:t>en particular</w:t>
      </w:r>
      <w:r w:rsidRPr="00080728">
        <w:t xml:space="preserve"> </w:t>
      </w:r>
      <w:r w:rsidR="00C96116" w:rsidRPr="00080728">
        <w:t xml:space="preserve">los aspectos de índole operacional, económicos o políticos, la IoT, la inteligencia artificial y la ciberseguridad, etc., </w:t>
      </w:r>
      <w:r w:rsidRPr="00080728">
        <w:t>y se impartieron formaciones sobre los métodos de trabajo del UIT-T.</w:t>
      </w:r>
    </w:p>
    <w:p w:rsidR="00C5079F" w:rsidRPr="00080728" w:rsidRDefault="00C5079F" w:rsidP="00E85888">
      <w:r w:rsidRPr="00080728">
        <w:t>3.3.3</w:t>
      </w:r>
      <w:r w:rsidRPr="00080728">
        <w:tab/>
        <w:t xml:space="preserve">La BDT y la TSB vienen organizando conjuntamente desde </w:t>
      </w:r>
      <w:r w:rsidR="00B50299" w:rsidRPr="00080728">
        <w:t xml:space="preserve">el decenio de </w:t>
      </w:r>
      <w:r w:rsidRPr="00080728">
        <w:t xml:space="preserve">1990 </w:t>
      </w:r>
      <w:r w:rsidR="00B50299" w:rsidRPr="00080728">
        <w:t xml:space="preserve">varios </w:t>
      </w:r>
      <w:r w:rsidRPr="00080728">
        <w:t xml:space="preserve">Foros </w:t>
      </w:r>
      <w:r w:rsidR="00B50299" w:rsidRPr="00080728">
        <w:t>Económicos y Financieros Regionales</w:t>
      </w:r>
      <w:r w:rsidRPr="00080728">
        <w:t xml:space="preserve"> que se celebran junto con los Grupos Regionales de la CE 3. Cada año se celebran </w:t>
      </w:r>
      <w:r w:rsidR="00B50299" w:rsidRPr="00080728">
        <w:t>cuatro</w:t>
      </w:r>
      <w:r w:rsidRPr="00080728">
        <w:t xml:space="preserve"> reuniones mixtas en las Regiones</w:t>
      </w:r>
      <w:r w:rsidR="00B50299" w:rsidRPr="00080728">
        <w:t xml:space="preserve"> de</w:t>
      </w:r>
      <w:r w:rsidRPr="00080728">
        <w:t xml:space="preserve"> África, Asia </w:t>
      </w:r>
      <w:r w:rsidR="00B50299" w:rsidRPr="00080728">
        <w:t xml:space="preserve">y </w:t>
      </w:r>
      <w:r w:rsidRPr="00080728">
        <w:t>Oceanía, Estados Árabes y América Latina y el Caribe.</w:t>
      </w:r>
    </w:p>
    <w:p w:rsidR="00C5079F" w:rsidRPr="00080728" w:rsidRDefault="00C5079F" w:rsidP="00E85888">
      <w:r w:rsidRPr="00080728">
        <w:t>3.3.4</w:t>
      </w:r>
      <w:r w:rsidRPr="00080728">
        <w:tab/>
        <w:t xml:space="preserve">El éxito de la formación sobre capacitación práctica que lleva a cabo la CE 3 del UIT-T desde </w:t>
      </w:r>
      <w:r w:rsidR="00B50299" w:rsidRPr="00080728">
        <w:t>comienzos</w:t>
      </w:r>
      <w:r w:rsidRPr="00080728">
        <w:t xml:space="preserve"> de 2014 se ha </w:t>
      </w:r>
      <w:r w:rsidR="00B50299" w:rsidRPr="00080728">
        <w:t>ampliado</w:t>
      </w:r>
      <w:r w:rsidRPr="00080728">
        <w:t xml:space="preserve"> a otras Comisiones de Estudio y </w:t>
      </w:r>
      <w:r w:rsidR="00B50299" w:rsidRPr="00080728">
        <w:t xml:space="preserve">a </w:t>
      </w:r>
      <w:r w:rsidRPr="00080728">
        <w:t>sus Grupos Regionales</w:t>
      </w:r>
      <w:r w:rsidR="00B50299" w:rsidRPr="00080728">
        <w:t xml:space="preserve"> (3 reuniones celebradas en las regiones y 7 en Ginebra en 2017)</w:t>
      </w:r>
      <w:r w:rsidRPr="00080728">
        <w:t xml:space="preserve">. Esas sesiones prácticas sobre </w:t>
      </w:r>
      <w:r w:rsidR="00B50299" w:rsidRPr="00080728">
        <w:t>reducción</w:t>
      </w:r>
      <w:r w:rsidRPr="00080728">
        <w:t xml:space="preserve"> de la brecha digital están destinadas a prestar asistencia </w:t>
      </w:r>
      <w:r w:rsidR="00B50299" w:rsidRPr="00080728">
        <w:t>a los países en desarrollo para</w:t>
      </w:r>
      <w:r w:rsidRPr="00080728">
        <w:t xml:space="preserve"> la adquisición de los conocimientos y</w:t>
      </w:r>
      <w:r w:rsidR="00B50299" w:rsidRPr="00080728">
        <w:t xml:space="preserve"> las</w:t>
      </w:r>
      <w:r w:rsidRPr="00080728">
        <w:t xml:space="preserve"> capacidades necesarios para la elaboración de normas internacionales y la </w:t>
      </w:r>
      <w:r w:rsidR="00B50299" w:rsidRPr="00080728">
        <w:t>elaboración</w:t>
      </w:r>
      <w:r w:rsidRPr="00080728">
        <w:t xml:space="preserve"> de contribuciones para las reuniones. </w:t>
      </w:r>
      <w:r w:rsidR="00B50299" w:rsidRPr="00080728">
        <w:t>En l</w:t>
      </w:r>
      <w:r w:rsidRPr="00080728">
        <w:t xml:space="preserve">as sesiones </w:t>
      </w:r>
      <w:r w:rsidR="00B50299" w:rsidRPr="00080728">
        <w:t xml:space="preserve">se </w:t>
      </w:r>
      <w:r w:rsidRPr="00080728">
        <w:t xml:space="preserve">da prioridad al desarrollo de </w:t>
      </w:r>
      <w:r w:rsidR="00B50299" w:rsidRPr="00080728">
        <w:t>competencias</w:t>
      </w:r>
      <w:r w:rsidRPr="00080728">
        <w:t xml:space="preserve"> prácticas para maximizar la eficacia de la participación de los países en desarrollo en el proceso de normalización del UIT-T</w:t>
      </w:r>
      <w:r w:rsidR="00B50299" w:rsidRPr="00080728">
        <w:t>,</w:t>
      </w:r>
      <w:r w:rsidRPr="00080728">
        <w:t xml:space="preserve"> y comprenden una serie de temas, entre ellos las estrategias de participación en las Comisiones de Estudio, la redacción de contribuciones, la presentación de propuestas, los métodos de trabajo fundados en la colaboración y los medios para lograr apoyos y </w:t>
      </w:r>
      <w:r w:rsidR="00B50299" w:rsidRPr="00080728">
        <w:t xml:space="preserve">alcanzar </w:t>
      </w:r>
      <w:r w:rsidRPr="00080728">
        <w:t>consenso.</w:t>
      </w:r>
    </w:p>
    <w:p w:rsidR="00C5079F" w:rsidRPr="00080728" w:rsidRDefault="00C5079F" w:rsidP="007A7255">
      <w:r w:rsidRPr="00080728">
        <w:t>3.3.5</w:t>
      </w:r>
      <w:r w:rsidRPr="00080728">
        <w:tab/>
      </w:r>
      <w:r w:rsidR="00B50299" w:rsidRPr="00080728">
        <w:t>A fin de</w:t>
      </w:r>
      <w:r w:rsidRPr="00080728">
        <w:t xml:space="preserve"> garantizar una </w:t>
      </w:r>
      <w:r w:rsidR="005A48CB" w:rsidRPr="00080728">
        <w:t xml:space="preserve">mejor </w:t>
      </w:r>
      <w:r w:rsidRPr="00080728">
        <w:t xml:space="preserve">coordinación </w:t>
      </w:r>
      <w:r w:rsidR="005A48CB" w:rsidRPr="00080728">
        <w:t xml:space="preserve">de forma ininterrumpida </w:t>
      </w:r>
      <w:r w:rsidRPr="00080728">
        <w:t xml:space="preserve">entre las Oficinas Regionales y </w:t>
      </w:r>
      <w:r w:rsidR="005A48CB" w:rsidRPr="00080728">
        <w:t>la labor</w:t>
      </w:r>
      <w:r w:rsidRPr="00080728">
        <w:t xml:space="preserve"> del UIT-T, los Directores de las Oficinas Regionales, el Director de la TSB y su equipo directivo </w:t>
      </w:r>
      <w:r w:rsidR="00B8440C" w:rsidRPr="00080728">
        <w:t>celebran</w:t>
      </w:r>
      <w:r w:rsidRPr="00080728">
        <w:t xml:space="preserve"> periódicamente tel</w:t>
      </w:r>
      <w:r w:rsidR="00B8440C" w:rsidRPr="00080728">
        <w:t>e</w:t>
      </w:r>
      <w:r w:rsidRPr="00080728">
        <w:t xml:space="preserve">conferencias de acuerdo con el calendario </w:t>
      </w:r>
      <w:r w:rsidR="00B8440C" w:rsidRPr="00080728">
        <w:t>previsto</w:t>
      </w:r>
      <w:r w:rsidRPr="00080728">
        <w:t xml:space="preserve"> a tal efecto. </w:t>
      </w:r>
      <w:r w:rsidR="005A48CB" w:rsidRPr="00080728">
        <w:t>Por otro lado</w:t>
      </w:r>
      <w:r w:rsidRPr="00080728">
        <w:t xml:space="preserve">, </w:t>
      </w:r>
      <w:r w:rsidR="005A48CB" w:rsidRPr="00080728">
        <w:t>se facilitan a los Directores de las Oficinas Regionales resúmenes ejecutivos de las reuniones de las Comisiones de Estudio del UIT-T, incluida la participación de cada región</w:t>
      </w:r>
      <w:r w:rsidRPr="00080728">
        <w:t>.</w:t>
      </w:r>
    </w:p>
    <w:p w:rsidR="00C5079F" w:rsidRPr="00080728" w:rsidRDefault="00C5079F" w:rsidP="00E85888">
      <w:pPr>
        <w:pStyle w:val="Heading2"/>
      </w:pPr>
      <w:r w:rsidRPr="00080728">
        <w:t>3.4</w:t>
      </w:r>
      <w:r w:rsidRPr="00080728">
        <w:tab/>
        <w:t>Secretaría General</w:t>
      </w:r>
    </w:p>
    <w:p w:rsidR="00C5079F" w:rsidRPr="00080728" w:rsidRDefault="00C5079F" w:rsidP="00E85888">
      <w:r w:rsidRPr="00080728">
        <w:rPr>
          <w:b/>
          <w:bCs/>
          <w:cs/>
        </w:rPr>
        <w:t>‎</w:t>
      </w:r>
      <w:r w:rsidRPr="00080728">
        <w:t>3.4.1</w:t>
      </w:r>
      <w:r w:rsidRPr="00080728">
        <w:rPr>
          <w:cs/>
        </w:rPr>
        <w:t>‎</w:t>
      </w:r>
      <w:r w:rsidRPr="00080728">
        <w:tab/>
        <w:t xml:space="preserve">Gracias a la Agenda 2030 para el Desarrollo Sostenible, en la que se reconoce la importancia de las TIC como facilitador esencial del avance de los objetivos de desarrollo sostenible (ODS) mundialmente acordados, seguirá mejorando la cooperación entre las </w:t>
      </w:r>
      <w:r w:rsidR="001F220F" w:rsidRPr="00080728">
        <w:t>Oficinas Regionales y de Zona</w:t>
      </w:r>
      <w:r w:rsidRPr="00080728">
        <w:t xml:space="preserve"> de la UIT y organizaciones regionales y otras organizaciones internacionales competentes que tratan del desarrollo y de asuntos financieros. Se reforzará la participación de los miembros de la UIT en el sistema de desarrollo de las Naciones Unidas, y como contribuyente financiero al sistema de coordinadores residentes de las Naciones Unidas, para garantizar que las dimensiones habilitadoras de las TIC quedan correctamente reflejadas en los Marcos de Asistencia para el Desarrollo de las Naciones Unidas (MANUD) y documentos equivalentes, así como en estrategias de reducción de la pobreza.</w:t>
      </w:r>
      <w:r w:rsidRPr="00080728">
        <w:rPr>
          <w:cs/>
        </w:rPr>
        <w:t>‎</w:t>
      </w:r>
    </w:p>
    <w:p w:rsidR="00C5079F" w:rsidRPr="00080728" w:rsidRDefault="00C5079F" w:rsidP="00E85888">
      <w:pPr>
        <w:tabs>
          <w:tab w:val="clear" w:pos="1134"/>
          <w:tab w:val="clear" w:pos="1701"/>
          <w:tab w:val="clear" w:pos="2268"/>
          <w:tab w:val="clear" w:pos="2835"/>
        </w:tabs>
        <w:overflowPunct/>
        <w:autoSpaceDE/>
        <w:autoSpaceDN/>
        <w:adjustRightInd/>
        <w:snapToGrid w:val="0"/>
        <w:jc w:val="both"/>
        <w:textAlignment w:val="auto"/>
        <w:rPr>
          <w:rFonts w:asciiTheme="minorHAnsi" w:hAnsiTheme="minorHAnsi"/>
          <w:szCs w:val="24"/>
        </w:rPr>
      </w:pPr>
      <w:r w:rsidRPr="00080728">
        <w:rPr>
          <w:rFonts w:asciiTheme="minorHAnsi" w:hAnsiTheme="minorHAnsi"/>
          <w:szCs w:val="24"/>
        </w:rPr>
        <w:t>3.4.2</w:t>
      </w:r>
      <w:r w:rsidRPr="00080728">
        <w:rPr>
          <w:rFonts w:asciiTheme="minorHAnsi" w:hAnsiTheme="minorHAnsi"/>
          <w:szCs w:val="24"/>
        </w:rPr>
        <w:tab/>
      </w:r>
      <w:r w:rsidR="003F5D7F" w:rsidRPr="00080728">
        <w:rPr>
          <w:rFonts w:asciiTheme="minorHAnsi" w:hAnsiTheme="minorHAnsi"/>
          <w:szCs w:val="24"/>
        </w:rPr>
        <w:t xml:space="preserve">El Consejo de la UIT de 2016 resolvió utilizar el marco de la CMSI como fundamento </w:t>
      </w:r>
      <w:r w:rsidR="008A3773" w:rsidRPr="00080728">
        <w:rPr>
          <w:rFonts w:asciiTheme="minorHAnsi" w:hAnsiTheme="minorHAnsi"/>
          <w:szCs w:val="24"/>
        </w:rPr>
        <w:t>de la contribución de</w:t>
      </w:r>
      <w:r w:rsidR="003F5D7F" w:rsidRPr="00080728">
        <w:rPr>
          <w:rFonts w:asciiTheme="minorHAnsi" w:hAnsiTheme="minorHAnsi"/>
          <w:szCs w:val="24"/>
        </w:rPr>
        <w:t xml:space="preserve"> la UIT al cumplimiento de la Agenda 2030, </w:t>
      </w:r>
      <w:r w:rsidR="008A3773" w:rsidRPr="00080728">
        <w:rPr>
          <w:rFonts w:asciiTheme="minorHAnsi" w:hAnsiTheme="minorHAnsi"/>
          <w:szCs w:val="24"/>
        </w:rPr>
        <w:t>con arreglo al</w:t>
      </w:r>
      <w:r w:rsidR="003F5D7F" w:rsidRPr="00080728">
        <w:rPr>
          <w:rFonts w:asciiTheme="minorHAnsi" w:hAnsiTheme="minorHAnsi"/>
          <w:szCs w:val="24"/>
        </w:rPr>
        <w:t xml:space="preserve"> mandato de la UIT y los recursos </w:t>
      </w:r>
      <w:r w:rsidR="008A3773" w:rsidRPr="00080728">
        <w:rPr>
          <w:rFonts w:asciiTheme="minorHAnsi" w:hAnsiTheme="minorHAnsi"/>
          <w:szCs w:val="24"/>
        </w:rPr>
        <w:t>consignados</w:t>
      </w:r>
      <w:r w:rsidR="003F5D7F" w:rsidRPr="00080728">
        <w:rPr>
          <w:rFonts w:asciiTheme="minorHAnsi" w:hAnsiTheme="minorHAnsi"/>
          <w:szCs w:val="24"/>
        </w:rPr>
        <w:t xml:space="preserve"> en el Plan Financiero y el Presupuesto bienal, habida cuenta de la matriz CMSI</w:t>
      </w:r>
      <w:r w:rsidR="008A3773" w:rsidRPr="00080728">
        <w:rPr>
          <w:rFonts w:asciiTheme="minorHAnsi" w:hAnsiTheme="minorHAnsi"/>
          <w:szCs w:val="24"/>
        </w:rPr>
        <w:t>-</w:t>
      </w:r>
      <w:r w:rsidR="003F5D7F" w:rsidRPr="00080728">
        <w:rPr>
          <w:rFonts w:asciiTheme="minorHAnsi" w:hAnsiTheme="minorHAnsi"/>
          <w:szCs w:val="24"/>
        </w:rPr>
        <w:t xml:space="preserve">ODS elaborada por organismos de las Naciones Unidas. </w:t>
      </w:r>
      <w:r w:rsidR="008A3773" w:rsidRPr="00080728">
        <w:rPr>
          <w:rFonts w:asciiTheme="minorHAnsi" w:hAnsiTheme="minorHAnsi"/>
          <w:szCs w:val="24"/>
        </w:rPr>
        <w:t xml:space="preserve">Con el objetivo de </w:t>
      </w:r>
      <w:r w:rsidR="007D0FE7" w:rsidRPr="00080728">
        <w:rPr>
          <w:rFonts w:asciiTheme="minorHAnsi" w:hAnsiTheme="minorHAnsi"/>
          <w:szCs w:val="24"/>
        </w:rPr>
        <w:t>facilitar</w:t>
      </w:r>
      <w:r w:rsidR="008A3773" w:rsidRPr="00080728">
        <w:rPr>
          <w:rFonts w:asciiTheme="minorHAnsi" w:hAnsiTheme="minorHAnsi"/>
          <w:szCs w:val="24"/>
        </w:rPr>
        <w:t xml:space="preserve"> la </w:t>
      </w:r>
      <w:r w:rsidR="007D0FE7" w:rsidRPr="00080728">
        <w:rPr>
          <w:rFonts w:asciiTheme="minorHAnsi" w:hAnsiTheme="minorHAnsi"/>
          <w:szCs w:val="24"/>
        </w:rPr>
        <w:t>aplicación</w:t>
      </w:r>
      <w:r w:rsidR="008A3773" w:rsidRPr="00080728">
        <w:rPr>
          <w:rFonts w:asciiTheme="minorHAnsi" w:hAnsiTheme="minorHAnsi"/>
          <w:szCs w:val="24"/>
        </w:rPr>
        <w:t xml:space="preserve"> de los Resultados de la CMSI a nivel regional, se alienta a las </w:t>
      </w:r>
      <w:r w:rsidR="001F220F" w:rsidRPr="00080728">
        <w:t xml:space="preserve">Oficinas Regionales y de Zona </w:t>
      </w:r>
      <w:r w:rsidR="008A3773" w:rsidRPr="00080728">
        <w:rPr>
          <w:rFonts w:asciiTheme="minorHAnsi" w:hAnsiTheme="minorHAnsi"/>
          <w:szCs w:val="24"/>
        </w:rPr>
        <w:t xml:space="preserve">de la UIT a </w:t>
      </w:r>
      <w:r w:rsidR="00B4677A" w:rsidRPr="00080728">
        <w:rPr>
          <w:rFonts w:asciiTheme="minorHAnsi" w:hAnsiTheme="minorHAnsi"/>
          <w:szCs w:val="24"/>
        </w:rPr>
        <w:t>que prosigan sus actividades de coordinación y colaboración</w:t>
      </w:r>
      <w:r w:rsidR="008A3773" w:rsidRPr="00080728">
        <w:rPr>
          <w:rFonts w:asciiTheme="minorHAnsi" w:hAnsiTheme="minorHAnsi"/>
          <w:szCs w:val="24"/>
        </w:rPr>
        <w:t xml:space="preserve"> nivel regional (con la asistencia del </w:t>
      </w:r>
      <w:r w:rsidR="00B4677A" w:rsidRPr="00080728">
        <w:rPr>
          <w:rFonts w:asciiTheme="minorHAnsi" w:hAnsiTheme="minorHAnsi"/>
          <w:szCs w:val="24"/>
        </w:rPr>
        <w:t>e</w:t>
      </w:r>
      <w:r w:rsidR="008A3773" w:rsidRPr="00080728">
        <w:rPr>
          <w:rFonts w:asciiTheme="minorHAnsi" w:hAnsiTheme="minorHAnsi"/>
          <w:szCs w:val="24"/>
        </w:rPr>
        <w:t xml:space="preserve">quipo de la CMSI) con las </w:t>
      </w:r>
      <w:r w:rsidR="00B4677A" w:rsidRPr="00080728">
        <w:rPr>
          <w:rFonts w:asciiTheme="minorHAnsi" w:hAnsiTheme="minorHAnsi"/>
          <w:szCs w:val="24"/>
        </w:rPr>
        <w:t>c</w:t>
      </w:r>
      <w:r w:rsidR="008A3773" w:rsidRPr="00080728">
        <w:rPr>
          <w:rFonts w:asciiTheme="minorHAnsi" w:hAnsiTheme="minorHAnsi"/>
          <w:szCs w:val="24"/>
        </w:rPr>
        <w:t>omisiones económicas regionales de la ONU y el Grupo de Desarrollo Regional de las Naciones Unidas, así como</w:t>
      </w:r>
      <w:r w:rsidR="00B4677A" w:rsidRPr="00080728">
        <w:rPr>
          <w:rFonts w:asciiTheme="minorHAnsi" w:hAnsiTheme="minorHAnsi"/>
          <w:szCs w:val="24"/>
        </w:rPr>
        <w:t xml:space="preserve"> con</w:t>
      </w:r>
      <w:r w:rsidR="008A3773" w:rsidRPr="00080728">
        <w:rPr>
          <w:rFonts w:asciiTheme="minorHAnsi" w:hAnsiTheme="minorHAnsi"/>
          <w:szCs w:val="24"/>
        </w:rPr>
        <w:t xml:space="preserve"> todos los organismos de las Naciones Unidas (en </w:t>
      </w:r>
      <w:r w:rsidR="008A3773" w:rsidRPr="00080728">
        <w:rPr>
          <w:rFonts w:asciiTheme="minorHAnsi" w:hAnsiTheme="minorHAnsi"/>
          <w:szCs w:val="24"/>
        </w:rPr>
        <w:lastRenderedPageBreak/>
        <w:t>particular los que actúan como facilitadores de las Líneas de Acción de la CMSI)</w:t>
      </w:r>
      <w:r w:rsidR="00B4677A" w:rsidRPr="00080728">
        <w:rPr>
          <w:rFonts w:asciiTheme="minorHAnsi" w:hAnsiTheme="minorHAnsi"/>
          <w:szCs w:val="24"/>
        </w:rPr>
        <w:t xml:space="preserve"> y </w:t>
      </w:r>
      <w:r w:rsidR="008A3773" w:rsidRPr="00080728">
        <w:rPr>
          <w:rFonts w:asciiTheme="minorHAnsi" w:hAnsiTheme="minorHAnsi"/>
          <w:szCs w:val="24"/>
        </w:rPr>
        <w:t xml:space="preserve">otras organizaciones regionales pertinentes, </w:t>
      </w:r>
      <w:r w:rsidR="00B4677A" w:rsidRPr="00080728">
        <w:rPr>
          <w:rFonts w:asciiTheme="minorHAnsi" w:hAnsiTheme="minorHAnsi"/>
          <w:szCs w:val="24"/>
        </w:rPr>
        <w:t>en particular en la esfera</w:t>
      </w:r>
      <w:r w:rsidR="008A3773" w:rsidRPr="00080728">
        <w:rPr>
          <w:rFonts w:asciiTheme="minorHAnsi" w:hAnsiTheme="minorHAnsi"/>
          <w:szCs w:val="24"/>
        </w:rPr>
        <w:t xml:space="preserve"> de las telecomunicaciones/TIC, con el objetivo de </w:t>
      </w:r>
      <w:r w:rsidR="00B4677A" w:rsidRPr="00080728">
        <w:rPr>
          <w:rFonts w:asciiTheme="minorHAnsi" w:hAnsiTheme="minorHAnsi"/>
          <w:szCs w:val="24"/>
        </w:rPr>
        <w:t>armonizar</w:t>
      </w:r>
      <w:r w:rsidR="008A3773" w:rsidRPr="00080728">
        <w:rPr>
          <w:rFonts w:asciiTheme="minorHAnsi" w:hAnsiTheme="minorHAnsi"/>
          <w:szCs w:val="24"/>
        </w:rPr>
        <w:t xml:space="preserve"> los procesos de la CMSI y los ODS</w:t>
      </w:r>
      <w:r w:rsidR="00B4677A" w:rsidRPr="00080728">
        <w:rPr>
          <w:rFonts w:asciiTheme="minorHAnsi" w:hAnsiTheme="minorHAnsi"/>
          <w:szCs w:val="24"/>
        </w:rPr>
        <w:t>, incluida</w:t>
      </w:r>
      <w:r w:rsidR="008A3773" w:rsidRPr="00080728">
        <w:rPr>
          <w:rFonts w:asciiTheme="minorHAnsi" w:hAnsiTheme="minorHAnsi"/>
          <w:szCs w:val="24"/>
        </w:rPr>
        <w:t xml:space="preserve"> su</w:t>
      </w:r>
      <w:r w:rsidR="00B4677A" w:rsidRPr="00080728">
        <w:rPr>
          <w:rFonts w:asciiTheme="minorHAnsi" w:hAnsiTheme="minorHAnsi"/>
          <w:szCs w:val="24"/>
        </w:rPr>
        <w:t xml:space="preserve"> aplicación, a tenor de</w:t>
      </w:r>
      <w:r w:rsidR="008A3773" w:rsidRPr="00080728">
        <w:rPr>
          <w:rFonts w:asciiTheme="minorHAnsi" w:hAnsiTheme="minorHAnsi"/>
          <w:szCs w:val="24"/>
        </w:rPr>
        <w:t xml:space="preserve"> lo </w:t>
      </w:r>
      <w:r w:rsidR="00B4677A" w:rsidRPr="00080728">
        <w:rPr>
          <w:rFonts w:asciiTheme="minorHAnsi" w:hAnsiTheme="minorHAnsi"/>
          <w:szCs w:val="24"/>
        </w:rPr>
        <w:t>dispuesto</w:t>
      </w:r>
      <w:r w:rsidR="008A3773" w:rsidRPr="00080728">
        <w:rPr>
          <w:rFonts w:asciiTheme="minorHAnsi" w:hAnsiTheme="minorHAnsi"/>
          <w:szCs w:val="24"/>
        </w:rPr>
        <w:t xml:space="preserve"> </w:t>
      </w:r>
      <w:r w:rsidR="00B4677A" w:rsidRPr="00080728">
        <w:rPr>
          <w:rFonts w:asciiTheme="minorHAnsi" w:hAnsiTheme="minorHAnsi"/>
          <w:szCs w:val="24"/>
        </w:rPr>
        <w:t xml:space="preserve">en </w:t>
      </w:r>
      <w:r w:rsidR="008A3773" w:rsidRPr="00080728">
        <w:rPr>
          <w:rFonts w:asciiTheme="minorHAnsi" w:hAnsiTheme="minorHAnsi"/>
          <w:szCs w:val="24"/>
        </w:rPr>
        <w:t xml:space="preserve">la Resolución 70/125 de la </w:t>
      </w:r>
      <w:r w:rsidR="00B4677A" w:rsidRPr="00080728">
        <w:rPr>
          <w:rFonts w:asciiTheme="minorHAnsi" w:hAnsiTheme="minorHAnsi"/>
          <w:szCs w:val="24"/>
        </w:rPr>
        <w:t>AGNU</w:t>
      </w:r>
      <w:r w:rsidR="008A3773" w:rsidRPr="00080728">
        <w:rPr>
          <w:rFonts w:asciiTheme="minorHAnsi" w:hAnsiTheme="minorHAnsi"/>
          <w:szCs w:val="24"/>
        </w:rPr>
        <w:t xml:space="preserve">, </w:t>
      </w:r>
      <w:r w:rsidR="00B4677A" w:rsidRPr="00080728">
        <w:rPr>
          <w:rFonts w:asciiTheme="minorHAnsi" w:hAnsiTheme="minorHAnsi"/>
          <w:szCs w:val="24"/>
        </w:rPr>
        <w:t>estableciendo asociaciones</w:t>
      </w:r>
      <w:r w:rsidR="008A3773" w:rsidRPr="00080728">
        <w:rPr>
          <w:rFonts w:asciiTheme="minorHAnsi" w:hAnsiTheme="minorHAnsi"/>
          <w:szCs w:val="24"/>
        </w:rPr>
        <w:t xml:space="preserve"> para la </w:t>
      </w:r>
      <w:r w:rsidR="00B4677A" w:rsidRPr="00080728">
        <w:rPr>
          <w:rFonts w:asciiTheme="minorHAnsi" w:hAnsiTheme="minorHAnsi"/>
          <w:szCs w:val="24"/>
        </w:rPr>
        <w:t>implantación</w:t>
      </w:r>
      <w:r w:rsidR="008A3773" w:rsidRPr="00080728">
        <w:rPr>
          <w:rFonts w:asciiTheme="minorHAnsi" w:hAnsiTheme="minorHAnsi"/>
          <w:szCs w:val="24"/>
        </w:rPr>
        <w:t xml:space="preserve"> de proyectos interinstitucionales de múltiples partes interesadas</w:t>
      </w:r>
      <w:r w:rsidR="00B4677A" w:rsidRPr="00080728">
        <w:rPr>
          <w:rFonts w:asciiTheme="minorHAnsi" w:hAnsiTheme="minorHAnsi"/>
          <w:szCs w:val="24"/>
        </w:rPr>
        <w:t xml:space="preserve"> con objeto de promover</w:t>
      </w:r>
      <w:r w:rsidR="008A3773" w:rsidRPr="00080728">
        <w:rPr>
          <w:rFonts w:asciiTheme="minorHAnsi" w:hAnsiTheme="minorHAnsi"/>
          <w:szCs w:val="24"/>
        </w:rPr>
        <w:t xml:space="preserve"> la </w:t>
      </w:r>
      <w:r w:rsidR="00B4677A" w:rsidRPr="00080728">
        <w:rPr>
          <w:rFonts w:asciiTheme="minorHAnsi" w:hAnsiTheme="minorHAnsi"/>
          <w:szCs w:val="24"/>
        </w:rPr>
        <w:t>aplicación de las</w:t>
      </w:r>
      <w:r w:rsidR="008A3773" w:rsidRPr="00080728">
        <w:rPr>
          <w:rFonts w:asciiTheme="minorHAnsi" w:hAnsiTheme="minorHAnsi"/>
          <w:szCs w:val="24"/>
        </w:rPr>
        <w:t xml:space="preserve"> Líneas de Acción de la CMSI</w:t>
      </w:r>
      <w:r w:rsidR="00B4677A" w:rsidRPr="00080728">
        <w:rPr>
          <w:rFonts w:asciiTheme="minorHAnsi" w:hAnsiTheme="minorHAnsi"/>
          <w:szCs w:val="24"/>
        </w:rPr>
        <w:t>,</w:t>
      </w:r>
      <w:r w:rsidR="008A3773" w:rsidRPr="00080728">
        <w:rPr>
          <w:rFonts w:asciiTheme="minorHAnsi" w:hAnsiTheme="minorHAnsi"/>
          <w:szCs w:val="24"/>
        </w:rPr>
        <w:t xml:space="preserve"> </w:t>
      </w:r>
      <w:r w:rsidR="00B4677A" w:rsidRPr="00080728">
        <w:rPr>
          <w:rFonts w:asciiTheme="minorHAnsi" w:hAnsiTheme="minorHAnsi"/>
          <w:szCs w:val="24"/>
        </w:rPr>
        <w:t>el cumplimiento de los</w:t>
      </w:r>
      <w:r w:rsidR="008A3773" w:rsidRPr="00080728">
        <w:rPr>
          <w:rFonts w:asciiTheme="minorHAnsi" w:hAnsiTheme="minorHAnsi"/>
          <w:szCs w:val="24"/>
        </w:rPr>
        <w:t xml:space="preserve"> ODS y </w:t>
      </w:r>
      <w:r w:rsidR="00B4677A" w:rsidRPr="00080728">
        <w:rPr>
          <w:rFonts w:asciiTheme="minorHAnsi" w:hAnsiTheme="minorHAnsi"/>
          <w:szCs w:val="24"/>
        </w:rPr>
        <w:t>las contribuciones</w:t>
      </w:r>
      <w:r w:rsidR="008A3773" w:rsidRPr="00080728">
        <w:rPr>
          <w:rFonts w:asciiTheme="minorHAnsi" w:hAnsiTheme="minorHAnsi"/>
          <w:szCs w:val="24"/>
        </w:rPr>
        <w:t xml:space="preserve"> regionales al Foro de la CMSI, </w:t>
      </w:r>
      <w:r w:rsidR="00B4677A" w:rsidRPr="00080728">
        <w:rPr>
          <w:rFonts w:asciiTheme="minorHAnsi" w:hAnsiTheme="minorHAnsi"/>
          <w:szCs w:val="24"/>
        </w:rPr>
        <w:t>los Premios y el Inventario de la CMSI</w:t>
      </w:r>
      <w:r w:rsidRPr="00080728">
        <w:rPr>
          <w:rFonts w:asciiTheme="minorHAnsi" w:hAnsiTheme="minorHAnsi"/>
          <w:szCs w:val="24"/>
        </w:rPr>
        <w:t>.</w:t>
      </w:r>
    </w:p>
    <w:p w:rsidR="00701EF8" w:rsidRPr="00080728" w:rsidRDefault="00701EF8" w:rsidP="00E85888">
      <w:pPr>
        <w:pStyle w:val="Heading1"/>
      </w:pPr>
      <w:r w:rsidRPr="00080728">
        <w:t>4</w:t>
      </w:r>
      <w:r w:rsidRPr="00080728">
        <w:tab/>
        <w:t xml:space="preserve">Estructura y dotación de personal </w:t>
      </w:r>
    </w:p>
    <w:p w:rsidR="005649AF" w:rsidRPr="00080728" w:rsidRDefault="00E4130D" w:rsidP="00E85888">
      <w:r w:rsidRPr="00080728">
        <w:rPr>
          <w:rFonts w:asciiTheme="minorHAnsi" w:hAnsiTheme="minorHAnsi"/>
        </w:rPr>
        <w:t>4.1</w:t>
      </w:r>
      <w:r w:rsidRPr="00080728">
        <w:rPr>
          <w:rFonts w:asciiTheme="minorHAnsi" w:hAnsiTheme="minorHAnsi"/>
        </w:rPr>
        <w:tab/>
      </w:r>
      <w:r w:rsidR="00B4677A" w:rsidRPr="00080728">
        <w:rPr>
          <w:rFonts w:asciiTheme="minorHAnsi" w:hAnsiTheme="minorHAnsi"/>
        </w:rPr>
        <w:t>En los Anexos</w:t>
      </w:r>
      <w:r w:rsidRPr="00080728">
        <w:rPr>
          <w:rFonts w:asciiTheme="minorHAnsi" w:hAnsiTheme="minorHAnsi"/>
        </w:rPr>
        <w:t xml:space="preserve"> 5 </w:t>
      </w:r>
      <w:r w:rsidR="00B4677A" w:rsidRPr="00080728">
        <w:rPr>
          <w:rFonts w:asciiTheme="minorHAnsi" w:hAnsiTheme="minorHAnsi"/>
        </w:rPr>
        <w:t>y</w:t>
      </w:r>
      <w:r w:rsidRPr="00080728">
        <w:rPr>
          <w:rFonts w:asciiTheme="minorHAnsi" w:hAnsiTheme="minorHAnsi"/>
        </w:rPr>
        <w:t xml:space="preserve"> 6 </w:t>
      </w:r>
      <w:r w:rsidR="00B4677A" w:rsidRPr="00080728">
        <w:rPr>
          <w:rFonts w:asciiTheme="minorHAnsi" w:hAnsiTheme="minorHAnsi"/>
        </w:rPr>
        <w:t>del</w:t>
      </w:r>
      <w:r w:rsidRPr="00080728">
        <w:rPr>
          <w:rFonts w:asciiTheme="minorHAnsi" w:hAnsiTheme="minorHAnsi"/>
        </w:rPr>
        <w:t xml:space="preserve"> </w:t>
      </w:r>
      <w:hyperlink r:id="rId20" w:history="1">
        <w:r w:rsidRPr="00080728">
          <w:rPr>
            <w:rStyle w:val="Hyperlink"/>
          </w:rPr>
          <w:t>Document</w:t>
        </w:r>
        <w:r w:rsidR="00B4677A" w:rsidRPr="00080728">
          <w:rPr>
            <w:rStyle w:val="Hyperlink"/>
          </w:rPr>
          <w:t>o</w:t>
        </w:r>
        <w:r w:rsidRPr="00080728">
          <w:rPr>
            <w:rStyle w:val="Hyperlink"/>
          </w:rPr>
          <w:t xml:space="preserve"> C18/INF/6</w:t>
        </w:r>
      </w:hyperlink>
      <w:r w:rsidRPr="00080728">
        <w:rPr>
          <w:rFonts w:asciiTheme="minorHAnsi" w:hAnsiTheme="minorHAnsi"/>
        </w:rPr>
        <w:t xml:space="preserve"> </w:t>
      </w:r>
      <w:r w:rsidR="00B4677A" w:rsidRPr="00080728">
        <w:rPr>
          <w:rFonts w:asciiTheme="minorHAnsi" w:hAnsiTheme="minorHAnsi"/>
        </w:rPr>
        <w:t xml:space="preserve">se desglosa el nivel de dotación de personal </w:t>
      </w:r>
      <w:r w:rsidR="00C3323D" w:rsidRPr="00080728">
        <w:rPr>
          <w:rFonts w:asciiTheme="minorHAnsi" w:hAnsiTheme="minorHAnsi"/>
        </w:rPr>
        <w:t>a partir de</w:t>
      </w:r>
      <w:r w:rsidRPr="00080728">
        <w:rPr>
          <w:rFonts w:asciiTheme="minorHAnsi" w:hAnsiTheme="minorHAnsi"/>
        </w:rPr>
        <w:t xml:space="preserve"> 2017 </w:t>
      </w:r>
      <w:r w:rsidR="00C3323D" w:rsidRPr="00080728">
        <w:rPr>
          <w:rFonts w:asciiTheme="minorHAnsi" w:hAnsiTheme="minorHAnsi"/>
        </w:rPr>
        <w:t xml:space="preserve">para las </w:t>
      </w:r>
      <w:r w:rsidR="001F220F" w:rsidRPr="00080728">
        <w:t xml:space="preserve">Oficinas Regionales y de Zona </w:t>
      </w:r>
      <w:r w:rsidR="00C3323D" w:rsidRPr="00080728">
        <w:rPr>
          <w:rFonts w:asciiTheme="minorHAnsi" w:hAnsiTheme="minorHAnsi"/>
        </w:rPr>
        <w:t>con arreglo al cargo, la región y la oficina de que se trate</w:t>
      </w:r>
      <w:r w:rsidRPr="00080728">
        <w:rPr>
          <w:rFonts w:asciiTheme="minorHAnsi" w:hAnsiTheme="minorHAnsi"/>
        </w:rPr>
        <w:t xml:space="preserve">. </w:t>
      </w:r>
      <w:r w:rsidRPr="00080728">
        <w:t>La estructura de la BDT</w:t>
      </w:r>
      <w:r w:rsidR="000D077D" w:rsidRPr="00080728">
        <w:t xml:space="preserve"> sigue constituyendo u</w:t>
      </w:r>
      <w:r w:rsidRPr="00080728">
        <w:t xml:space="preserve">na base coherente para </w:t>
      </w:r>
      <w:r w:rsidR="000D077D" w:rsidRPr="00080728">
        <w:t>el establecimiento de una</w:t>
      </w:r>
      <w:r w:rsidRPr="00080728">
        <w:t xml:space="preserve"> relación horizontal entre la Sede y el terreno </w:t>
      </w:r>
      <w:r w:rsidR="000D077D" w:rsidRPr="00080728">
        <w:t>destinada a la presentación de</w:t>
      </w:r>
      <w:r w:rsidRPr="00080728">
        <w:t xml:space="preserve"> proyectos.</w:t>
      </w:r>
      <w:r w:rsidR="00AE3A2B" w:rsidRPr="00080728">
        <w:t xml:space="preserve"> Las estructuras y el nivel de dotación de personal de las diversas </w:t>
      </w:r>
      <w:r w:rsidR="001F220F" w:rsidRPr="00080728">
        <w:t>Oficinas Regionales y de Zona</w:t>
      </w:r>
      <w:r w:rsidR="00AE3A2B" w:rsidRPr="00080728">
        <w:t xml:space="preserve"> toman en consideración las recomendaciones de la Dependencia Común de Inspección de las Naciones Unidas sobre las formas de mejorar la presencia regional de la UIT, </w:t>
      </w:r>
      <w:r w:rsidR="000D077D" w:rsidRPr="00080728">
        <w:t>y de atender</w:t>
      </w:r>
      <w:r w:rsidR="00AE3A2B" w:rsidRPr="00080728">
        <w:t xml:space="preserve"> mejor a las expectativas de los Miembros.</w:t>
      </w:r>
    </w:p>
    <w:p w:rsidR="004231B1" w:rsidRPr="00080728" w:rsidRDefault="004231B1" w:rsidP="00E85888">
      <w:r w:rsidRPr="00080728">
        <w:t>4.2</w:t>
      </w:r>
      <w:r w:rsidRPr="00080728">
        <w:tab/>
        <w:t xml:space="preserve">Los Directores Regionales están bajo la autoridad directa del Director de la BDT. </w:t>
      </w:r>
      <w:r w:rsidR="00FE7F3B" w:rsidRPr="00080728">
        <w:t>Son mi</w:t>
      </w:r>
      <w:r w:rsidRPr="00080728">
        <w:t>embros del Comité de dirección de la BDT</w:t>
      </w:r>
      <w:r w:rsidR="00FE7F3B" w:rsidRPr="00080728">
        <w:t xml:space="preserve"> (ManCom)</w:t>
      </w:r>
      <w:r w:rsidRPr="00080728">
        <w:t xml:space="preserve"> y, por lo tanto, participan directamente en los debates sobre cuestiones fundamentales de política y estrategia que afectan a las actividades de la BDT y, en particular, la preparación de presupuestos y la atribución de recursos.</w:t>
      </w:r>
    </w:p>
    <w:p w:rsidR="00372FC4" w:rsidRPr="00080728" w:rsidRDefault="00372FC4" w:rsidP="00E85888">
      <w:pPr>
        <w:rPr>
          <w:rFonts w:asciiTheme="minorHAnsi" w:hAnsiTheme="minorHAnsi"/>
        </w:rPr>
      </w:pPr>
      <w:r w:rsidRPr="00080728">
        <w:rPr>
          <w:rFonts w:asciiTheme="minorHAnsi" w:hAnsiTheme="minorHAnsi"/>
        </w:rPr>
        <w:t>4.3</w:t>
      </w:r>
      <w:r w:rsidRPr="00080728">
        <w:rPr>
          <w:rFonts w:asciiTheme="minorHAnsi" w:hAnsiTheme="minorHAnsi"/>
        </w:rPr>
        <w:tab/>
      </w:r>
      <w:r w:rsidR="00FE7F3B" w:rsidRPr="00080728">
        <w:t xml:space="preserve">La capacidad de las </w:t>
      </w:r>
      <w:r w:rsidR="001F220F" w:rsidRPr="00080728">
        <w:t xml:space="preserve">Oficinas Regionales y de Zona </w:t>
      </w:r>
      <w:r w:rsidR="00FE7F3B" w:rsidRPr="00080728">
        <w:t>en determinadas esferas de especialización sigue fortaleciéndose mediante la contratación de</w:t>
      </w:r>
      <w:r w:rsidRPr="00080728">
        <w:t xml:space="preserve"> expertos </w:t>
      </w:r>
      <w:r w:rsidR="00FE7F3B" w:rsidRPr="00080728">
        <w:t>técnicos asociados y de personal de apoyo</w:t>
      </w:r>
      <w:r w:rsidR="001225C7" w:rsidRPr="00080728">
        <w:t xml:space="preserve"> </w:t>
      </w:r>
      <w:r w:rsidRPr="00080728">
        <w:t>en el marco de iniciativas y proyectos regionales</w:t>
      </w:r>
      <w:r w:rsidR="00FE7F3B" w:rsidRPr="00080728">
        <w:t xml:space="preserve">, sobre la base de redes de expertos altamente especializados. </w:t>
      </w:r>
    </w:p>
    <w:p w:rsidR="00FE7F3B" w:rsidRPr="00080728" w:rsidRDefault="00372FC4" w:rsidP="00E85888">
      <w:pPr>
        <w:rPr>
          <w:rFonts w:asciiTheme="minorHAnsi" w:hAnsiTheme="minorHAnsi"/>
        </w:rPr>
      </w:pPr>
      <w:r w:rsidRPr="00080728">
        <w:rPr>
          <w:rFonts w:asciiTheme="minorHAnsi" w:hAnsiTheme="minorHAnsi"/>
        </w:rPr>
        <w:t>4.4</w:t>
      </w:r>
      <w:r w:rsidRPr="00080728">
        <w:rPr>
          <w:rFonts w:asciiTheme="minorHAnsi" w:hAnsiTheme="minorHAnsi"/>
        </w:rPr>
        <w:tab/>
      </w:r>
      <w:r w:rsidRPr="00080728">
        <w:t>Por otra parte, se sigue</w:t>
      </w:r>
      <w:r w:rsidR="00FE7F3B" w:rsidRPr="00080728">
        <w:t xml:space="preserve"> alentando a </w:t>
      </w:r>
      <w:r w:rsidRPr="00080728">
        <w:t xml:space="preserve">los Estados Miembros a </w:t>
      </w:r>
      <w:r w:rsidR="00FE7F3B" w:rsidRPr="00080728">
        <w:rPr>
          <w:rFonts w:asciiTheme="minorHAnsi" w:hAnsiTheme="minorHAnsi"/>
        </w:rPr>
        <w:t xml:space="preserve">que consideren </w:t>
      </w:r>
      <w:r w:rsidR="000859EB" w:rsidRPr="00080728">
        <w:rPr>
          <w:rFonts w:asciiTheme="minorHAnsi" w:hAnsiTheme="minorHAnsi"/>
        </w:rPr>
        <w:t>el envío de</w:t>
      </w:r>
      <w:r w:rsidR="00FE7F3B" w:rsidRPr="00080728">
        <w:rPr>
          <w:rFonts w:asciiTheme="minorHAnsi" w:hAnsiTheme="minorHAnsi"/>
        </w:rPr>
        <w:t xml:space="preserve"> expertos a las </w:t>
      </w:r>
      <w:r w:rsidR="001F220F" w:rsidRPr="00080728">
        <w:t xml:space="preserve">Oficinas Regionales y de Zona </w:t>
      </w:r>
      <w:r w:rsidR="00FE7F3B" w:rsidRPr="00080728">
        <w:rPr>
          <w:rFonts w:asciiTheme="minorHAnsi" w:hAnsiTheme="minorHAnsi"/>
        </w:rPr>
        <w:t xml:space="preserve">de la UIT, </w:t>
      </w:r>
      <w:r w:rsidR="000859EB" w:rsidRPr="00080728">
        <w:rPr>
          <w:rFonts w:asciiTheme="minorHAnsi" w:hAnsiTheme="minorHAnsi"/>
        </w:rPr>
        <w:t>en particular su</w:t>
      </w:r>
      <w:r w:rsidR="00FE7F3B" w:rsidRPr="00080728">
        <w:rPr>
          <w:rFonts w:asciiTheme="minorHAnsi" w:hAnsiTheme="minorHAnsi"/>
        </w:rPr>
        <w:t xml:space="preserve"> participación en los programas </w:t>
      </w:r>
      <w:r w:rsidR="00A5749B" w:rsidRPr="00080728">
        <w:rPr>
          <w:rFonts w:asciiTheme="minorHAnsi" w:hAnsiTheme="minorHAnsi"/>
        </w:rPr>
        <w:t xml:space="preserve">de </w:t>
      </w:r>
      <w:r w:rsidR="00FE7F3B" w:rsidRPr="00080728">
        <w:rPr>
          <w:rFonts w:asciiTheme="minorHAnsi" w:hAnsiTheme="minorHAnsi"/>
        </w:rPr>
        <w:t>Jóvenes Funcionarios Profesionales</w:t>
      </w:r>
      <w:r w:rsidR="000859EB" w:rsidRPr="00080728">
        <w:rPr>
          <w:rFonts w:asciiTheme="minorHAnsi" w:hAnsiTheme="minorHAnsi"/>
        </w:rPr>
        <w:t xml:space="preserve"> (JPO)</w:t>
      </w:r>
      <w:r w:rsidR="00FE7F3B" w:rsidRPr="00080728">
        <w:rPr>
          <w:rFonts w:asciiTheme="minorHAnsi" w:hAnsiTheme="minorHAnsi"/>
        </w:rPr>
        <w:t xml:space="preserve"> y </w:t>
      </w:r>
      <w:r w:rsidR="000859EB" w:rsidRPr="00080728">
        <w:rPr>
          <w:rFonts w:asciiTheme="minorHAnsi" w:hAnsiTheme="minorHAnsi"/>
        </w:rPr>
        <w:t xml:space="preserve">de </w:t>
      </w:r>
      <w:r w:rsidR="00A5749B" w:rsidRPr="00080728">
        <w:rPr>
          <w:rFonts w:asciiTheme="minorHAnsi" w:hAnsiTheme="minorHAnsi"/>
        </w:rPr>
        <w:t>Voluntariado</w:t>
      </w:r>
      <w:r w:rsidR="00FE7F3B" w:rsidRPr="00080728">
        <w:rPr>
          <w:rFonts w:asciiTheme="minorHAnsi" w:hAnsiTheme="minorHAnsi"/>
        </w:rPr>
        <w:t xml:space="preserve"> de las Naciones Unidas</w:t>
      </w:r>
      <w:r w:rsidR="000859EB" w:rsidRPr="00080728">
        <w:rPr>
          <w:rFonts w:asciiTheme="minorHAnsi" w:hAnsiTheme="minorHAnsi"/>
        </w:rPr>
        <w:t xml:space="preserve"> (UNV</w:t>
      </w:r>
      <w:r w:rsidR="00FE7F3B" w:rsidRPr="00080728">
        <w:rPr>
          <w:rFonts w:asciiTheme="minorHAnsi" w:hAnsiTheme="minorHAnsi"/>
        </w:rPr>
        <w:t>).</w:t>
      </w:r>
    </w:p>
    <w:p w:rsidR="007A6AD0" w:rsidRPr="00080728" w:rsidRDefault="007A6AD0" w:rsidP="00E85888">
      <w:pPr>
        <w:pStyle w:val="Heading1"/>
      </w:pPr>
      <w:r w:rsidRPr="00080728">
        <w:t>5</w:t>
      </w:r>
      <w:r w:rsidRPr="00080728">
        <w:tab/>
        <w:t xml:space="preserve">Ayuda a las actividades de empoderamiento de las </w:t>
      </w:r>
      <w:r w:rsidR="001F220F" w:rsidRPr="00080728">
        <w:t>Oficinas Regionales y de Z</w:t>
      </w:r>
      <w:r w:rsidRPr="00080728">
        <w:t>ona</w:t>
      </w:r>
    </w:p>
    <w:p w:rsidR="00F36ECC" w:rsidRPr="00080728" w:rsidRDefault="00F36ECC" w:rsidP="00E85888">
      <w:pPr>
        <w:rPr>
          <w:rFonts w:eastAsia="Arial Unicode MS"/>
        </w:rPr>
      </w:pPr>
      <w:r w:rsidRPr="00080728">
        <w:rPr>
          <w:rFonts w:eastAsia="Arial Unicode MS"/>
        </w:rPr>
        <w:t>5.1</w:t>
      </w:r>
      <w:r w:rsidRPr="00080728">
        <w:rPr>
          <w:rFonts w:eastAsia="Arial Unicode MS"/>
        </w:rPr>
        <w:tab/>
      </w:r>
      <w:r w:rsidR="00A5749B" w:rsidRPr="00080728">
        <w:rPr>
          <w:rFonts w:eastAsia="Arial Unicode MS"/>
        </w:rPr>
        <w:t>Como se señala en el documento C17/25 presentado en la reunión de 2017 del Consejo, s</w:t>
      </w:r>
      <w:r w:rsidRPr="00080728">
        <w:rPr>
          <w:rFonts w:eastAsia="Arial Unicode MS"/>
        </w:rPr>
        <w:t xml:space="preserve">e prepararon y transmitieron a las </w:t>
      </w:r>
      <w:r w:rsidR="00A5749B" w:rsidRPr="00080728">
        <w:rPr>
          <w:rFonts w:eastAsia="Arial Unicode MS"/>
        </w:rPr>
        <w:t>o</w:t>
      </w:r>
      <w:r w:rsidRPr="00080728">
        <w:rPr>
          <w:rFonts w:eastAsia="Arial Unicode MS"/>
        </w:rPr>
        <w:t xml:space="preserve">ficinas </w:t>
      </w:r>
      <w:r w:rsidR="00A5749B" w:rsidRPr="00080728">
        <w:rPr>
          <w:rFonts w:eastAsia="Arial Unicode MS"/>
        </w:rPr>
        <w:t>r</w:t>
      </w:r>
      <w:r w:rsidRPr="00080728">
        <w:rPr>
          <w:rFonts w:eastAsia="Arial Unicode MS"/>
        </w:rPr>
        <w:t>egionales/</w:t>
      </w:r>
      <w:r w:rsidR="00A5749B" w:rsidRPr="00080728">
        <w:rPr>
          <w:rFonts w:eastAsia="Arial Unicode MS"/>
        </w:rPr>
        <w:t>de zona de la UIT</w:t>
      </w:r>
      <w:r w:rsidRPr="00080728">
        <w:rPr>
          <w:rFonts w:eastAsia="Arial Unicode MS"/>
        </w:rPr>
        <w:t xml:space="preserve">, </w:t>
      </w:r>
      <w:r w:rsidR="00A5749B" w:rsidRPr="00080728">
        <w:rPr>
          <w:rFonts w:eastAsia="Arial Unicode MS"/>
        </w:rPr>
        <w:t>a tenor de</w:t>
      </w:r>
      <w:r w:rsidRPr="00080728">
        <w:rPr>
          <w:rFonts w:eastAsia="Arial Unicode MS"/>
        </w:rPr>
        <w:t xml:space="preserve"> la recomendación del Auditor Interno, las Directrices Financieras y de Gestión del Efectivo para </w:t>
      </w:r>
      <w:r w:rsidR="00A5749B" w:rsidRPr="00080728">
        <w:rPr>
          <w:rFonts w:eastAsia="Arial Unicode MS"/>
        </w:rPr>
        <w:t>dichas o</w:t>
      </w:r>
      <w:r w:rsidRPr="00080728">
        <w:rPr>
          <w:rFonts w:eastAsia="Arial Unicode MS"/>
        </w:rPr>
        <w:t>ficinas.</w:t>
      </w:r>
    </w:p>
    <w:p w:rsidR="00F36ECC" w:rsidRPr="00080728" w:rsidRDefault="00F36ECC" w:rsidP="00E85888">
      <w:pPr>
        <w:rPr>
          <w:rFonts w:eastAsia="Arial Unicode MS"/>
        </w:rPr>
      </w:pPr>
      <w:r w:rsidRPr="00080728">
        <w:rPr>
          <w:rFonts w:eastAsia="Arial Unicode MS"/>
        </w:rPr>
        <w:t>5.2</w:t>
      </w:r>
      <w:r w:rsidRPr="00080728">
        <w:rPr>
          <w:rFonts w:eastAsia="Arial Unicode MS"/>
        </w:rPr>
        <w:tab/>
      </w:r>
      <w:r w:rsidR="00A5749B" w:rsidRPr="00080728">
        <w:rPr>
          <w:rFonts w:eastAsia="Arial Unicode MS"/>
        </w:rPr>
        <w:t>Los</w:t>
      </w:r>
      <w:r w:rsidRPr="00080728">
        <w:rPr>
          <w:rFonts w:eastAsia="Arial Unicode MS"/>
        </w:rPr>
        <w:t xml:space="preserve"> directores regionales</w:t>
      </w:r>
      <w:r w:rsidR="00A5749B" w:rsidRPr="00080728">
        <w:rPr>
          <w:rFonts w:eastAsia="Arial Unicode MS"/>
        </w:rPr>
        <w:t xml:space="preserve"> siguen teniendo mayor delegación de autoridad</w:t>
      </w:r>
      <w:r w:rsidRPr="00080728">
        <w:rPr>
          <w:rFonts w:eastAsia="Arial Unicode MS"/>
        </w:rPr>
        <w:t xml:space="preserve">, no sólo en cuanto a proyectos, sino también </w:t>
      </w:r>
      <w:r w:rsidR="00A5749B" w:rsidRPr="00080728">
        <w:rPr>
          <w:rFonts w:eastAsia="Arial Unicode MS"/>
        </w:rPr>
        <w:t>con respecto a</w:t>
      </w:r>
      <w:r w:rsidRPr="00080728">
        <w:rPr>
          <w:rFonts w:eastAsia="Arial Unicode MS"/>
        </w:rPr>
        <w:t xml:space="preserve"> la ejecución del Plan Operacional y de</w:t>
      </w:r>
      <w:r w:rsidR="00A5749B" w:rsidRPr="00080728">
        <w:rPr>
          <w:rFonts w:eastAsia="Arial Unicode MS"/>
        </w:rPr>
        <w:t xml:space="preserve"> las</w:t>
      </w:r>
      <w:r w:rsidRPr="00080728">
        <w:rPr>
          <w:rFonts w:eastAsia="Arial Unicode MS"/>
        </w:rPr>
        <w:t xml:space="preserve"> Iniciativas Regionales, </w:t>
      </w:r>
      <w:r w:rsidR="00A5749B" w:rsidRPr="00080728">
        <w:rPr>
          <w:rFonts w:eastAsia="Arial Unicode MS"/>
        </w:rPr>
        <w:t>en particular</w:t>
      </w:r>
      <w:r w:rsidRPr="00080728">
        <w:rPr>
          <w:rFonts w:eastAsia="Arial Unicode MS"/>
        </w:rPr>
        <w:t>:</w:t>
      </w:r>
    </w:p>
    <w:p w:rsidR="00F36ECC" w:rsidRPr="00080728" w:rsidRDefault="00F36ECC" w:rsidP="00E85888">
      <w:pPr>
        <w:pStyle w:val="enumlev1"/>
        <w:rPr>
          <w:rFonts w:eastAsia="Arial Unicode MS"/>
        </w:rPr>
      </w:pPr>
      <w:r w:rsidRPr="00080728">
        <w:rPr>
          <w:rFonts w:eastAsia="Arial Unicode MS"/>
        </w:rPr>
        <w:t>•</w:t>
      </w:r>
      <w:r w:rsidRPr="00080728">
        <w:rPr>
          <w:rFonts w:eastAsia="Arial Unicode MS"/>
        </w:rPr>
        <w:tab/>
      </w:r>
      <w:r w:rsidR="00A5749B" w:rsidRPr="00080728">
        <w:rPr>
          <w:rFonts w:eastAsia="Arial Unicode MS"/>
        </w:rPr>
        <w:t xml:space="preserve">la </w:t>
      </w:r>
      <w:r w:rsidRPr="00080728">
        <w:rPr>
          <w:rFonts w:eastAsia="Arial Unicode MS"/>
        </w:rPr>
        <w:t xml:space="preserve">firma de proyectos y de acuerdos de cooperación </w:t>
      </w:r>
      <w:r w:rsidR="00A5749B" w:rsidRPr="00080728">
        <w:rPr>
          <w:rFonts w:eastAsia="Arial Unicode MS"/>
        </w:rPr>
        <w:t>de</w:t>
      </w:r>
      <w:r w:rsidRPr="00080728">
        <w:rPr>
          <w:rFonts w:eastAsia="Arial Unicode MS"/>
        </w:rPr>
        <w:t xml:space="preserve"> presupuesto </w:t>
      </w:r>
      <w:r w:rsidR="00A5749B" w:rsidRPr="00080728">
        <w:rPr>
          <w:rFonts w:eastAsia="Arial Unicode MS"/>
        </w:rPr>
        <w:t>inferior a</w:t>
      </w:r>
      <w:r w:rsidRPr="00080728">
        <w:rPr>
          <w:rFonts w:eastAsia="Arial Unicode MS"/>
        </w:rPr>
        <w:t xml:space="preserve"> 150 000 USD;</w:t>
      </w:r>
    </w:p>
    <w:p w:rsidR="00F36ECC" w:rsidRPr="00080728" w:rsidRDefault="00F36ECC" w:rsidP="00E85888">
      <w:pPr>
        <w:pStyle w:val="enumlev1"/>
        <w:rPr>
          <w:rFonts w:eastAsia="Arial Unicode MS"/>
        </w:rPr>
      </w:pPr>
      <w:r w:rsidRPr="00080728">
        <w:rPr>
          <w:rFonts w:eastAsia="Arial Unicode MS"/>
        </w:rPr>
        <w:t>•</w:t>
      </w:r>
      <w:r w:rsidRPr="00080728">
        <w:rPr>
          <w:rFonts w:eastAsia="Arial Unicode MS"/>
        </w:rPr>
        <w:tab/>
        <w:t xml:space="preserve">asistencia ad hoc para nuevas </w:t>
      </w:r>
      <w:r w:rsidR="00A5749B" w:rsidRPr="00080728">
        <w:rPr>
          <w:rFonts w:eastAsia="Arial Unicode MS"/>
        </w:rPr>
        <w:t>intervenciones</w:t>
      </w:r>
      <w:r w:rsidRPr="00080728">
        <w:rPr>
          <w:rFonts w:eastAsia="Arial Unicode MS"/>
        </w:rPr>
        <w:t>; y</w:t>
      </w:r>
    </w:p>
    <w:p w:rsidR="00F36ECC" w:rsidRPr="00080728" w:rsidRDefault="00F36ECC" w:rsidP="00E85888">
      <w:pPr>
        <w:pStyle w:val="enumlev1"/>
        <w:rPr>
          <w:rFonts w:eastAsia="Arial Unicode MS"/>
        </w:rPr>
      </w:pPr>
      <w:r w:rsidRPr="00080728">
        <w:rPr>
          <w:rFonts w:eastAsia="Arial Unicode MS"/>
        </w:rPr>
        <w:t>•</w:t>
      </w:r>
      <w:r w:rsidRPr="00080728">
        <w:rPr>
          <w:rFonts w:eastAsia="Arial Unicode MS"/>
        </w:rPr>
        <w:tab/>
      </w:r>
      <w:r w:rsidR="00A5749B" w:rsidRPr="00080728">
        <w:rPr>
          <w:rFonts w:eastAsia="Arial Unicode MS"/>
        </w:rPr>
        <w:t xml:space="preserve">el </w:t>
      </w:r>
      <w:r w:rsidRPr="00080728">
        <w:rPr>
          <w:rFonts w:eastAsia="Arial Unicode MS"/>
        </w:rPr>
        <w:t>Plan Operacional para la atribución y gestión del presupuesto.</w:t>
      </w:r>
    </w:p>
    <w:p w:rsidR="00F55CF2" w:rsidRPr="00080728" w:rsidRDefault="00F55CF2" w:rsidP="00E85888">
      <w:pPr>
        <w:tabs>
          <w:tab w:val="clear" w:pos="567"/>
          <w:tab w:val="clear" w:pos="1134"/>
          <w:tab w:val="clear" w:pos="1701"/>
          <w:tab w:val="clear" w:pos="2268"/>
          <w:tab w:val="clear" w:pos="2835"/>
        </w:tabs>
        <w:snapToGrid w:val="0"/>
        <w:spacing w:after="120"/>
        <w:jc w:val="both"/>
      </w:pPr>
      <w:r w:rsidRPr="00080728">
        <w:rPr>
          <w:rFonts w:asciiTheme="minorHAnsi" w:hAnsiTheme="minorHAnsi" w:cstheme="minorHAnsi"/>
          <w:szCs w:val="24"/>
        </w:rPr>
        <w:lastRenderedPageBreak/>
        <w:t>5.3</w:t>
      </w:r>
      <w:r w:rsidRPr="00080728">
        <w:rPr>
          <w:rFonts w:asciiTheme="minorHAnsi" w:hAnsiTheme="minorHAnsi" w:cstheme="minorHAnsi"/>
          <w:szCs w:val="24"/>
        </w:rPr>
        <w:tab/>
        <w:t>Se mejoraron</w:t>
      </w:r>
      <w:r w:rsidR="00A5749B" w:rsidRPr="00080728">
        <w:rPr>
          <w:rFonts w:asciiTheme="minorHAnsi" w:hAnsiTheme="minorHAnsi" w:cstheme="minorHAnsi"/>
          <w:szCs w:val="24"/>
        </w:rPr>
        <w:t xml:space="preserve"> y</w:t>
      </w:r>
      <w:r w:rsidRPr="00080728">
        <w:rPr>
          <w:rFonts w:asciiTheme="minorHAnsi" w:hAnsiTheme="minorHAnsi" w:cstheme="minorHAnsi"/>
          <w:szCs w:val="24"/>
        </w:rPr>
        <w:t xml:space="preserve"> automatizaron </w:t>
      </w:r>
      <w:r w:rsidR="00A5749B" w:rsidRPr="00080728">
        <w:rPr>
          <w:rFonts w:asciiTheme="minorHAnsi" w:hAnsiTheme="minorHAnsi" w:cstheme="minorHAnsi"/>
          <w:szCs w:val="24"/>
        </w:rPr>
        <w:t>varios</w:t>
      </w:r>
      <w:r w:rsidRPr="00080728">
        <w:rPr>
          <w:rFonts w:asciiTheme="minorHAnsi" w:hAnsiTheme="minorHAnsi" w:cstheme="minorHAnsi"/>
          <w:szCs w:val="24"/>
        </w:rPr>
        <w:t xml:space="preserve"> procesos </w:t>
      </w:r>
      <w:r w:rsidR="00A5749B" w:rsidRPr="00080728">
        <w:rPr>
          <w:rFonts w:asciiTheme="minorHAnsi" w:hAnsiTheme="minorHAnsi" w:cstheme="minorHAnsi"/>
          <w:szCs w:val="24"/>
        </w:rPr>
        <w:t xml:space="preserve">y se pusieron a disposición </w:t>
      </w:r>
      <w:r w:rsidRPr="00080728">
        <w:rPr>
          <w:rFonts w:asciiTheme="minorHAnsi" w:hAnsiTheme="minorHAnsi" w:cstheme="minorHAnsi"/>
          <w:szCs w:val="24"/>
        </w:rPr>
        <w:t xml:space="preserve">de las </w:t>
      </w:r>
      <w:r w:rsidR="001F220F" w:rsidRPr="00080728">
        <w:t>Oficinas Regionales y de Zona</w:t>
      </w:r>
      <w:r w:rsidR="00A5749B" w:rsidRPr="00080728">
        <w:rPr>
          <w:rFonts w:asciiTheme="minorHAnsi" w:hAnsiTheme="minorHAnsi" w:cstheme="minorHAnsi"/>
          <w:szCs w:val="24"/>
        </w:rPr>
        <w:t xml:space="preserve"> </w:t>
      </w:r>
      <w:r w:rsidRPr="00080728">
        <w:rPr>
          <w:rFonts w:asciiTheme="minorHAnsi" w:hAnsiTheme="minorHAnsi" w:cstheme="minorHAnsi"/>
          <w:szCs w:val="24"/>
        </w:rPr>
        <w:t xml:space="preserve">mediante un portal web, </w:t>
      </w:r>
      <w:r w:rsidR="00A5749B" w:rsidRPr="00080728">
        <w:rPr>
          <w:rFonts w:asciiTheme="minorHAnsi" w:hAnsiTheme="minorHAnsi" w:cstheme="minorHAnsi"/>
          <w:szCs w:val="24"/>
        </w:rPr>
        <w:t>con inclusión de</w:t>
      </w:r>
      <w:r w:rsidRPr="00080728">
        <w:rPr>
          <w:rFonts w:asciiTheme="minorHAnsi" w:hAnsiTheme="minorHAnsi" w:cstheme="minorHAnsi"/>
          <w:szCs w:val="24"/>
        </w:rPr>
        <w:t xml:space="preserve"> c</w:t>
      </w:r>
      <w:r w:rsidRPr="00080728">
        <w:t xml:space="preserve">ontratación de expertos, </w:t>
      </w:r>
      <w:r w:rsidR="00A5749B" w:rsidRPr="00080728">
        <w:t>peticiones</w:t>
      </w:r>
      <w:r w:rsidRPr="00080728">
        <w:t xml:space="preserve"> de viaje, </w:t>
      </w:r>
      <w:r w:rsidR="00E82472" w:rsidRPr="00080728">
        <w:t>solicitudes de asignaciones</w:t>
      </w:r>
      <w:r w:rsidRPr="00080728">
        <w:t xml:space="preserve"> de gastos (SRM), </w:t>
      </w:r>
      <w:r w:rsidR="00E82472" w:rsidRPr="00080728">
        <w:t xml:space="preserve">el </w:t>
      </w:r>
      <w:r w:rsidRPr="00080728">
        <w:t xml:space="preserve">sistema </w:t>
      </w:r>
      <w:r w:rsidR="00E82472" w:rsidRPr="00080728">
        <w:t>d</w:t>
      </w:r>
      <w:r w:rsidRPr="00080728">
        <w:t>el plan de acción/operacional (planificación, supervisión</w:t>
      </w:r>
      <w:r w:rsidR="00E82472" w:rsidRPr="00080728">
        <w:t xml:space="preserve"> y</w:t>
      </w:r>
      <w:r w:rsidRPr="00080728">
        <w:t xml:space="preserve"> seguimiento), gestión de las relaciones con </w:t>
      </w:r>
      <w:r w:rsidR="00E82472" w:rsidRPr="00080728">
        <w:t>los proveedores</w:t>
      </w:r>
      <w:r w:rsidRPr="00080728">
        <w:t xml:space="preserve">, </w:t>
      </w:r>
      <w:r w:rsidR="00E82472" w:rsidRPr="00080728">
        <w:t xml:space="preserve">y </w:t>
      </w:r>
      <w:r w:rsidRPr="00080728">
        <w:t>coordinación de eventos.</w:t>
      </w:r>
    </w:p>
    <w:p w:rsidR="007540D5" w:rsidRPr="00080728" w:rsidRDefault="007540D5" w:rsidP="00E85888">
      <w:pPr>
        <w:rPr>
          <w:u w:val="single"/>
        </w:rPr>
      </w:pPr>
      <w:r w:rsidRPr="00080728">
        <w:t>5.4</w:t>
      </w:r>
      <w:r w:rsidRPr="00080728">
        <w:tab/>
        <w:t>Se ha mejorado aún más el acceso a los métodos de trabajo</w:t>
      </w:r>
      <w:r w:rsidR="00E82472" w:rsidRPr="00080728">
        <w:t>, en particular mediante</w:t>
      </w:r>
      <w:r w:rsidRPr="00080728">
        <w:t xml:space="preserve"> herramientas para la planificación de </w:t>
      </w:r>
      <w:r w:rsidR="00E82472" w:rsidRPr="00080728">
        <w:t>intervenciones</w:t>
      </w:r>
      <w:r w:rsidRPr="00080728">
        <w:t xml:space="preserve">/proyectos, la supervisión y </w:t>
      </w:r>
      <w:r w:rsidR="00E82472" w:rsidRPr="00080728">
        <w:t>presentación</w:t>
      </w:r>
      <w:r w:rsidRPr="00080728">
        <w:t xml:space="preserve"> de informes, </w:t>
      </w:r>
      <w:r w:rsidR="00E82472" w:rsidRPr="00080728">
        <w:t>y</w:t>
      </w:r>
      <w:r w:rsidRPr="00080728">
        <w:t xml:space="preserve"> el sistema de plan operacional (OPS). Se han </w:t>
      </w:r>
      <w:r w:rsidR="000C798C" w:rsidRPr="00080728">
        <w:t>desplegado</w:t>
      </w:r>
      <w:r w:rsidRPr="00080728">
        <w:t xml:space="preserve"> grandes esfuerzos en minimizar los costes </w:t>
      </w:r>
      <w:r w:rsidR="00E82472" w:rsidRPr="00080728">
        <w:t>asociados a las</w:t>
      </w:r>
      <w:r w:rsidRPr="00080728">
        <w:t xml:space="preserve"> TI de las seis Reuniones Preparatorias Regionales. </w:t>
      </w:r>
      <w:r w:rsidR="00E82472" w:rsidRPr="00080728">
        <w:t>Con respecto a dichas reuniones, s</w:t>
      </w:r>
      <w:r w:rsidRPr="00080728">
        <w:t xml:space="preserve">e </w:t>
      </w:r>
      <w:r w:rsidR="00E82472" w:rsidRPr="00080728">
        <w:t xml:space="preserve">reevaluaron </w:t>
      </w:r>
      <w:r w:rsidRPr="00080728">
        <w:t xml:space="preserve">las necesidades operacionales y de infraestructura para reducir </w:t>
      </w:r>
      <w:r w:rsidR="00E82472" w:rsidRPr="00080728">
        <w:t>sustancialmente</w:t>
      </w:r>
      <w:r w:rsidRPr="00080728">
        <w:t xml:space="preserve"> el transporte de equipos</w:t>
      </w:r>
      <w:r w:rsidR="00E82472" w:rsidRPr="00080728">
        <w:t>,</w:t>
      </w:r>
      <w:r w:rsidRPr="00080728">
        <w:t xml:space="preserve"> y el servicio técnico de TI de la BDT se ha prestado a distancia desde la Sede en Ginebra.</w:t>
      </w:r>
    </w:p>
    <w:p w:rsidR="007540D5" w:rsidRPr="00080728" w:rsidRDefault="007540D5" w:rsidP="00E85888">
      <w:r w:rsidRPr="00080728">
        <w:t>5.5</w:t>
      </w:r>
      <w:r w:rsidRPr="00080728">
        <w:tab/>
        <w:t xml:space="preserve">Se han mejorado considerablemente la conectividad y los equipos de TI de las Oficinas Regionales y </w:t>
      </w:r>
      <w:r w:rsidR="004265A2" w:rsidRPr="00080728">
        <w:t>de Zona</w:t>
      </w:r>
      <w:r w:rsidRPr="00080728">
        <w:t xml:space="preserve">. </w:t>
      </w:r>
      <w:r w:rsidR="004265A2" w:rsidRPr="00080728">
        <w:t>En</w:t>
      </w:r>
      <w:r w:rsidRPr="00080728">
        <w:t xml:space="preserve"> 2017 </w:t>
      </w:r>
      <w:r w:rsidR="004265A2" w:rsidRPr="00080728">
        <w:t xml:space="preserve">se aprobó </w:t>
      </w:r>
      <w:r w:rsidRPr="00080728">
        <w:t xml:space="preserve">una nueva especificación de la BDT para equipos de TI y su vida útil, que da prioridad a las necesidades de las Oficina </w:t>
      </w:r>
      <w:r w:rsidR="00C238C8" w:rsidRPr="00080728">
        <w:t>sobre</w:t>
      </w:r>
      <w:r w:rsidRPr="00080728">
        <w:t xml:space="preserve"> el terreno, </w:t>
      </w:r>
      <w:r w:rsidR="00C238C8" w:rsidRPr="00080728">
        <w:t>al tiempo que redunda en beneficio de</w:t>
      </w:r>
      <w:r w:rsidRPr="00080728">
        <w:t xml:space="preserve"> la BDT</w:t>
      </w:r>
      <w:r w:rsidR="00C238C8" w:rsidRPr="00080728">
        <w:t xml:space="preserve"> en su conjunto</w:t>
      </w:r>
      <w:r w:rsidRPr="00080728">
        <w:t xml:space="preserve">. Como algunos equipos de conexión de las Oficinas Regionales llegaban al final de su vida útil prevista, se </w:t>
      </w:r>
      <w:r w:rsidR="00C238C8" w:rsidRPr="00080728">
        <w:t>adquirieron</w:t>
      </w:r>
      <w:r w:rsidRPr="00080728">
        <w:t xml:space="preserve"> </w:t>
      </w:r>
      <w:r w:rsidR="00C238C8" w:rsidRPr="00080728">
        <w:t xml:space="preserve">e instalaron </w:t>
      </w:r>
      <w:r w:rsidR="000C798C" w:rsidRPr="00080728">
        <w:t>nuevos equipos en </w:t>
      </w:r>
      <w:r w:rsidRPr="00080728">
        <w:t xml:space="preserve">2017 </w:t>
      </w:r>
      <w:r w:rsidR="00C238C8" w:rsidRPr="00080728">
        <w:t>para sustituir</w:t>
      </w:r>
      <w:r w:rsidRPr="00080728">
        <w:t xml:space="preserve"> diversos sistemas de todas las Oficinas Regionales</w:t>
      </w:r>
      <w:r w:rsidR="00C238C8" w:rsidRPr="00080728">
        <w:t xml:space="preserve">. Dichos equipos maximizan </w:t>
      </w:r>
      <w:r w:rsidRPr="00080728">
        <w:t xml:space="preserve">la eficacia del flujo de datos, </w:t>
      </w:r>
      <w:r w:rsidR="00C238C8" w:rsidRPr="00080728">
        <w:t>amplían</w:t>
      </w:r>
      <w:r w:rsidRPr="00080728">
        <w:t xml:space="preserve"> la conectividad VoIP entre Oficinas Regionales y mejoran la disponibilidad de servicio en la Oficina de Addis Abeba. La BDT </w:t>
      </w:r>
      <w:r w:rsidR="00C238C8" w:rsidRPr="00080728">
        <w:t xml:space="preserve">ha proseguido </w:t>
      </w:r>
      <w:r w:rsidRPr="00080728">
        <w:t xml:space="preserve">un proyecto piloto con el fabricante de los terminales de conferencia para </w:t>
      </w:r>
      <w:r w:rsidR="00C238C8" w:rsidRPr="00080728">
        <w:t xml:space="preserve">permitir la utilización de su solución de videoconferencia interna </w:t>
      </w:r>
      <w:r w:rsidRPr="00080728">
        <w:t>con usuarios externos sin poner en peligro ni la seguridad ni la eficiencia.</w:t>
      </w:r>
      <w:r w:rsidR="00C238C8" w:rsidRPr="00080728">
        <w:t xml:space="preserve"> Esta nueva prestación se adquirirá e instalará en la sede de la UIT en 2018.</w:t>
      </w:r>
    </w:p>
    <w:p w:rsidR="007540D5" w:rsidRPr="00080728" w:rsidRDefault="007540D5" w:rsidP="00E85888">
      <w:r w:rsidRPr="00080728">
        <w:t>5.6</w:t>
      </w:r>
      <w:r w:rsidRPr="00080728">
        <w:tab/>
        <w:t xml:space="preserve">La Secretaría mantiene debidamente informadas a las Oficinas Regionales y </w:t>
      </w:r>
      <w:r w:rsidR="004E1E56" w:rsidRPr="00080728">
        <w:t>de Zona</w:t>
      </w:r>
      <w:r w:rsidRPr="00080728">
        <w:t xml:space="preserve"> mediante cartas circulares y otr</w:t>
      </w:r>
      <w:r w:rsidR="004E1E56" w:rsidRPr="00080728">
        <w:t>os tipos de</w:t>
      </w:r>
      <w:r w:rsidRPr="00080728">
        <w:t xml:space="preserve"> correspondencia sobre sus respectivas regiones a fin de garantizar el seguimiento necesario.</w:t>
      </w:r>
    </w:p>
    <w:p w:rsidR="00D02202" w:rsidRPr="00080728" w:rsidRDefault="00D02202" w:rsidP="00E85888">
      <w:pPr>
        <w:pStyle w:val="Reasons"/>
      </w:pPr>
    </w:p>
    <w:p w:rsidR="00AE3A2B" w:rsidRPr="00080728" w:rsidRDefault="00D02202" w:rsidP="00E85888">
      <w:pPr>
        <w:jc w:val="center"/>
      </w:pPr>
      <w:r w:rsidRPr="00080728">
        <w:t>______________</w:t>
      </w:r>
    </w:p>
    <w:sectPr w:rsidR="00AE3A2B" w:rsidRPr="00080728"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0EA" w:rsidRDefault="00D930EA">
      <w:r>
        <w:separator/>
      </w:r>
    </w:p>
  </w:endnote>
  <w:endnote w:type="continuationSeparator" w:id="0">
    <w:p w:rsidR="00D930EA" w:rsidRDefault="00D9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9B" w:rsidRPr="009C4603" w:rsidRDefault="009C4603" w:rsidP="009C4603">
    <w:pPr>
      <w:pStyle w:val="Footer"/>
      <w:rPr>
        <w:lang w:val="fr-CH"/>
      </w:rPr>
    </w:pPr>
    <w:r>
      <w:fldChar w:fldCharType="begin"/>
    </w:r>
    <w:r w:rsidRPr="009C4603">
      <w:rPr>
        <w:lang w:val="fr-CH"/>
      </w:rPr>
      <w:instrText xml:space="preserve"> FILENAME \p  \* MERGEFORMAT </w:instrText>
    </w:r>
    <w:r>
      <w:fldChar w:fldCharType="separate"/>
    </w:r>
    <w:r w:rsidR="007A7255">
      <w:rPr>
        <w:lang w:val="fr-CH"/>
      </w:rPr>
      <w:t>P:\ESP\SG\CONSEIL\C18\000\025S.docx</w:t>
    </w:r>
    <w:r>
      <w:fldChar w:fldCharType="end"/>
    </w:r>
    <w:r>
      <w:rPr>
        <w:lang w:val="fr-CH"/>
      </w:rPr>
      <w:t xml:space="preserve"> (425096</w:t>
    </w:r>
    <w:r w:rsidRPr="009C4603">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9B" w:rsidRPr="009C4603" w:rsidRDefault="00A5749B" w:rsidP="009C460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0EA" w:rsidRDefault="00D930EA">
      <w:r>
        <w:t>____________________</w:t>
      </w:r>
    </w:p>
  </w:footnote>
  <w:footnote w:type="continuationSeparator" w:id="0">
    <w:p w:rsidR="00D930EA" w:rsidRDefault="00D930EA">
      <w:r>
        <w:continuationSeparator/>
      </w:r>
    </w:p>
  </w:footnote>
  <w:footnote w:id="1">
    <w:p w:rsidR="00A5749B" w:rsidRPr="004A0269" w:rsidRDefault="00A5749B" w:rsidP="009A562B">
      <w:pPr>
        <w:pStyle w:val="FootnoteText"/>
      </w:pPr>
      <w:r>
        <w:rPr>
          <w:rStyle w:val="FootnoteReference"/>
        </w:rPr>
        <w:footnoteRef/>
      </w:r>
      <w:r w:rsidRPr="004A0269">
        <w:tab/>
        <w:t>Los datos financieros relativos a 2017 son provisionales, a la espera del cierre de cuentas. Los datos sobre ejecución hacen referencia a los fondos</w:t>
      </w:r>
      <w:r>
        <w:t xml:space="preserve"> consignados para la ejecución de </w:t>
      </w:r>
      <w:r w:rsidR="009A562B">
        <w:t>intervenciones</w:t>
      </w:r>
      <w:r>
        <w:t>/proyectos</w:t>
      </w:r>
      <w:r w:rsidRPr="004A026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9B" w:rsidRDefault="00A5749B" w:rsidP="007657F0">
    <w:pPr>
      <w:pStyle w:val="Header"/>
    </w:pPr>
    <w:r>
      <w:fldChar w:fldCharType="begin"/>
    </w:r>
    <w:r>
      <w:instrText>PAGE</w:instrText>
    </w:r>
    <w:r>
      <w:fldChar w:fldCharType="separate"/>
    </w:r>
    <w:r w:rsidR="00080728">
      <w:rPr>
        <w:noProof/>
      </w:rPr>
      <w:t>10</w:t>
    </w:r>
    <w:r>
      <w:rPr>
        <w:noProof/>
      </w:rPr>
      <w:fldChar w:fldCharType="end"/>
    </w:r>
  </w:p>
  <w:p w:rsidR="00A5749B" w:rsidRDefault="00A5749B" w:rsidP="0066783F">
    <w:pPr>
      <w:pStyle w:val="Header"/>
    </w:pPr>
    <w:r>
      <w:t>C18/25-S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5A"/>
    <w:rsid w:val="00017E58"/>
    <w:rsid w:val="00080728"/>
    <w:rsid w:val="000859EB"/>
    <w:rsid w:val="00093EEB"/>
    <w:rsid w:val="00096BB7"/>
    <w:rsid w:val="000A245C"/>
    <w:rsid w:val="000B0D00"/>
    <w:rsid w:val="000B7C15"/>
    <w:rsid w:val="000C25E3"/>
    <w:rsid w:val="000C798C"/>
    <w:rsid w:val="000D077D"/>
    <w:rsid w:val="000D1D0F"/>
    <w:rsid w:val="000E3B4A"/>
    <w:rsid w:val="000F00E5"/>
    <w:rsid w:val="000F5290"/>
    <w:rsid w:val="000F6FD1"/>
    <w:rsid w:val="0010165C"/>
    <w:rsid w:val="00107D0E"/>
    <w:rsid w:val="001225C7"/>
    <w:rsid w:val="00146BFB"/>
    <w:rsid w:val="00187294"/>
    <w:rsid w:val="001E451D"/>
    <w:rsid w:val="001F14A2"/>
    <w:rsid w:val="001F220F"/>
    <w:rsid w:val="00206D7A"/>
    <w:rsid w:val="00231814"/>
    <w:rsid w:val="00237BBC"/>
    <w:rsid w:val="002801AA"/>
    <w:rsid w:val="002805DF"/>
    <w:rsid w:val="00286FFB"/>
    <w:rsid w:val="002C4676"/>
    <w:rsid w:val="002C70B0"/>
    <w:rsid w:val="002E7793"/>
    <w:rsid w:val="002F3CC4"/>
    <w:rsid w:val="00306D53"/>
    <w:rsid w:val="003323FE"/>
    <w:rsid w:val="003634C8"/>
    <w:rsid w:val="0037124F"/>
    <w:rsid w:val="00372FC4"/>
    <w:rsid w:val="003767EF"/>
    <w:rsid w:val="0038401F"/>
    <w:rsid w:val="0039106E"/>
    <w:rsid w:val="003A0E3E"/>
    <w:rsid w:val="003C527D"/>
    <w:rsid w:val="003C777D"/>
    <w:rsid w:val="003F5D7F"/>
    <w:rsid w:val="004231B1"/>
    <w:rsid w:val="004265A2"/>
    <w:rsid w:val="00433F65"/>
    <w:rsid w:val="004963AA"/>
    <w:rsid w:val="004A0269"/>
    <w:rsid w:val="004A731A"/>
    <w:rsid w:val="004C1F09"/>
    <w:rsid w:val="004E1E56"/>
    <w:rsid w:val="004F2A88"/>
    <w:rsid w:val="00513630"/>
    <w:rsid w:val="005216FD"/>
    <w:rsid w:val="00531213"/>
    <w:rsid w:val="00534A80"/>
    <w:rsid w:val="00560125"/>
    <w:rsid w:val="005649AF"/>
    <w:rsid w:val="00567D12"/>
    <w:rsid w:val="00577B76"/>
    <w:rsid w:val="00585553"/>
    <w:rsid w:val="0059447C"/>
    <w:rsid w:val="005A175A"/>
    <w:rsid w:val="005A48CB"/>
    <w:rsid w:val="005A4BCE"/>
    <w:rsid w:val="005A6A5B"/>
    <w:rsid w:val="005B34D9"/>
    <w:rsid w:val="005C2ECA"/>
    <w:rsid w:val="005C4809"/>
    <w:rsid w:val="005D0CCF"/>
    <w:rsid w:val="005F3BCB"/>
    <w:rsid w:val="005F3F6C"/>
    <w:rsid w:val="005F410F"/>
    <w:rsid w:val="0060149A"/>
    <w:rsid w:val="00601924"/>
    <w:rsid w:val="00632383"/>
    <w:rsid w:val="006447EA"/>
    <w:rsid w:val="0064731F"/>
    <w:rsid w:val="00661697"/>
    <w:rsid w:val="0066783F"/>
    <w:rsid w:val="006710F6"/>
    <w:rsid w:val="006C1B56"/>
    <w:rsid w:val="006D4761"/>
    <w:rsid w:val="00701B2C"/>
    <w:rsid w:val="00701EF8"/>
    <w:rsid w:val="00726872"/>
    <w:rsid w:val="00736635"/>
    <w:rsid w:val="007440C4"/>
    <w:rsid w:val="007540D5"/>
    <w:rsid w:val="00760F1C"/>
    <w:rsid w:val="00762695"/>
    <w:rsid w:val="007657F0"/>
    <w:rsid w:val="0077252D"/>
    <w:rsid w:val="00790744"/>
    <w:rsid w:val="00795574"/>
    <w:rsid w:val="007A6AD0"/>
    <w:rsid w:val="007A7255"/>
    <w:rsid w:val="007B7396"/>
    <w:rsid w:val="007C3755"/>
    <w:rsid w:val="007D0FE7"/>
    <w:rsid w:val="007E5DD3"/>
    <w:rsid w:val="007F350B"/>
    <w:rsid w:val="008048AA"/>
    <w:rsid w:val="00820BE4"/>
    <w:rsid w:val="008451E8"/>
    <w:rsid w:val="008A3773"/>
    <w:rsid w:val="008A4400"/>
    <w:rsid w:val="008B1593"/>
    <w:rsid w:val="008D3E49"/>
    <w:rsid w:val="008E33CF"/>
    <w:rsid w:val="00913B9C"/>
    <w:rsid w:val="0092636A"/>
    <w:rsid w:val="00947CEB"/>
    <w:rsid w:val="00956E77"/>
    <w:rsid w:val="00963BBE"/>
    <w:rsid w:val="009644F3"/>
    <w:rsid w:val="00992B39"/>
    <w:rsid w:val="009A1599"/>
    <w:rsid w:val="009A562B"/>
    <w:rsid w:val="009C4603"/>
    <w:rsid w:val="009D7D15"/>
    <w:rsid w:val="009F4811"/>
    <w:rsid w:val="00A5749B"/>
    <w:rsid w:val="00A67D61"/>
    <w:rsid w:val="00A933D7"/>
    <w:rsid w:val="00AA390C"/>
    <w:rsid w:val="00AE3A2B"/>
    <w:rsid w:val="00AE7A86"/>
    <w:rsid w:val="00AF7EDF"/>
    <w:rsid w:val="00B0200A"/>
    <w:rsid w:val="00B05BC1"/>
    <w:rsid w:val="00B22F88"/>
    <w:rsid w:val="00B45FD6"/>
    <w:rsid w:val="00B4677A"/>
    <w:rsid w:val="00B50299"/>
    <w:rsid w:val="00B574DB"/>
    <w:rsid w:val="00B826C2"/>
    <w:rsid w:val="00B8298E"/>
    <w:rsid w:val="00B8440C"/>
    <w:rsid w:val="00B97EC0"/>
    <w:rsid w:val="00BA01B5"/>
    <w:rsid w:val="00BD0723"/>
    <w:rsid w:val="00BD2518"/>
    <w:rsid w:val="00BF1D1C"/>
    <w:rsid w:val="00C20C59"/>
    <w:rsid w:val="00C21F24"/>
    <w:rsid w:val="00C238C8"/>
    <w:rsid w:val="00C3323D"/>
    <w:rsid w:val="00C5079F"/>
    <w:rsid w:val="00C55B1F"/>
    <w:rsid w:val="00C96116"/>
    <w:rsid w:val="00CA2FD0"/>
    <w:rsid w:val="00CD0C04"/>
    <w:rsid w:val="00CD16B6"/>
    <w:rsid w:val="00CF1A67"/>
    <w:rsid w:val="00CF3EEF"/>
    <w:rsid w:val="00CF4037"/>
    <w:rsid w:val="00D02202"/>
    <w:rsid w:val="00D04E86"/>
    <w:rsid w:val="00D2750E"/>
    <w:rsid w:val="00D62446"/>
    <w:rsid w:val="00D74791"/>
    <w:rsid w:val="00D75547"/>
    <w:rsid w:val="00D85753"/>
    <w:rsid w:val="00D91DA8"/>
    <w:rsid w:val="00D930EA"/>
    <w:rsid w:val="00DA4EA2"/>
    <w:rsid w:val="00DC3D3E"/>
    <w:rsid w:val="00DE2C90"/>
    <w:rsid w:val="00DE3B24"/>
    <w:rsid w:val="00DE624B"/>
    <w:rsid w:val="00E06947"/>
    <w:rsid w:val="00E309C3"/>
    <w:rsid w:val="00E3592D"/>
    <w:rsid w:val="00E4130D"/>
    <w:rsid w:val="00E47C84"/>
    <w:rsid w:val="00E82472"/>
    <w:rsid w:val="00E85888"/>
    <w:rsid w:val="00E92DE8"/>
    <w:rsid w:val="00E969CF"/>
    <w:rsid w:val="00EA648F"/>
    <w:rsid w:val="00EB1212"/>
    <w:rsid w:val="00ED65AB"/>
    <w:rsid w:val="00EF4B79"/>
    <w:rsid w:val="00F12850"/>
    <w:rsid w:val="00F31B63"/>
    <w:rsid w:val="00F32FF8"/>
    <w:rsid w:val="00F33BF4"/>
    <w:rsid w:val="00F36ECC"/>
    <w:rsid w:val="00F55CF2"/>
    <w:rsid w:val="00F5751F"/>
    <w:rsid w:val="00F7105E"/>
    <w:rsid w:val="00F75F57"/>
    <w:rsid w:val="00F82FEE"/>
    <w:rsid w:val="00FA55A7"/>
    <w:rsid w:val="00FC1032"/>
    <w:rsid w:val="00FD57D3"/>
    <w:rsid w:val="00FE7F3B"/>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84A3528-09E4-4806-8E2B-AA291F56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39106E"/>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basedOn w:val="DefaultParagraphFont"/>
    <w:link w:val="ListParagraph"/>
    <w:uiPriority w:val="34"/>
    <w:rsid w:val="0039106E"/>
    <w:rPr>
      <w:rFonts w:asciiTheme="minorHAnsi" w:eastAsiaTheme="minorEastAsia" w:hAnsiTheme="minorHAnsi" w:cstheme="minorBidi"/>
      <w:sz w:val="22"/>
      <w:szCs w:val="22"/>
      <w:lang w:val="fr-CH"/>
    </w:rPr>
  </w:style>
  <w:style w:type="paragraph" w:styleId="Date">
    <w:name w:val="Date"/>
    <w:basedOn w:val="Normal"/>
    <w:next w:val="Normal"/>
    <w:link w:val="DateChar"/>
    <w:rsid w:val="003323FE"/>
  </w:style>
  <w:style w:type="character" w:customStyle="1" w:styleId="DateChar">
    <w:name w:val="Date Char"/>
    <w:basedOn w:val="DefaultParagraphFont"/>
    <w:link w:val="Date"/>
    <w:rsid w:val="003323FE"/>
    <w:rPr>
      <w:rFonts w:ascii="Calibri" w:hAnsi="Calibri"/>
      <w:sz w:val="24"/>
      <w:lang w:val="es-ES_tradnl" w:eastAsia="en-US"/>
    </w:rPr>
  </w:style>
  <w:style w:type="character" w:customStyle="1" w:styleId="UnresolvedMention">
    <w:name w:val="Unresolved Mention"/>
    <w:basedOn w:val="DefaultParagraphFont"/>
    <w:uiPriority w:val="99"/>
    <w:semiHidden/>
    <w:unhideWhenUsed/>
    <w:rsid w:val="009A15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INF-0006/es"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7-CL-C-0025/en"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D/TIES_Protected/PerfReport2017.pdf" TargetMode="External"/><Relationship Id="rId20" Type="http://schemas.openxmlformats.org/officeDocument/2006/relationships/hyperlink" Target="https://www.itu.int/md/S18-CL-INF-00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INF-0012/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D/Pages/OperationalPlansPerformanceReports.aspx" TargetMode="External"/><Relationship Id="rId23" Type="http://schemas.openxmlformats.org/officeDocument/2006/relationships/footer" Target="footer2.xml"/><Relationship Id="rId10" Type="http://schemas.openxmlformats.org/officeDocument/2006/relationships/hyperlink" Target="http://www.itu.int/dms_pub/itu-s/opb/conf/S-CONF-ACTF-2014-PDF-S.pdf" TargetMode="External"/><Relationship Id="rId19" Type="http://schemas.openxmlformats.org/officeDocument/2006/relationships/hyperlink" Target="https://broadbandcalculator.online" TargetMode="External"/><Relationship Id="rId4" Type="http://schemas.openxmlformats.org/officeDocument/2006/relationships/settings" Target="settings.xml"/><Relationship Id="rId9" Type="http://schemas.openxmlformats.org/officeDocument/2006/relationships/hyperlink" Target="https://www.itu.int/md/S18-CL-INF-0006/es" TargetMode="External"/><Relationship Id="rId14" Type="http://schemas.openxmlformats.org/officeDocument/2006/relationships/hyperlink" Target="http://www.itu.int/md/S17-CL-INF-0012/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7B6A-8439-4649-BA0A-5AAC5536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62</TotalTime>
  <Pages>10</Pages>
  <Words>4823</Words>
  <Characters>26424</Characters>
  <Application>Microsoft Office Word</Application>
  <DocSecurity>0</DocSecurity>
  <Lines>220</Lines>
  <Paragraphs>62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31185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10</cp:revision>
  <cp:lastPrinted>2018-03-08T13:44:00Z</cp:lastPrinted>
  <dcterms:created xsi:type="dcterms:W3CDTF">2018-03-08T13:30:00Z</dcterms:created>
  <dcterms:modified xsi:type="dcterms:W3CDTF">2018-03-09T11:01:00Z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