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D3BA2">
        <w:trPr>
          <w:cantSplit/>
        </w:trPr>
        <w:tc>
          <w:tcPr>
            <w:tcW w:w="6911" w:type="dxa"/>
          </w:tcPr>
          <w:p w:rsidR="00BC7BC0" w:rsidRPr="008D3BA2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D3BA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D3BA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8D3BA2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8D3BA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D3BA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D3BA2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8D3BA2">
              <w:rPr>
                <w:b/>
                <w:bCs/>
                <w:lang w:val="ru-RU"/>
              </w:rPr>
              <w:t>1</w:t>
            </w:r>
            <w:r w:rsidR="00A01CF9" w:rsidRPr="008D3BA2">
              <w:rPr>
                <w:b/>
                <w:bCs/>
                <w:lang w:val="ru-RU"/>
              </w:rPr>
              <w:t>7</w:t>
            </w:r>
            <w:r w:rsidR="006833CE" w:rsidRPr="008D3BA2">
              <w:rPr>
                <w:b/>
                <w:bCs/>
                <w:lang w:val="ru-RU"/>
              </w:rPr>
              <w:t>−</w:t>
            </w:r>
            <w:r w:rsidR="008B62B4" w:rsidRPr="008D3BA2">
              <w:rPr>
                <w:b/>
                <w:bCs/>
                <w:lang w:val="ru-RU"/>
              </w:rPr>
              <w:t>2</w:t>
            </w:r>
            <w:r w:rsidR="00A01CF9" w:rsidRPr="008D3BA2">
              <w:rPr>
                <w:b/>
                <w:bCs/>
                <w:lang w:val="ru-RU"/>
              </w:rPr>
              <w:t>7</w:t>
            </w:r>
            <w:r w:rsidR="00A01CF9" w:rsidRPr="008D3BA2">
              <w:rPr>
                <w:b/>
                <w:szCs w:val="22"/>
                <w:lang w:val="ru-RU"/>
              </w:rPr>
              <w:t xml:space="preserve"> апреля</w:t>
            </w:r>
            <w:r w:rsidR="00A01CF9" w:rsidRPr="008D3BA2">
              <w:rPr>
                <w:b/>
                <w:bCs/>
                <w:lang w:val="ru-RU"/>
              </w:rPr>
              <w:t xml:space="preserve"> </w:t>
            </w:r>
            <w:r w:rsidR="00225368" w:rsidRPr="008D3BA2">
              <w:rPr>
                <w:b/>
                <w:bCs/>
                <w:lang w:val="ru-RU"/>
              </w:rPr>
              <w:t>201</w:t>
            </w:r>
            <w:r w:rsidR="00A01CF9" w:rsidRPr="008D3BA2">
              <w:rPr>
                <w:b/>
                <w:bCs/>
                <w:lang w:val="ru-RU"/>
              </w:rPr>
              <w:t>8</w:t>
            </w:r>
            <w:r w:rsidR="00225368" w:rsidRPr="008D3BA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D3BA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D3BA2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D3BA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D3BA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D3BA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D3BA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D3BA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D3BA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D3BA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D3BA2" w:rsidRDefault="00BC7BC0" w:rsidP="00943C9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D3BA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D3BA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943C9B" w:rsidRPr="008D3BA2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="00943C9B" w:rsidRPr="008D3BA2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3.3</w:t>
            </w:r>
          </w:p>
        </w:tc>
        <w:tc>
          <w:tcPr>
            <w:tcW w:w="3120" w:type="dxa"/>
          </w:tcPr>
          <w:p w:rsidR="00BC7BC0" w:rsidRPr="008D3BA2" w:rsidRDefault="00BC7BC0" w:rsidP="00943C9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D3BA2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8D3BA2">
              <w:rPr>
                <w:b/>
                <w:bCs/>
                <w:szCs w:val="22"/>
                <w:lang w:val="ru-RU"/>
              </w:rPr>
              <w:t>C</w:t>
            </w:r>
            <w:r w:rsidR="003F099E" w:rsidRPr="008D3BA2">
              <w:rPr>
                <w:b/>
                <w:bCs/>
                <w:szCs w:val="22"/>
                <w:lang w:val="ru-RU"/>
              </w:rPr>
              <w:t>1</w:t>
            </w:r>
            <w:r w:rsidR="00A01CF9" w:rsidRPr="008D3BA2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8D3BA2">
              <w:rPr>
                <w:b/>
                <w:bCs/>
                <w:szCs w:val="22"/>
                <w:lang w:val="ru-RU"/>
              </w:rPr>
              <w:t>/</w:t>
            </w:r>
            <w:r w:rsidR="00943C9B" w:rsidRPr="008D3BA2">
              <w:rPr>
                <w:b/>
                <w:bCs/>
                <w:szCs w:val="22"/>
                <w:lang w:val="ru-RU"/>
              </w:rPr>
              <w:t>25</w:t>
            </w:r>
            <w:r w:rsidRPr="008D3BA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D3BA2">
        <w:trPr>
          <w:cantSplit/>
          <w:trHeight w:val="23"/>
        </w:trPr>
        <w:tc>
          <w:tcPr>
            <w:tcW w:w="6911" w:type="dxa"/>
            <w:vMerge/>
          </w:tcPr>
          <w:p w:rsidR="00BC7BC0" w:rsidRPr="008D3BA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D3BA2" w:rsidRDefault="00943C9B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D3BA2">
              <w:rPr>
                <w:b/>
                <w:bCs/>
                <w:szCs w:val="22"/>
                <w:lang w:val="ru-RU"/>
              </w:rPr>
              <w:t>8 февраля</w:t>
            </w:r>
            <w:r w:rsidR="00BC7BC0" w:rsidRPr="008D3BA2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8D3BA2">
              <w:rPr>
                <w:b/>
                <w:bCs/>
                <w:szCs w:val="22"/>
                <w:lang w:val="ru-RU"/>
              </w:rPr>
              <w:t>1</w:t>
            </w:r>
            <w:r w:rsidR="00A01CF9" w:rsidRPr="008D3BA2">
              <w:rPr>
                <w:b/>
                <w:bCs/>
                <w:szCs w:val="22"/>
                <w:lang w:val="ru-RU"/>
              </w:rPr>
              <w:t>8</w:t>
            </w:r>
            <w:r w:rsidR="00BC7BC0" w:rsidRPr="008D3BA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D3BA2">
        <w:trPr>
          <w:cantSplit/>
          <w:trHeight w:val="23"/>
        </w:trPr>
        <w:tc>
          <w:tcPr>
            <w:tcW w:w="6911" w:type="dxa"/>
            <w:vMerge/>
          </w:tcPr>
          <w:p w:rsidR="00BC7BC0" w:rsidRPr="008D3BA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D3BA2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D3BA2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943C9B" w:rsidRPr="008D3BA2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8D3BA2">
        <w:trPr>
          <w:cantSplit/>
        </w:trPr>
        <w:tc>
          <w:tcPr>
            <w:tcW w:w="10031" w:type="dxa"/>
            <w:gridSpan w:val="2"/>
          </w:tcPr>
          <w:p w:rsidR="00BC7BC0" w:rsidRPr="008D3BA2" w:rsidRDefault="00BC7BC0" w:rsidP="00943C9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D3BA2">
              <w:rPr>
                <w:lang w:val="ru-RU"/>
              </w:rPr>
              <w:t>Отчет Генерального секретаря</w:t>
            </w:r>
          </w:p>
        </w:tc>
      </w:tr>
      <w:tr w:rsidR="00BC7BC0" w:rsidRPr="008D3BA2">
        <w:trPr>
          <w:cantSplit/>
        </w:trPr>
        <w:tc>
          <w:tcPr>
            <w:tcW w:w="10031" w:type="dxa"/>
            <w:gridSpan w:val="2"/>
          </w:tcPr>
          <w:p w:rsidR="00BC7BC0" w:rsidRPr="008D3BA2" w:rsidRDefault="00943C9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D3BA2">
              <w:rPr>
                <w:lang w:val="ru-RU"/>
              </w:rPr>
              <w:t>УКРЕПЛЕНИЕ РЕГИОНАЛЬНОГО ПРИСУТСТВИЯ</w:t>
            </w:r>
          </w:p>
        </w:tc>
      </w:tr>
      <w:bookmarkEnd w:id="2"/>
    </w:tbl>
    <w:p w:rsidR="002D2F57" w:rsidRPr="008D3BA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D3BA2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D3BA2" w:rsidRDefault="002D2F57" w:rsidP="006833CE">
            <w:pPr>
              <w:pStyle w:val="Headingb"/>
              <w:rPr>
                <w:lang w:val="ru-RU"/>
              </w:rPr>
            </w:pPr>
            <w:r w:rsidRPr="008D3BA2">
              <w:rPr>
                <w:lang w:val="ru-RU"/>
              </w:rPr>
              <w:t>Резюме</w:t>
            </w:r>
          </w:p>
          <w:p w:rsidR="002D2F57" w:rsidRPr="008D3BA2" w:rsidRDefault="00943C9B" w:rsidP="00943C9B">
            <w:pPr>
              <w:rPr>
                <w:lang w:val="ru-RU"/>
              </w:rPr>
            </w:pPr>
            <w:r w:rsidRPr="008D3BA2">
              <w:rPr>
                <w:lang w:val="ru-RU"/>
              </w:rPr>
              <w:t>Цель настоящего документа – представить отчет о выполнении Резолюции 25 (Пересм. Пусан, 2014 г.). В</w:t>
            </w:r>
            <w:r w:rsidR="00D41D4F" w:rsidRPr="008D3BA2">
              <w:rPr>
                <w:lang w:val="ru-RU"/>
              </w:rPr>
              <w:t xml:space="preserve"> Документе</w:t>
            </w:r>
            <w:r w:rsidRPr="008D3BA2">
              <w:rPr>
                <w:lang w:val="ru-RU"/>
              </w:rPr>
              <w:t xml:space="preserve"> </w:t>
            </w:r>
            <w:hyperlink r:id="rId9" w:history="1">
              <w:proofErr w:type="spellStart"/>
              <w:r w:rsidRPr="008D3BA2">
                <w:rPr>
                  <w:rStyle w:val="Hyperlink"/>
                  <w:lang w:val="ru-RU"/>
                </w:rPr>
                <w:t>C18</w:t>
              </w:r>
              <w:proofErr w:type="spellEnd"/>
              <w:r w:rsidRPr="008D3BA2">
                <w:rPr>
                  <w:rStyle w:val="Hyperlink"/>
                  <w:lang w:val="ru-RU"/>
                </w:rPr>
                <w:t>/</w:t>
              </w:r>
              <w:proofErr w:type="spellStart"/>
              <w:r w:rsidRPr="008D3BA2">
                <w:rPr>
                  <w:rStyle w:val="Hyperlink"/>
                  <w:lang w:val="ru-RU"/>
                </w:rPr>
                <w:t>INF</w:t>
              </w:r>
              <w:proofErr w:type="spellEnd"/>
              <w:r w:rsidRPr="008D3BA2">
                <w:rPr>
                  <w:rStyle w:val="Hyperlink"/>
                  <w:lang w:val="ru-RU"/>
                </w:rPr>
                <w:t>/6</w:t>
              </w:r>
            </w:hyperlink>
            <w:r w:rsidRPr="008D3BA2">
              <w:rPr>
                <w:lang w:val="ru-RU"/>
              </w:rPr>
              <w:t xml:space="preserve"> содержатся шесть приложений, относящихся к настоящему документу.</w:t>
            </w:r>
          </w:p>
          <w:p w:rsidR="002D2F57" w:rsidRPr="008D3BA2" w:rsidRDefault="002D2F57" w:rsidP="00E55121">
            <w:pPr>
              <w:pStyle w:val="Headingb"/>
              <w:rPr>
                <w:lang w:val="ru-RU"/>
              </w:rPr>
            </w:pPr>
            <w:r w:rsidRPr="008D3BA2">
              <w:rPr>
                <w:lang w:val="ru-RU"/>
              </w:rPr>
              <w:t xml:space="preserve">Необходимые </w:t>
            </w:r>
            <w:r w:rsidR="00F5225B" w:rsidRPr="008D3BA2">
              <w:rPr>
                <w:lang w:val="ru-RU"/>
              </w:rPr>
              <w:t>действия</w:t>
            </w:r>
          </w:p>
          <w:p w:rsidR="002D2F57" w:rsidRPr="008D3BA2" w:rsidRDefault="00943C9B" w:rsidP="006833CE">
            <w:pPr>
              <w:rPr>
                <w:lang w:val="ru-RU"/>
              </w:rPr>
            </w:pPr>
            <w:r w:rsidRPr="008D3BA2">
              <w:rPr>
                <w:lang w:val="ru-RU"/>
              </w:rPr>
              <w:t xml:space="preserve">Совету предлагается </w:t>
            </w:r>
            <w:r w:rsidRPr="008D3BA2">
              <w:rPr>
                <w:b/>
                <w:bCs/>
                <w:lang w:val="ru-RU"/>
              </w:rPr>
              <w:t>принять к сведению</w:t>
            </w:r>
            <w:r w:rsidRPr="008D3BA2">
              <w:rPr>
                <w:lang w:val="ru-RU"/>
              </w:rPr>
              <w:t xml:space="preserve"> настоящий отчет.</w:t>
            </w:r>
          </w:p>
          <w:p w:rsidR="002D2F57" w:rsidRPr="008D3BA2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D3BA2">
              <w:rPr>
                <w:caps/>
                <w:szCs w:val="22"/>
                <w:lang w:val="ru-RU"/>
              </w:rPr>
              <w:t>____________</w:t>
            </w:r>
          </w:p>
          <w:p w:rsidR="002D2F57" w:rsidRPr="008D3BA2" w:rsidRDefault="002D2F57" w:rsidP="006833CE">
            <w:pPr>
              <w:pStyle w:val="Headingb"/>
              <w:rPr>
                <w:lang w:val="ru-RU"/>
              </w:rPr>
            </w:pPr>
            <w:r w:rsidRPr="008D3BA2">
              <w:rPr>
                <w:lang w:val="ru-RU"/>
              </w:rPr>
              <w:t>Справочные материалы</w:t>
            </w:r>
          </w:p>
          <w:p w:rsidR="002D2F57" w:rsidRPr="008D3BA2" w:rsidRDefault="008704BF" w:rsidP="008D3BA2">
            <w:pPr>
              <w:spacing w:after="120"/>
              <w:rPr>
                <w:i/>
                <w:iCs/>
                <w:lang w:val="ru-RU"/>
              </w:rPr>
            </w:pPr>
            <w:hyperlink r:id="rId10" w:history="1">
              <w:r w:rsidR="000D2798" w:rsidRPr="008D3BA2">
                <w:rPr>
                  <w:rStyle w:val="Hyperlink"/>
                  <w:i/>
                  <w:iCs/>
                  <w:lang w:val="ru-RU"/>
                </w:rPr>
                <w:t>Резолюция 25 (Пересм. Пусан, 2014 г.)</w:t>
              </w:r>
            </w:hyperlink>
            <w:r w:rsidR="008D3BA2" w:rsidRPr="008D3BA2">
              <w:rPr>
                <w:i/>
                <w:iCs/>
                <w:lang w:val="ru-RU"/>
              </w:rPr>
              <w:t xml:space="preserve">; </w:t>
            </w:r>
            <w:r w:rsidR="00943C9B" w:rsidRPr="008D3BA2">
              <w:rPr>
                <w:i/>
                <w:iCs/>
                <w:lang w:val="ru-RU"/>
              </w:rPr>
              <w:t xml:space="preserve">Документ </w:t>
            </w:r>
            <w:hyperlink r:id="rId11" w:history="1">
              <w:r w:rsidR="00943C9B" w:rsidRPr="008D3BA2">
                <w:rPr>
                  <w:rStyle w:val="Hyperlink"/>
                  <w:i/>
                  <w:iCs/>
                  <w:lang w:val="ru-RU"/>
                </w:rPr>
                <w:t>C17/</w:t>
              </w:r>
              <w:proofErr w:type="spellStart"/>
              <w:r w:rsidR="00943C9B" w:rsidRPr="008D3BA2">
                <w:rPr>
                  <w:rStyle w:val="Hyperlink"/>
                  <w:i/>
                  <w:iCs/>
                  <w:lang w:val="ru-RU"/>
                </w:rPr>
                <w:t>INF</w:t>
              </w:r>
              <w:proofErr w:type="spellEnd"/>
              <w:r w:rsidR="00943C9B" w:rsidRPr="008D3BA2">
                <w:rPr>
                  <w:rStyle w:val="Hyperlink"/>
                  <w:i/>
                  <w:iCs/>
                  <w:lang w:val="ru-RU"/>
                </w:rPr>
                <w:t>/12</w:t>
              </w:r>
            </w:hyperlink>
            <w:r w:rsidR="00943C9B" w:rsidRPr="008D3BA2">
              <w:rPr>
                <w:i/>
                <w:iCs/>
                <w:lang w:val="ru-RU"/>
              </w:rPr>
              <w:t xml:space="preserve"> Совета 2017 г</w:t>
            </w:r>
            <w:r w:rsidR="00AD0081" w:rsidRPr="008D3BA2">
              <w:rPr>
                <w:i/>
                <w:iCs/>
                <w:lang w:val="ru-RU"/>
              </w:rPr>
              <w:t>ода</w:t>
            </w:r>
          </w:p>
        </w:tc>
      </w:tr>
    </w:tbl>
    <w:p w:rsidR="00943C9B" w:rsidRPr="008D3BA2" w:rsidRDefault="00943C9B" w:rsidP="00943C9B">
      <w:pPr>
        <w:pStyle w:val="Heading1"/>
        <w:rPr>
          <w:lang w:val="ru-RU"/>
        </w:rPr>
      </w:pPr>
      <w:r w:rsidRPr="008D3BA2">
        <w:rPr>
          <w:lang w:val="ru-RU"/>
        </w:rPr>
        <w:t>1</w:t>
      </w:r>
      <w:r w:rsidRPr="008D3BA2">
        <w:rPr>
          <w:lang w:val="ru-RU"/>
        </w:rPr>
        <w:tab/>
        <w:t>Базовая информация</w:t>
      </w:r>
    </w:p>
    <w:p w:rsidR="00AD0081" w:rsidRPr="008D3BA2" w:rsidRDefault="00AD0081" w:rsidP="00F207A3">
      <w:pPr>
        <w:rPr>
          <w:lang w:val="ru-RU"/>
        </w:rPr>
      </w:pPr>
      <w:r w:rsidRPr="008D3BA2">
        <w:rPr>
          <w:lang w:val="ru-RU"/>
        </w:rPr>
        <w:t>1.1</w:t>
      </w:r>
      <w:r w:rsidRPr="008D3BA2">
        <w:rPr>
          <w:lang w:val="ru-RU"/>
        </w:rPr>
        <w:tab/>
      </w:r>
      <w:proofErr w:type="gramStart"/>
      <w:r w:rsidR="000D2798" w:rsidRPr="008D3BA2">
        <w:rPr>
          <w:lang w:val="ru-RU"/>
        </w:rPr>
        <w:t>В</w:t>
      </w:r>
      <w:proofErr w:type="gramEnd"/>
      <w:r w:rsidR="000D2798" w:rsidRPr="008D3BA2">
        <w:rPr>
          <w:lang w:val="ru-RU"/>
        </w:rPr>
        <w:t xml:space="preserve"> пересмотренной Резолюции 25 (об укреплении регионального присутствия), </w:t>
      </w:r>
      <w:r w:rsidR="00F207A3" w:rsidRPr="008D3BA2">
        <w:rPr>
          <w:lang w:val="ru-RU"/>
        </w:rPr>
        <w:t>утвержденной</w:t>
      </w:r>
      <w:r w:rsidR="000D2798" w:rsidRPr="008D3BA2">
        <w:rPr>
          <w:lang w:val="ru-RU"/>
        </w:rPr>
        <w:t xml:space="preserve"> на ПК-14, подчеркивается важная роль региональных и зональных отделений в подготовке и осуществлении стратегического плана и реагировании на различные запросы Членов МСЭ. В Резолюции 25 Генеральному секретарю МСЭ поручается ежегодно представлять Совету отчет о региональном присутствии. В настоящем документе представлена обновленная информация </w:t>
      </w:r>
      <w:r w:rsidR="00FE7BF5" w:rsidRPr="008D3BA2">
        <w:rPr>
          <w:lang w:val="ru-RU"/>
        </w:rPr>
        <w:t xml:space="preserve">о событиях и деятельности в 2017 году </w:t>
      </w:r>
      <w:r w:rsidR="000D2798" w:rsidRPr="008D3BA2">
        <w:rPr>
          <w:lang w:val="ru-RU"/>
        </w:rPr>
        <w:t xml:space="preserve">по </w:t>
      </w:r>
      <w:r w:rsidR="00965594" w:rsidRPr="008D3BA2">
        <w:rPr>
          <w:lang w:val="ru-RU"/>
        </w:rPr>
        <w:t xml:space="preserve">сравнению с </w:t>
      </w:r>
      <w:r w:rsidR="000D2798" w:rsidRPr="008D3BA2">
        <w:rPr>
          <w:lang w:val="ru-RU"/>
        </w:rPr>
        <w:t>аналогичн</w:t>
      </w:r>
      <w:r w:rsidR="00965594" w:rsidRPr="008D3BA2">
        <w:rPr>
          <w:lang w:val="ru-RU"/>
        </w:rPr>
        <w:t>ым</w:t>
      </w:r>
      <w:r w:rsidR="000D2798" w:rsidRPr="008D3BA2">
        <w:rPr>
          <w:lang w:val="ru-RU"/>
        </w:rPr>
        <w:t xml:space="preserve"> документ</w:t>
      </w:r>
      <w:r w:rsidR="00965594" w:rsidRPr="008D3BA2">
        <w:rPr>
          <w:lang w:val="ru-RU"/>
        </w:rPr>
        <w:t>ом</w:t>
      </w:r>
      <w:r w:rsidR="000D2798" w:rsidRPr="008D3BA2">
        <w:rPr>
          <w:lang w:val="ru-RU"/>
        </w:rPr>
        <w:t>, представленн</w:t>
      </w:r>
      <w:r w:rsidR="00965594" w:rsidRPr="008D3BA2">
        <w:rPr>
          <w:lang w:val="ru-RU"/>
        </w:rPr>
        <w:t>ым</w:t>
      </w:r>
      <w:r w:rsidR="000D2798" w:rsidRPr="008D3BA2">
        <w:rPr>
          <w:lang w:val="ru-RU"/>
        </w:rPr>
        <w:t xml:space="preserve"> Совету в 2017 году </w:t>
      </w:r>
      <w:r w:rsidRPr="008D3BA2">
        <w:rPr>
          <w:lang w:val="ru-RU"/>
        </w:rPr>
        <w:t>(</w:t>
      </w:r>
      <w:r w:rsidR="00D41D4F" w:rsidRPr="008D3BA2">
        <w:rPr>
          <w:lang w:val="ru-RU"/>
        </w:rPr>
        <w:t xml:space="preserve">Документ </w:t>
      </w:r>
      <w:hyperlink r:id="rId12" w:history="1">
        <w:r w:rsidRPr="008D3BA2">
          <w:rPr>
            <w:rStyle w:val="Hyperlink"/>
            <w:lang w:val="ru-RU"/>
          </w:rPr>
          <w:t>C17/25</w:t>
        </w:r>
      </w:hyperlink>
      <w:r w:rsidR="00FE7BF5" w:rsidRPr="008D3BA2">
        <w:rPr>
          <w:lang w:val="ru-RU"/>
        </w:rPr>
        <w:t>)</w:t>
      </w:r>
      <w:r w:rsidR="000D2798" w:rsidRPr="008D3BA2">
        <w:rPr>
          <w:lang w:val="ru-RU"/>
        </w:rPr>
        <w:t xml:space="preserve">. </w:t>
      </w:r>
    </w:p>
    <w:p w:rsidR="00AD0081" w:rsidRPr="008D3BA2" w:rsidRDefault="00AD0081" w:rsidP="004420F4">
      <w:pPr>
        <w:rPr>
          <w:lang w:val="ru-RU"/>
        </w:rPr>
      </w:pPr>
      <w:r w:rsidRPr="008D3BA2">
        <w:rPr>
          <w:lang w:val="ru-RU"/>
        </w:rPr>
        <w:t>1.2</w:t>
      </w:r>
      <w:r w:rsidRPr="008D3BA2">
        <w:rPr>
          <w:lang w:val="ru-RU"/>
        </w:rPr>
        <w:tab/>
      </w:r>
      <w:r w:rsidR="000D2798" w:rsidRPr="008D3BA2">
        <w:rPr>
          <w:lang w:val="ru-RU"/>
        </w:rPr>
        <w:t xml:space="preserve">В 2017 году прилагались дальнейшие усилия </w:t>
      </w:r>
      <w:r w:rsidR="004420F4" w:rsidRPr="008D3BA2">
        <w:rPr>
          <w:lang w:val="ru-RU"/>
        </w:rPr>
        <w:t xml:space="preserve">по </w:t>
      </w:r>
      <w:r w:rsidR="000D2798" w:rsidRPr="008D3BA2">
        <w:rPr>
          <w:lang w:val="ru-RU"/>
        </w:rPr>
        <w:t>укреплени</w:t>
      </w:r>
      <w:r w:rsidR="004420F4" w:rsidRPr="008D3BA2">
        <w:rPr>
          <w:lang w:val="ru-RU"/>
        </w:rPr>
        <w:t>ю</w:t>
      </w:r>
      <w:r w:rsidR="000D2798" w:rsidRPr="008D3BA2">
        <w:rPr>
          <w:lang w:val="ru-RU"/>
        </w:rPr>
        <w:t xml:space="preserve"> регионального присутствия МСЭ путем принятия ряда мер, позволяющих Союзу более внимательно реагировать на конкретные потребности регионов и предоставлять своевременные и качественные продукты и услуги на </w:t>
      </w:r>
      <w:proofErr w:type="spellStart"/>
      <w:r w:rsidR="000D2798" w:rsidRPr="008D3BA2">
        <w:rPr>
          <w:lang w:val="ru-RU"/>
        </w:rPr>
        <w:t>страновом</w:t>
      </w:r>
      <w:proofErr w:type="spellEnd"/>
      <w:r w:rsidR="000D2798" w:rsidRPr="008D3BA2">
        <w:rPr>
          <w:lang w:val="ru-RU"/>
        </w:rPr>
        <w:t xml:space="preserve"> и региональном уровнях</w:t>
      </w:r>
      <w:r w:rsidRPr="008D3BA2">
        <w:rPr>
          <w:lang w:val="ru-RU"/>
        </w:rPr>
        <w:t>.</w:t>
      </w:r>
    </w:p>
    <w:p w:rsidR="00AD0081" w:rsidRPr="008D3BA2" w:rsidRDefault="00AD0081" w:rsidP="004420F4">
      <w:pPr>
        <w:rPr>
          <w:lang w:val="ru-RU"/>
        </w:rPr>
      </w:pPr>
      <w:r w:rsidRPr="008D3BA2">
        <w:rPr>
          <w:lang w:val="ru-RU"/>
        </w:rPr>
        <w:t>1.3</w:t>
      </w:r>
      <w:r w:rsidRPr="008D3BA2">
        <w:rPr>
          <w:lang w:val="ru-RU"/>
        </w:rPr>
        <w:tab/>
      </w:r>
      <w:proofErr w:type="gramStart"/>
      <w:r w:rsidR="00B612CE" w:rsidRPr="008D3BA2">
        <w:rPr>
          <w:lang w:val="ru-RU"/>
        </w:rPr>
        <w:t>В</w:t>
      </w:r>
      <w:proofErr w:type="gramEnd"/>
      <w:r w:rsidR="00B612CE" w:rsidRPr="008D3BA2">
        <w:rPr>
          <w:lang w:val="ru-RU"/>
        </w:rPr>
        <w:t xml:space="preserve"> настоящем отчете представлена информация о выполнении плана действий и региональных инициатив. В нем </w:t>
      </w:r>
      <w:r w:rsidR="000D2798" w:rsidRPr="008D3BA2">
        <w:rPr>
          <w:lang w:val="ru-RU"/>
        </w:rPr>
        <w:t xml:space="preserve">также </w:t>
      </w:r>
      <w:r w:rsidR="00B612CE" w:rsidRPr="008D3BA2">
        <w:rPr>
          <w:lang w:val="ru-RU"/>
        </w:rPr>
        <w:t xml:space="preserve">приведены подробные сведения об исполнении бюджета за 2017 год как в отношении регулярного бюджета, так и внебюджетных источников финансирования. Кроме того, в нем содержится </w:t>
      </w:r>
      <w:r w:rsidR="004420F4" w:rsidRPr="008D3BA2">
        <w:rPr>
          <w:lang w:val="ru-RU"/>
        </w:rPr>
        <w:t xml:space="preserve">обновленная </w:t>
      </w:r>
      <w:r w:rsidR="00B612CE" w:rsidRPr="008D3BA2">
        <w:rPr>
          <w:lang w:val="ru-RU"/>
        </w:rPr>
        <w:t xml:space="preserve">информация об уровне укомплектованности штатов различных региональных и зональных отделений, а также иная оперативная информация, относящаяся к стипендиям, экспертам и внутренним миссиям экспертов. </w:t>
      </w:r>
      <w:r w:rsidR="004420F4" w:rsidRPr="008D3BA2">
        <w:rPr>
          <w:lang w:val="ru-RU"/>
        </w:rPr>
        <w:t xml:space="preserve">Настоящий документ был дополнен </w:t>
      </w:r>
      <w:r w:rsidR="00D41D4F" w:rsidRPr="008D3BA2">
        <w:rPr>
          <w:lang w:val="ru-RU"/>
        </w:rPr>
        <w:t xml:space="preserve">Информационным документом </w:t>
      </w:r>
      <w:hyperlink r:id="rId13" w:history="1">
        <w:proofErr w:type="spellStart"/>
        <w:r w:rsidRPr="008D3BA2">
          <w:rPr>
            <w:rStyle w:val="Hyperlink"/>
            <w:lang w:val="ru-RU"/>
          </w:rPr>
          <w:t>C18</w:t>
        </w:r>
        <w:proofErr w:type="spellEnd"/>
        <w:r w:rsidRPr="008D3BA2">
          <w:rPr>
            <w:rStyle w:val="Hyperlink"/>
            <w:lang w:val="ru-RU"/>
          </w:rPr>
          <w:t>/</w:t>
        </w:r>
        <w:proofErr w:type="spellStart"/>
        <w:r w:rsidRPr="008D3BA2">
          <w:rPr>
            <w:rStyle w:val="Hyperlink"/>
            <w:lang w:val="ru-RU"/>
          </w:rPr>
          <w:t>INF</w:t>
        </w:r>
        <w:proofErr w:type="spellEnd"/>
        <w:r w:rsidRPr="008D3BA2">
          <w:rPr>
            <w:rStyle w:val="Hyperlink"/>
            <w:lang w:val="ru-RU"/>
          </w:rPr>
          <w:t>/6</w:t>
        </w:r>
      </w:hyperlink>
      <w:r w:rsidR="000D2798" w:rsidRPr="008D3BA2">
        <w:rPr>
          <w:lang w:val="ru-RU"/>
        </w:rPr>
        <w:t>, который содержит следующие приложения</w:t>
      </w:r>
      <w:r w:rsidRPr="008D3BA2">
        <w:rPr>
          <w:lang w:val="ru-RU"/>
        </w:rPr>
        <w:t>:</w:t>
      </w:r>
    </w:p>
    <w:p w:rsidR="00AD0081" w:rsidRPr="008D3BA2" w:rsidRDefault="00AD0081" w:rsidP="008D3BA2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  <w:t>Приложение 1</w:t>
      </w:r>
      <w:r w:rsidR="008D3BA2">
        <w:rPr>
          <w:lang w:val="ru-RU"/>
        </w:rPr>
        <w:t xml:space="preserve"> − </w:t>
      </w:r>
      <w:r w:rsidRPr="008D3BA2">
        <w:rPr>
          <w:lang w:val="ru-RU"/>
        </w:rPr>
        <w:t>Краткое изложение уровня выполнения Оперативного плана на 201</w:t>
      </w:r>
      <w:r w:rsidR="00B612CE" w:rsidRPr="008D3BA2">
        <w:rPr>
          <w:lang w:val="ru-RU"/>
        </w:rPr>
        <w:t>7</w:t>
      </w:r>
      <w:r w:rsidRPr="008D3BA2">
        <w:rPr>
          <w:lang w:val="ru-RU"/>
        </w:rPr>
        <w:t xml:space="preserve"> год и проектов и краткое описание </w:t>
      </w:r>
      <w:r w:rsidR="00E07D33" w:rsidRPr="008D3BA2">
        <w:rPr>
          <w:lang w:val="ru-RU"/>
        </w:rPr>
        <w:t xml:space="preserve">расходов </w:t>
      </w:r>
      <w:r w:rsidRPr="008D3BA2">
        <w:rPr>
          <w:lang w:val="ru-RU"/>
        </w:rPr>
        <w:t>региональных и зональных отделений в 201</w:t>
      </w:r>
      <w:r w:rsidR="00B612CE" w:rsidRPr="008D3BA2">
        <w:rPr>
          <w:lang w:val="ru-RU"/>
        </w:rPr>
        <w:t>7</w:t>
      </w:r>
      <w:r w:rsidRPr="008D3BA2">
        <w:rPr>
          <w:lang w:val="ru-RU"/>
        </w:rPr>
        <w:t> году.</w:t>
      </w:r>
    </w:p>
    <w:p w:rsidR="00AD0081" w:rsidRPr="008D3BA2" w:rsidRDefault="00AD0081" w:rsidP="008D3BA2">
      <w:pPr>
        <w:pStyle w:val="enumlev1"/>
        <w:rPr>
          <w:lang w:val="ru-RU"/>
        </w:rPr>
      </w:pPr>
      <w:r w:rsidRPr="008D3BA2">
        <w:rPr>
          <w:lang w:val="ru-RU"/>
        </w:rPr>
        <w:lastRenderedPageBreak/>
        <w:t>•</w:t>
      </w:r>
      <w:r w:rsidRPr="008D3BA2">
        <w:rPr>
          <w:lang w:val="ru-RU"/>
        </w:rPr>
        <w:tab/>
        <w:t>Приложение 2</w:t>
      </w:r>
      <w:r w:rsidR="008D3BA2">
        <w:rPr>
          <w:lang w:val="ru-RU"/>
        </w:rPr>
        <w:t xml:space="preserve"> − </w:t>
      </w:r>
      <w:r w:rsidRPr="008D3BA2">
        <w:rPr>
          <w:lang w:val="ru-RU"/>
        </w:rPr>
        <w:t>Уровень выполнения Оперативного плана 201</w:t>
      </w:r>
      <w:r w:rsidR="00B612CE" w:rsidRPr="008D3BA2">
        <w:rPr>
          <w:lang w:val="ru-RU"/>
        </w:rPr>
        <w:t>7</w:t>
      </w:r>
      <w:r w:rsidRPr="008D3BA2">
        <w:rPr>
          <w:lang w:val="ru-RU"/>
        </w:rPr>
        <w:t> года в разбивке по регионам и задачам.</w:t>
      </w:r>
    </w:p>
    <w:p w:rsidR="00AD0081" w:rsidRPr="008D3BA2" w:rsidRDefault="00AD0081" w:rsidP="008D3BA2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  <w:t>Приложение 3</w:t>
      </w:r>
      <w:r w:rsidR="008D3BA2">
        <w:rPr>
          <w:lang w:val="ru-RU"/>
        </w:rPr>
        <w:t xml:space="preserve"> − </w:t>
      </w:r>
      <w:r w:rsidR="00E07D33" w:rsidRPr="008D3BA2">
        <w:rPr>
          <w:lang w:val="ru-RU"/>
        </w:rPr>
        <w:t xml:space="preserve">Расходы </w:t>
      </w:r>
      <w:r w:rsidRPr="008D3BA2">
        <w:rPr>
          <w:lang w:val="ru-RU"/>
        </w:rPr>
        <w:t>региональных и зональных отделений в 201</w:t>
      </w:r>
      <w:r w:rsidR="00B612CE" w:rsidRPr="008D3BA2">
        <w:rPr>
          <w:lang w:val="ru-RU"/>
        </w:rPr>
        <w:t>7</w:t>
      </w:r>
      <w:r w:rsidRPr="008D3BA2">
        <w:rPr>
          <w:lang w:val="ru-RU"/>
        </w:rPr>
        <w:t> году в разбивке по категориям</w:t>
      </w:r>
      <w:r w:rsidR="00E07D33" w:rsidRPr="008D3BA2">
        <w:rPr>
          <w:lang w:val="ru-RU"/>
        </w:rPr>
        <w:t xml:space="preserve"> расходов</w:t>
      </w:r>
      <w:r w:rsidRPr="008D3BA2">
        <w:rPr>
          <w:lang w:val="ru-RU"/>
        </w:rPr>
        <w:t>.</w:t>
      </w:r>
    </w:p>
    <w:p w:rsidR="00AD0081" w:rsidRPr="008D3BA2" w:rsidRDefault="00AD0081" w:rsidP="008D3BA2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  <w:t>Приложение 4</w:t>
      </w:r>
      <w:r w:rsidR="008D3BA2">
        <w:rPr>
          <w:lang w:val="ru-RU"/>
        </w:rPr>
        <w:t xml:space="preserve"> − </w:t>
      </w:r>
      <w:r w:rsidRPr="008D3BA2">
        <w:rPr>
          <w:lang w:val="ru-RU"/>
        </w:rPr>
        <w:t>Стипендии, назначенные в 201</w:t>
      </w:r>
      <w:r w:rsidR="00B612CE" w:rsidRPr="008D3BA2">
        <w:rPr>
          <w:lang w:val="ru-RU"/>
        </w:rPr>
        <w:t>7</w:t>
      </w:r>
      <w:r w:rsidRPr="008D3BA2">
        <w:rPr>
          <w:lang w:val="ru-RU"/>
        </w:rPr>
        <w:t> году, и привлеченные эксперты.</w:t>
      </w:r>
    </w:p>
    <w:p w:rsidR="00AD0081" w:rsidRPr="008D3BA2" w:rsidRDefault="00AD0081" w:rsidP="008D3BA2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  <w:t>Приложение 5</w:t>
      </w:r>
      <w:r w:rsidR="008D3BA2">
        <w:rPr>
          <w:lang w:val="ru-RU"/>
        </w:rPr>
        <w:t xml:space="preserve"> − </w:t>
      </w:r>
      <w:r w:rsidRPr="008D3BA2">
        <w:rPr>
          <w:lang w:val="ru-RU"/>
        </w:rPr>
        <w:t>Краткое описание уровня укомплектованности штатов региональных и зональных отделений.</w:t>
      </w:r>
    </w:p>
    <w:p w:rsidR="00AD0081" w:rsidRPr="008D3BA2" w:rsidRDefault="00AD0081" w:rsidP="008D3BA2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  <w:t>Приложение 6</w:t>
      </w:r>
      <w:r w:rsidR="008D3BA2">
        <w:rPr>
          <w:lang w:val="ru-RU"/>
        </w:rPr>
        <w:t xml:space="preserve"> − </w:t>
      </w:r>
      <w:r w:rsidR="00E07D33" w:rsidRPr="008D3BA2">
        <w:rPr>
          <w:lang w:val="ru-RU"/>
        </w:rPr>
        <w:t>Уровень</w:t>
      </w:r>
      <w:r w:rsidRPr="008D3BA2">
        <w:rPr>
          <w:lang w:val="ru-RU"/>
        </w:rPr>
        <w:t xml:space="preserve"> укомплектованности штатов </w:t>
      </w:r>
      <w:r w:rsidR="00E07D33" w:rsidRPr="008D3BA2">
        <w:rPr>
          <w:lang w:val="ru-RU"/>
        </w:rPr>
        <w:t xml:space="preserve">в разбивке по </w:t>
      </w:r>
      <w:r w:rsidRPr="008D3BA2">
        <w:rPr>
          <w:lang w:val="ru-RU"/>
        </w:rPr>
        <w:t>региональны</w:t>
      </w:r>
      <w:r w:rsidR="00E07D33" w:rsidRPr="008D3BA2">
        <w:rPr>
          <w:lang w:val="ru-RU"/>
        </w:rPr>
        <w:t>м</w:t>
      </w:r>
      <w:r w:rsidRPr="008D3BA2">
        <w:rPr>
          <w:lang w:val="ru-RU"/>
        </w:rPr>
        <w:t xml:space="preserve"> и зональны</w:t>
      </w:r>
      <w:r w:rsidR="00E07D33" w:rsidRPr="008D3BA2">
        <w:rPr>
          <w:lang w:val="ru-RU"/>
        </w:rPr>
        <w:t>м</w:t>
      </w:r>
      <w:r w:rsidRPr="008D3BA2">
        <w:rPr>
          <w:lang w:val="ru-RU"/>
        </w:rPr>
        <w:t xml:space="preserve"> отделени</w:t>
      </w:r>
      <w:r w:rsidR="00E07D33" w:rsidRPr="008D3BA2">
        <w:rPr>
          <w:lang w:val="ru-RU"/>
        </w:rPr>
        <w:t>ям</w:t>
      </w:r>
      <w:r w:rsidRPr="008D3BA2">
        <w:rPr>
          <w:lang w:val="ru-RU"/>
        </w:rPr>
        <w:t>.</w:t>
      </w:r>
    </w:p>
    <w:p w:rsidR="00AD0081" w:rsidRPr="008D3BA2" w:rsidRDefault="00AD0081" w:rsidP="0045410B">
      <w:pPr>
        <w:rPr>
          <w:lang w:val="ru-RU"/>
        </w:rPr>
      </w:pPr>
      <w:r w:rsidRPr="008D3BA2">
        <w:rPr>
          <w:lang w:val="ru-RU"/>
        </w:rPr>
        <w:t>1.4</w:t>
      </w:r>
      <w:r w:rsidRPr="008D3BA2">
        <w:rPr>
          <w:lang w:val="ru-RU"/>
        </w:rPr>
        <w:tab/>
      </w:r>
      <w:r w:rsidR="000511B4" w:rsidRPr="008D3BA2">
        <w:rPr>
          <w:lang w:val="ru-RU"/>
        </w:rPr>
        <w:t>Кроме того</w:t>
      </w:r>
      <w:r w:rsidR="0045410B" w:rsidRPr="008D3BA2">
        <w:rPr>
          <w:lang w:val="ru-RU"/>
        </w:rPr>
        <w:t>, в Приложении к Резолюции 25 ПК-14 содержится просьба проводить один раз в четыре года обследование уровня удовлетворенности Государств-Членов, Членов Секторов и региональных организаций электросвязи региональным присутствием МСЭ</w:t>
      </w:r>
      <w:r w:rsidRPr="008D3BA2">
        <w:rPr>
          <w:lang w:val="ru-RU"/>
        </w:rPr>
        <w:t xml:space="preserve">. </w:t>
      </w:r>
      <w:r w:rsidR="0045410B" w:rsidRPr="008D3BA2">
        <w:rPr>
          <w:lang w:val="ru-RU"/>
        </w:rPr>
        <w:t xml:space="preserve">Согласно </w:t>
      </w:r>
      <w:proofErr w:type="gramStart"/>
      <w:r w:rsidR="0045410B" w:rsidRPr="008D3BA2">
        <w:rPr>
          <w:lang w:val="ru-RU"/>
        </w:rPr>
        <w:t>Приложению</w:t>
      </w:r>
      <w:proofErr w:type="gramEnd"/>
      <w:r w:rsidR="0045410B" w:rsidRPr="008D3BA2">
        <w:rPr>
          <w:lang w:val="ru-RU"/>
        </w:rPr>
        <w:t xml:space="preserve"> к Резолюции 25, "Совету следует рассмотреть вопрос о надлежащем порядке действий в отношении представления отчета Полномочной конференции 2018 года по этому вопросу".</w:t>
      </w:r>
    </w:p>
    <w:p w:rsidR="00CC3979" w:rsidRPr="008D3BA2" w:rsidRDefault="00AD0081" w:rsidP="00CB0072">
      <w:pPr>
        <w:rPr>
          <w:lang w:val="ru-RU"/>
        </w:rPr>
      </w:pPr>
      <w:r w:rsidRPr="008D3BA2">
        <w:rPr>
          <w:lang w:val="ru-RU"/>
        </w:rPr>
        <w:t>1.5</w:t>
      </w:r>
      <w:r w:rsidRPr="008D3BA2">
        <w:rPr>
          <w:lang w:val="ru-RU"/>
        </w:rPr>
        <w:tab/>
      </w:r>
      <w:r w:rsidR="0045410B" w:rsidRPr="008D3BA2">
        <w:rPr>
          <w:lang w:val="ru-RU"/>
        </w:rPr>
        <w:t xml:space="preserve">Следует напомнить, что такое обследование проводилось в 2016 году, отчет о нем был представлен Совету на его сессии 2017 года </w:t>
      </w:r>
      <w:r w:rsidRPr="008D3BA2">
        <w:rPr>
          <w:lang w:val="ru-RU"/>
        </w:rPr>
        <w:t>(</w:t>
      </w:r>
      <w:r w:rsidR="00D41D4F" w:rsidRPr="008D3BA2">
        <w:rPr>
          <w:lang w:val="ru-RU"/>
        </w:rPr>
        <w:t xml:space="preserve">Документ </w:t>
      </w:r>
      <w:hyperlink r:id="rId14" w:history="1">
        <w:proofErr w:type="spellStart"/>
        <w:r w:rsidR="00D41D4F" w:rsidRPr="008D3BA2">
          <w:rPr>
            <w:rStyle w:val="Hyperlink"/>
            <w:lang w:val="ru-RU"/>
          </w:rPr>
          <w:t>С</w:t>
        </w:r>
        <w:r w:rsidRPr="008D3BA2">
          <w:rPr>
            <w:rStyle w:val="Hyperlink"/>
            <w:lang w:val="ru-RU"/>
          </w:rPr>
          <w:t>17</w:t>
        </w:r>
        <w:proofErr w:type="spellEnd"/>
        <w:r w:rsidRPr="008D3BA2">
          <w:rPr>
            <w:rStyle w:val="Hyperlink"/>
            <w:lang w:val="ru-RU"/>
          </w:rPr>
          <w:t>/</w:t>
        </w:r>
        <w:proofErr w:type="spellStart"/>
        <w:r w:rsidRPr="008D3BA2">
          <w:rPr>
            <w:rStyle w:val="Hyperlink"/>
            <w:lang w:val="ru-RU"/>
          </w:rPr>
          <w:t>INF</w:t>
        </w:r>
        <w:proofErr w:type="spellEnd"/>
        <w:r w:rsidRPr="008D3BA2">
          <w:rPr>
            <w:rStyle w:val="Hyperlink"/>
            <w:lang w:val="ru-RU"/>
          </w:rPr>
          <w:t>/12</w:t>
        </w:r>
      </w:hyperlink>
      <w:r w:rsidRPr="008D3BA2">
        <w:rPr>
          <w:u w:val="single"/>
          <w:lang w:val="ru-RU"/>
        </w:rPr>
        <w:t>)</w:t>
      </w:r>
      <w:r w:rsidRPr="008D3BA2">
        <w:rPr>
          <w:lang w:val="ru-RU"/>
        </w:rPr>
        <w:t xml:space="preserve">. </w:t>
      </w:r>
      <w:r w:rsidR="0045410B" w:rsidRPr="008D3BA2">
        <w:rPr>
          <w:lang w:val="ru-RU"/>
        </w:rPr>
        <w:t xml:space="preserve">На сессии 2017 года Совет принял к сведению </w:t>
      </w:r>
      <w:r w:rsidR="00D41D4F" w:rsidRPr="008D3BA2">
        <w:rPr>
          <w:lang w:val="ru-RU"/>
        </w:rPr>
        <w:t>Документ </w:t>
      </w:r>
      <w:r w:rsidRPr="008D3BA2">
        <w:rPr>
          <w:lang w:val="ru-RU"/>
        </w:rPr>
        <w:t>C17/25 (</w:t>
      </w:r>
      <w:r w:rsidR="0045410B" w:rsidRPr="008D3BA2">
        <w:rPr>
          <w:lang w:val="ru-RU"/>
        </w:rPr>
        <w:t>Укрепление регионального присутствия</w:t>
      </w:r>
      <w:r w:rsidRPr="008D3BA2">
        <w:rPr>
          <w:lang w:val="ru-RU"/>
        </w:rPr>
        <w:t xml:space="preserve">), </w:t>
      </w:r>
      <w:r w:rsidR="0045410B" w:rsidRPr="008D3BA2">
        <w:rPr>
          <w:lang w:val="ru-RU"/>
        </w:rPr>
        <w:t xml:space="preserve">в котором содержится ссылка на обследование уровня удовлетворенности, представленное в </w:t>
      </w:r>
      <w:r w:rsidR="00D41D4F" w:rsidRPr="008D3BA2">
        <w:rPr>
          <w:lang w:val="ru-RU"/>
        </w:rPr>
        <w:t>Документе </w:t>
      </w:r>
      <w:r w:rsidRPr="008D3BA2">
        <w:rPr>
          <w:lang w:val="ru-RU"/>
        </w:rPr>
        <w:t>C17/</w:t>
      </w:r>
      <w:proofErr w:type="spellStart"/>
      <w:r w:rsidRPr="008D3BA2">
        <w:rPr>
          <w:lang w:val="ru-RU"/>
        </w:rPr>
        <w:t>INF</w:t>
      </w:r>
      <w:proofErr w:type="spellEnd"/>
      <w:r w:rsidRPr="008D3BA2">
        <w:rPr>
          <w:lang w:val="ru-RU"/>
        </w:rPr>
        <w:t xml:space="preserve">/12. </w:t>
      </w:r>
      <w:r w:rsidR="00CC3979" w:rsidRPr="008D3BA2">
        <w:rPr>
          <w:lang w:val="ru-RU"/>
        </w:rPr>
        <w:t>МСЭ получил 129 ответов</w:t>
      </w:r>
      <w:r w:rsidR="0045410B" w:rsidRPr="008D3BA2">
        <w:rPr>
          <w:lang w:val="ru-RU"/>
        </w:rPr>
        <w:t>, и</w:t>
      </w:r>
      <w:r w:rsidR="00CC3979" w:rsidRPr="008D3BA2">
        <w:rPr>
          <w:lang w:val="ru-RU"/>
        </w:rPr>
        <w:t>з них 88 ответов</w:t>
      </w:r>
      <w:r w:rsidR="0045410B" w:rsidRPr="008D3BA2">
        <w:rPr>
          <w:lang w:val="ru-RU"/>
        </w:rPr>
        <w:t xml:space="preserve"> были</w:t>
      </w:r>
      <w:r w:rsidR="00CC3979" w:rsidRPr="008D3BA2">
        <w:rPr>
          <w:lang w:val="ru-RU"/>
        </w:rPr>
        <w:t xml:space="preserve"> представлены Государствами-Членами и 41 ответ – Членами Секторов, Ассоциированными членами, региональными и международными организациями. </w:t>
      </w:r>
      <w:r w:rsidR="005F6A73" w:rsidRPr="008D3BA2">
        <w:rPr>
          <w:szCs w:val="22"/>
          <w:lang w:val="ru-RU"/>
        </w:rPr>
        <w:t xml:space="preserve">Общие результаты </w:t>
      </w:r>
      <w:r w:rsidR="00CC3979" w:rsidRPr="008D3BA2">
        <w:rPr>
          <w:szCs w:val="22"/>
          <w:lang w:val="ru-RU"/>
        </w:rPr>
        <w:t>по всем аспектам данного обследования</w:t>
      </w:r>
      <w:r w:rsidR="005F6A73" w:rsidRPr="008D3BA2">
        <w:rPr>
          <w:szCs w:val="22"/>
          <w:lang w:val="ru-RU"/>
        </w:rPr>
        <w:t xml:space="preserve"> являются в целом удовлетворительными</w:t>
      </w:r>
      <w:r w:rsidR="00CC3979" w:rsidRPr="008D3BA2">
        <w:rPr>
          <w:szCs w:val="22"/>
          <w:lang w:val="ru-RU"/>
        </w:rPr>
        <w:t xml:space="preserve">. </w:t>
      </w:r>
      <w:r w:rsidR="00CC3979" w:rsidRPr="008D3BA2">
        <w:rPr>
          <w:lang w:val="ru-RU"/>
        </w:rPr>
        <w:t xml:space="preserve">Подавляющее большинство участников обследования указали, что расположение региональных и зональных отделений является приемлемым, и что они знакомы с деятельностью МСЭ, в том числе на региональном уровне. Большинство участников обследования также указали, что считают </w:t>
      </w:r>
      <w:r w:rsidR="00CB0072" w:rsidRPr="008D3BA2">
        <w:rPr>
          <w:lang w:val="ru-RU"/>
        </w:rPr>
        <w:t xml:space="preserve">уровень </w:t>
      </w:r>
      <w:r w:rsidR="00CC3979" w:rsidRPr="008D3BA2">
        <w:rPr>
          <w:lang w:val="ru-RU"/>
        </w:rPr>
        <w:t>укомплектованност</w:t>
      </w:r>
      <w:r w:rsidR="00CB0072" w:rsidRPr="008D3BA2">
        <w:rPr>
          <w:lang w:val="ru-RU"/>
        </w:rPr>
        <w:t>и</w:t>
      </w:r>
      <w:r w:rsidR="00CC3979" w:rsidRPr="008D3BA2">
        <w:rPr>
          <w:lang w:val="ru-RU"/>
        </w:rPr>
        <w:t xml:space="preserve"> региональных и зональных отделений персоналом приемлем</w:t>
      </w:r>
      <w:r w:rsidR="00CB0072" w:rsidRPr="008D3BA2">
        <w:rPr>
          <w:lang w:val="ru-RU"/>
        </w:rPr>
        <w:t>ым</w:t>
      </w:r>
      <w:r w:rsidR="00CC3979" w:rsidRPr="008D3BA2">
        <w:rPr>
          <w:lang w:val="ru-RU"/>
        </w:rPr>
        <w:t>.</w:t>
      </w:r>
    </w:p>
    <w:p w:rsidR="00AD0081" w:rsidRPr="008D3BA2" w:rsidRDefault="00AD0081" w:rsidP="008010EC">
      <w:pPr>
        <w:pStyle w:val="Heading1"/>
        <w:rPr>
          <w:lang w:val="ru-RU"/>
        </w:rPr>
      </w:pPr>
      <w:r w:rsidRPr="008D3BA2">
        <w:rPr>
          <w:lang w:val="ru-RU"/>
        </w:rPr>
        <w:t>2</w:t>
      </w:r>
      <w:r w:rsidRPr="008D3BA2">
        <w:rPr>
          <w:lang w:val="ru-RU"/>
        </w:rPr>
        <w:tab/>
      </w:r>
      <w:r w:rsidR="008010EC" w:rsidRPr="008D3BA2">
        <w:rPr>
          <w:lang w:val="ru-RU"/>
        </w:rPr>
        <w:t>Достижения на региональном уровне (Оперативный план, региональные инициативы и проекты)</w:t>
      </w:r>
    </w:p>
    <w:p w:rsidR="00AD0081" w:rsidRPr="008D3BA2" w:rsidRDefault="00AD0081" w:rsidP="008010EC">
      <w:pPr>
        <w:rPr>
          <w:lang w:val="ru-RU"/>
        </w:rPr>
      </w:pPr>
      <w:r w:rsidRPr="008D3BA2">
        <w:rPr>
          <w:lang w:val="ru-RU"/>
        </w:rPr>
        <w:t>2.1</w:t>
      </w:r>
      <w:r w:rsidRPr="008D3BA2">
        <w:rPr>
          <w:lang w:val="ru-RU"/>
        </w:rPr>
        <w:tab/>
      </w:r>
      <w:r w:rsidR="00CC3979" w:rsidRPr="008D3BA2">
        <w:rPr>
          <w:lang w:val="ru-RU"/>
        </w:rPr>
        <w:t xml:space="preserve">Реализация региональных инициатив и выполнение программ, проектов и видов деятельности осуществляются на местах под руководством региональных и зональных отделений. Информация об основных достигнутых результатах регулярно доводится до сведения КГРЭ и Совета. Она содержится также в ежеквартальных отчетах, введенных Бюро в 2013 году для изложения подробной информации о выполнении Стратегического, Финансового и Оперативного планов, в том числе на региональном уровне. С ежеквартальными отчетами можно ознакомиться по </w:t>
      </w:r>
      <w:r w:rsidR="00CB0072" w:rsidRPr="008D3BA2">
        <w:rPr>
          <w:lang w:val="ru-RU"/>
        </w:rPr>
        <w:t xml:space="preserve">следующему </w:t>
      </w:r>
      <w:r w:rsidR="00CC3979" w:rsidRPr="008D3BA2">
        <w:rPr>
          <w:lang w:val="ru-RU"/>
        </w:rPr>
        <w:t>адресу:</w:t>
      </w:r>
      <w:r w:rsidR="008010EC" w:rsidRPr="008D3BA2">
        <w:rPr>
          <w:lang w:val="ru-RU"/>
        </w:rPr>
        <w:t xml:space="preserve"> </w:t>
      </w:r>
      <w:hyperlink r:id="rId15" w:history="1">
        <w:r w:rsidRPr="008D3BA2">
          <w:rPr>
            <w:rStyle w:val="Hyperlink"/>
            <w:lang w:val="ru-RU"/>
          </w:rPr>
          <w:t>http://www.itu.int/en/ITU-D/Pages/OperationalPlansPerformanceReports.aspx</w:t>
        </w:r>
      </w:hyperlink>
      <w:r w:rsidR="008010EC" w:rsidRPr="008D3BA2">
        <w:rPr>
          <w:lang w:val="ru-RU"/>
        </w:rPr>
        <w:t>.</w:t>
      </w:r>
    </w:p>
    <w:p w:rsidR="00AD0081" w:rsidRPr="008D3BA2" w:rsidRDefault="00AD0081" w:rsidP="008010EC">
      <w:pPr>
        <w:rPr>
          <w:lang w:val="ru-RU"/>
        </w:rPr>
      </w:pPr>
      <w:r w:rsidRPr="008D3BA2">
        <w:rPr>
          <w:lang w:val="ru-RU"/>
        </w:rPr>
        <w:t>2.2</w:t>
      </w:r>
      <w:r w:rsidRPr="008D3BA2">
        <w:rPr>
          <w:lang w:val="ru-RU"/>
        </w:rPr>
        <w:tab/>
      </w:r>
      <w:proofErr w:type="gramStart"/>
      <w:r w:rsidR="008010EC" w:rsidRPr="008D3BA2">
        <w:rPr>
          <w:szCs w:val="22"/>
          <w:lang w:val="ru-RU"/>
        </w:rPr>
        <w:t>В</w:t>
      </w:r>
      <w:proofErr w:type="gramEnd"/>
      <w:r w:rsidR="008010EC" w:rsidRPr="008D3BA2">
        <w:rPr>
          <w:szCs w:val="22"/>
          <w:lang w:val="ru-RU"/>
        </w:rPr>
        <w:t xml:space="preserve"> отчете о деятельности МСЭ-D за 2017 год содержится вся информация о вкладе региональных и зональных отделений в выполнение Стратегического и Оперативного планов МСЭ-D на 2017 год</w:t>
      </w:r>
      <w:r w:rsidR="008010EC" w:rsidRPr="008D3BA2">
        <w:rPr>
          <w:rFonts w:asciiTheme="minorHAnsi" w:hAnsiTheme="minorHAnsi"/>
          <w:szCs w:val="22"/>
          <w:lang w:val="ru-RU"/>
        </w:rPr>
        <w:t>. С отчетом о деятельности можно ознакомиться по следующему адресу</w:t>
      </w:r>
      <w:r w:rsidR="008010EC" w:rsidRPr="008D3BA2">
        <w:rPr>
          <w:szCs w:val="22"/>
          <w:lang w:val="ru-RU"/>
        </w:rPr>
        <w:t>:</w:t>
      </w:r>
      <w:r w:rsidRPr="008D3BA2">
        <w:rPr>
          <w:lang w:val="ru-RU"/>
        </w:rPr>
        <w:t xml:space="preserve"> </w:t>
      </w:r>
      <w:hyperlink r:id="rId16" w:history="1">
        <w:r w:rsidRPr="008D3BA2">
          <w:rPr>
            <w:rStyle w:val="Hyperlink"/>
            <w:lang w:val="ru-RU"/>
          </w:rPr>
          <w:t>https://www.itu.int/en/ITU-D/TIES_Protected/PerfReport2017.pdf</w:t>
        </w:r>
      </w:hyperlink>
      <w:r w:rsidR="008010EC" w:rsidRPr="008D3BA2">
        <w:rPr>
          <w:lang w:val="ru-RU"/>
        </w:rPr>
        <w:t>.</w:t>
      </w:r>
    </w:p>
    <w:p w:rsidR="00AD0081" w:rsidRPr="008D3BA2" w:rsidRDefault="00AD0081" w:rsidP="005F6A73">
      <w:pPr>
        <w:rPr>
          <w:lang w:val="ru-RU"/>
        </w:rPr>
      </w:pPr>
      <w:r w:rsidRPr="008D3BA2">
        <w:rPr>
          <w:lang w:val="ru-RU"/>
        </w:rPr>
        <w:t>2.3</w:t>
      </w:r>
      <w:r w:rsidRPr="008D3BA2">
        <w:rPr>
          <w:lang w:val="ru-RU"/>
        </w:rPr>
        <w:tab/>
      </w:r>
      <w:r w:rsidR="00D64BFD" w:rsidRPr="008D3BA2">
        <w:rPr>
          <w:lang w:val="ru-RU"/>
        </w:rPr>
        <w:t>В 2017 году реализация Оперативного плана БРЭ (</w:t>
      </w:r>
      <w:r w:rsidR="005F6A73" w:rsidRPr="008D3BA2">
        <w:rPr>
          <w:lang w:val="ru-RU"/>
        </w:rPr>
        <w:t>регулярный бюджет</w:t>
      </w:r>
      <w:r w:rsidR="00D64BFD" w:rsidRPr="008D3BA2">
        <w:rPr>
          <w:lang w:val="ru-RU"/>
        </w:rPr>
        <w:t>) включала 239 действий на общую сумму 2,4 млн. швейцарских франков (Таблица 1). Уровень реализации проектов технического сотрудничества составил 9,4 млн. </w:t>
      </w:r>
      <w:r w:rsidR="0002683B" w:rsidRPr="008D3BA2">
        <w:rPr>
          <w:lang w:val="ru-RU"/>
        </w:rPr>
        <w:t>долларов США</w:t>
      </w:r>
      <w:r w:rsidR="00D64BFD" w:rsidRPr="008D3BA2">
        <w:rPr>
          <w:lang w:val="ru-RU"/>
        </w:rPr>
        <w:t xml:space="preserve"> по 48 проектам (Таблица 2)</w:t>
      </w:r>
      <w:r w:rsidR="00D64BFD" w:rsidRPr="008D3BA2">
        <w:rPr>
          <w:rStyle w:val="FootnoteReference"/>
          <w:lang w:val="ru-RU"/>
        </w:rPr>
        <w:footnoteReference w:customMarkFollows="1" w:id="1"/>
        <w:t>1</w:t>
      </w:r>
      <w:r w:rsidR="00D64BFD" w:rsidRPr="008D3BA2">
        <w:rPr>
          <w:lang w:val="ru-RU"/>
        </w:rPr>
        <w:t>.</w:t>
      </w:r>
    </w:p>
    <w:p w:rsidR="009E6719" w:rsidRPr="008D3BA2" w:rsidRDefault="00461558" w:rsidP="009E6719">
      <w:pPr>
        <w:pStyle w:val="TableNo"/>
        <w:rPr>
          <w:lang w:val="ru-RU"/>
        </w:rPr>
      </w:pPr>
      <w:r w:rsidRPr="008D3BA2">
        <w:rPr>
          <w:lang w:val="ru-RU"/>
        </w:rPr>
        <w:lastRenderedPageBreak/>
        <w:t>Таблица</w:t>
      </w:r>
      <w:r w:rsidR="009E6719" w:rsidRPr="008D3BA2">
        <w:rPr>
          <w:lang w:val="ru-RU"/>
        </w:rPr>
        <w:t xml:space="preserve"> 1</w:t>
      </w:r>
    </w:p>
    <w:p w:rsidR="00AD0081" w:rsidRPr="008D3BA2" w:rsidRDefault="00BC0B55" w:rsidP="009E6719">
      <w:pPr>
        <w:pStyle w:val="Tabletitle"/>
        <w:rPr>
          <w:lang w:val="ru-RU"/>
        </w:rPr>
      </w:pPr>
      <w:r w:rsidRPr="008D3BA2">
        <w:rPr>
          <w:lang w:val="ru-RU"/>
        </w:rPr>
        <w:t>Реализация Оперативного плана БРЭ в</w:t>
      </w:r>
      <w:r w:rsidR="00AD0081" w:rsidRPr="008D3BA2">
        <w:rPr>
          <w:lang w:val="ru-RU"/>
        </w:rPr>
        <w:t xml:space="preserve"> 2017</w:t>
      </w:r>
      <w:r w:rsidRPr="008D3BA2">
        <w:rPr>
          <w:lang w:val="ru-RU"/>
        </w:rPr>
        <w:t> году</w:t>
      </w:r>
    </w:p>
    <w:p w:rsidR="00AD0081" w:rsidRPr="008D3BA2" w:rsidRDefault="00AD0081" w:rsidP="0002683B">
      <w:pPr>
        <w:spacing w:after="120"/>
        <w:jc w:val="center"/>
        <w:rPr>
          <w:i/>
          <w:iCs/>
          <w:sz w:val="18"/>
          <w:szCs w:val="16"/>
          <w:lang w:val="ru-RU"/>
        </w:rPr>
      </w:pPr>
      <w:r w:rsidRPr="008D3BA2">
        <w:rPr>
          <w:i/>
          <w:iCs/>
          <w:sz w:val="18"/>
          <w:szCs w:val="16"/>
          <w:lang w:val="ru-RU"/>
        </w:rPr>
        <w:t>(</w:t>
      </w:r>
      <w:r w:rsidR="001B34CD" w:rsidRPr="008D3BA2">
        <w:rPr>
          <w:i/>
          <w:iCs/>
          <w:sz w:val="18"/>
          <w:szCs w:val="16"/>
          <w:lang w:val="ru-RU"/>
        </w:rPr>
        <w:t>суммы</w:t>
      </w:r>
      <w:r w:rsidRPr="008D3BA2">
        <w:rPr>
          <w:i/>
          <w:iCs/>
          <w:sz w:val="18"/>
          <w:szCs w:val="16"/>
          <w:lang w:val="ru-RU"/>
        </w:rPr>
        <w:t xml:space="preserve"> </w:t>
      </w:r>
      <w:r w:rsidR="00461558" w:rsidRPr="008D3BA2">
        <w:rPr>
          <w:i/>
          <w:iCs/>
          <w:sz w:val="18"/>
          <w:szCs w:val="16"/>
          <w:lang w:val="ru-RU"/>
        </w:rPr>
        <w:t>в тыс</w:t>
      </w:r>
      <w:r w:rsidR="001B34CD" w:rsidRPr="008D3BA2">
        <w:rPr>
          <w:i/>
          <w:iCs/>
          <w:sz w:val="18"/>
          <w:szCs w:val="16"/>
          <w:lang w:val="ru-RU"/>
        </w:rPr>
        <w:t>.</w:t>
      </w:r>
      <w:r w:rsidR="00461558" w:rsidRPr="008D3BA2">
        <w:rPr>
          <w:i/>
          <w:iCs/>
          <w:sz w:val="18"/>
          <w:szCs w:val="16"/>
          <w:lang w:val="ru-RU"/>
        </w:rPr>
        <w:t xml:space="preserve"> швейцарских франков</w:t>
      </w:r>
      <w:r w:rsidRPr="008D3BA2">
        <w:rPr>
          <w:i/>
          <w:iCs/>
          <w:sz w:val="18"/>
          <w:szCs w:val="16"/>
          <w:lang w:val="ru-RU"/>
        </w:rPr>
        <w:t xml:space="preserve"> (</w:t>
      </w:r>
      <w:proofErr w:type="spellStart"/>
      <w:r w:rsidR="00461558" w:rsidRPr="008D3BA2">
        <w:rPr>
          <w:i/>
          <w:iCs/>
          <w:sz w:val="18"/>
          <w:szCs w:val="16"/>
          <w:lang w:val="ru-RU"/>
        </w:rPr>
        <w:t>шв</w:t>
      </w:r>
      <w:proofErr w:type="spellEnd"/>
      <w:r w:rsidR="00461558" w:rsidRPr="008D3BA2">
        <w:rPr>
          <w:i/>
          <w:iCs/>
          <w:sz w:val="18"/>
          <w:szCs w:val="16"/>
          <w:lang w:val="ru-RU"/>
        </w:rPr>
        <w:t>. фр.</w:t>
      </w:r>
      <w:r w:rsidRPr="008D3BA2">
        <w:rPr>
          <w:i/>
          <w:iCs/>
          <w:sz w:val="18"/>
          <w:szCs w:val="16"/>
          <w:lang w:val="ru-RU"/>
        </w:rPr>
        <w:t>))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</w:tblGrid>
      <w:tr w:rsidR="0002683B" w:rsidRPr="008D3BA2" w:rsidTr="008D3BA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02683B" w:rsidRPr="008D3BA2" w:rsidRDefault="0002683B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 xml:space="preserve">Задача </w:t>
            </w:r>
            <w:r w:rsidR="0002683B"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 xml:space="preserve">Задача </w:t>
            </w:r>
            <w:r w:rsidR="0002683B"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 xml:space="preserve">Задача </w:t>
            </w:r>
            <w:r w:rsidR="00F207A3"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 xml:space="preserve">Задача </w:t>
            </w:r>
            <w:r w:rsidR="00F207A3"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BC1DD1" w:rsidRPr="008D3BA2" w:rsidTr="008D3BA2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Регион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действий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</w:t>
            </w:r>
            <w:r w:rsidR="00D120E6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 xml:space="preserve">(тыс. </w:t>
            </w:r>
            <w:proofErr w:type="spellStart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действий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</w:t>
            </w:r>
            <w:r w:rsidR="00D120E6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</w:t>
            </w:r>
            <w:r w:rsidR="0002683B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proofErr w:type="spellStart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действий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</w:t>
            </w:r>
            <w:r w:rsidR="00D120E6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 xml:space="preserve">(тыс. </w:t>
            </w:r>
            <w:proofErr w:type="spellStart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действий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</w:t>
            </w:r>
            <w:r w:rsidR="00D120E6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 xml:space="preserve">(тыс. </w:t>
            </w:r>
            <w:proofErr w:type="spellStart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действий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D120E6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 xml:space="preserve">(тыс. </w:t>
            </w:r>
            <w:proofErr w:type="spellStart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</w:tr>
      <w:tr w:rsidR="0002683B" w:rsidRPr="008D3BA2" w:rsidTr="008D3BA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Африка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331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124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142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597</w:t>
            </w:r>
          </w:p>
        </w:tc>
      </w:tr>
      <w:tr w:rsidR="0002683B" w:rsidRPr="008D3BA2" w:rsidTr="008D3BA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8D3BA2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b/>
                <w:bCs/>
                <w:sz w:val="16"/>
                <w:szCs w:val="16"/>
                <w:lang w:val="ru-RU" w:eastAsia="zh-CN"/>
              </w:rPr>
              <w:t>Северная и </w:t>
            </w:r>
            <w:r w:rsidR="005F6A73" w:rsidRPr="008D3BA2">
              <w:rPr>
                <w:b/>
                <w:bCs/>
                <w:sz w:val="16"/>
                <w:szCs w:val="16"/>
                <w:lang w:val="ru-RU" w:eastAsia="zh-CN"/>
              </w:rPr>
              <w:t>Южная Америка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238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104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649</w:t>
            </w:r>
          </w:p>
        </w:tc>
      </w:tr>
      <w:tr w:rsidR="0002683B" w:rsidRPr="008D3BA2" w:rsidTr="008D3BA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Арабские государства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56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56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69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369</w:t>
            </w:r>
          </w:p>
        </w:tc>
      </w:tr>
      <w:tr w:rsidR="0002683B" w:rsidRPr="008D3BA2" w:rsidTr="008D3BA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Азиатско-Тихоокеанский регион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207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81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63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371</w:t>
            </w:r>
          </w:p>
        </w:tc>
      </w:tr>
      <w:tr w:rsidR="0002683B" w:rsidRPr="008D3BA2" w:rsidTr="008D3BA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СНГ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64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92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231</w:t>
            </w:r>
          </w:p>
        </w:tc>
      </w:tr>
      <w:tr w:rsidR="0002683B" w:rsidRPr="008D3BA2" w:rsidTr="008D3BA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Европа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118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46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59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223</w:t>
            </w:r>
          </w:p>
        </w:tc>
      </w:tr>
      <w:tr w:rsidR="00BC1DD1" w:rsidRPr="008D3BA2" w:rsidTr="008D3BA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1 157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475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606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202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187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2 440</w:t>
            </w:r>
          </w:p>
        </w:tc>
      </w:tr>
    </w:tbl>
    <w:p w:rsidR="009E6719" w:rsidRPr="008D3BA2" w:rsidRDefault="00461558" w:rsidP="009E6719">
      <w:pPr>
        <w:pStyle w:val="TableNo"/>
        <w:rPr>
          <w:lang w:val="ru-RU"/>
        </w:rPr>
      </w:pPr>
      <w:r w:rsidRPr="008D3BA2">
        <w:rPr>
          <w:lang w:val="ru-RU"/>
        </w:rPr>
        <w:t>Таблица</w:t>
      </w:r>
      <w:r w:rsidR="00AD0081" w:rsidRPr="008D3BA2">
        <w:rPr>
          <w:lang w:val="ru-RU"/>
        </w:rPr>
        <w:t xml:space="preserve"> 2</w:t>
      </w:r>
    </w:p>
    <w:p w:rsidR="00AD0081" w:rsidRPr="008D3BA2" w:rsidRDefault="00BC0B55" w:rsidP="009E6719">
      <w:pPr>
        <w:pStyle w:val="Tabletitle"/>
        <w:rPr>
          <w:lang w:val="ru-RU"/>
        </w:rPr>
      </w:pPr>
      <w:r w:rsidRPr="008D3BA2">
        <w:rPr>
          <w:lang w:val="ru-RU"/>
        </w:rPr>
        <w:t>Реализация проектов в</w:t>
      </w:r>
      <w:r w:rsidR="00AD0081" w:rsidRPr="008D3BA2">
        <w:rPr>
          <w:lang w:val="ru-RU"/>
        </w:rPr>
        <w:t xml:space="preserve"> 2017</w:t>
      </w:r>
      <w:r w:rsidRPr="008D3BA2">
        <w:rPr>
          <w:lang w:val="ru-RU"/>
        </w:rPr>
        <w:t> году</w:t>
      </w:r>
    </w:p>
    <w:p w:rsidR="00AD0081" w:rsidRPr="008D3BA2" w:rsidRDefault="00AD0081" w:rsidP="009C5DFB">
      <w:pPr>
        <w:spacing w:after="120"/>
        <w:jc w:val="center"/>
        <w:rPr>
          <w:i/>
          <w:iCs/>
          <w:sz w:val="18"/>
          <w:szCs w:val="16"/>
          <w:lang w:val="ru-RU"/>
        </w:rPr>
      </w:pPr>
      <w:r w:rsidRPr="008D3BA2">
        <w:rPr>
          <w:i/>
          <w:iCs/>
          <w:sz w:val="18"/>
          <w:szCs w:val="16"/>
          <w:lang w:val="ru-RU"/>
        </w:rPr>
        <w:t>(</w:t>
      </w:r>
      <w:r w:rsidR="001B34CD" w:rsidRPr="008D3BA2">
        <w:rPr>
          <w:i/>
          <w:iCs/>
          <w:sz w:val="18"/>
          <w:szCs w:val="16"/>
          <w:lang w:val="ru-RU"/>
        </w:rPr>
        <w:t>суммы</w:t>
      </w:r>
      <w:r w:rsidRPr="008D3BA2">
        <w:rPr>
          <w:i/>
          <w:iCs/>
          <w:sz w:val="18"/>
          <w:szCs w:val="16"/>
          <w:lang w:val="ru-RU"/>
        </w:rPr>
        <w:t xml:space="preserve"> </w:t>
      </w:r>
      <w:r w:rsidR="00461558" w:rsidRPr="008D3BA2">
        <w:rPr>
          <w:i/>
          <w:iCs/>
          <w:sz w:val="18"/>
          <w:szCs w:val="16"/>
          <w:lang w:val="ru-RU"/>
        </w:rPr>
        <w:t>в тыс</w:t>
      </w:r>
      <w:r w:rsidR="001B34CD" w:rsidRPr="008D3BA2">
        <w:rPr>
          <w:i/>
          <w:iCs/>
          <w:sz w:val="18"/>
          <w:szCs w:val="16"/>
          <w:lang w:val="ru-RU"/>
        </w:rPr>
        <w:t>.</w:t>
      </w:r>
      <w:r w:rsidR="00461558" w:rsidRPr="008D3BA2">
        <w:rPr>
          <w:i/>
          <w:iCs/>
          <w:sz w:val="18"/>
          <w:szCs w:val="16"/>
          <w:lang w:val="ru-RU"/>
        </w:rPr>
        <w:t xml:space="preserve"> </w:t>
      </w:r>
      <w:r w:rsidR="00A057F8" w:rsidRPr="008D3BA2">
        <w:rPr>
          <w:i/>
          <w:iCs/>
          <w:sz w:val="18"/>
          <w:szCs w:val="16"/>
          <w:lang w:val="ru-RU"/>
        </w:rPr>
        <w:t>долл. США</w:t>
      </w:r>
      <w:r w:rsidRPr="008D3BA2">
        <w:rPr>
          <w:i/>
          <w:iCs/>
          <w:sz w:val="18"/>
          <w:szCs w:val="16"/>
          <w:lang w:val="ru-RU"/>
        </w:rPr>
        <w:t>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</w:tblGrid>
      <w:tr w:rsidR="00517250" w:rsidRPr="008D3BA2" w:rsidTr="00BC1DD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02683B" w:rsidRPr="008D3BA2" w:rsidRDefault="0002683B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2683B" w:rsidRPr="008D3BA2" w:rsidRDefault="00CB0072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proofErr w:type="spellStart"/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ФИТ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proofErr w:type="spellStart"/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ФРИКТ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Оперативный план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ПРООН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BC1DD1" w:rsidRPr="008D3BA2" w:rsidTr="007948DF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:rsidR="0002683B" w:rsidRPr="008D3BA2" w:rsidRDefault="005F6A73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Регион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</w:t>
            </w:r>
            <w:r w:rsidR="00D120E6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</w:t>
            </w:r>
            <w:r w:rsidR="00D120E6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</w:t>
            </w:r>
            <w:r w:rsidR="00D120E6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</w:t>
            </w:r>
            <w:r w:rsidR="00D120E6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02683B" w:rsidRPr="008D3BA2" w:rsidRDefault="005F6A73" w:rsidP="00F207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</w:t>
            </w:r>
            <w:r w:rsidR="00D120E6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реализации </w:t>
            </w:r>
            <w:r w:rsidR="007948DF" w:rsidRPr="008D3BA2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</w:tr>
      <w:tr w:rsidR="005F6A73" w:rsidRPr="008D3BA2" w:rsidTr="007948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Африка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184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2 517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289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2 990</w:t>
            </w:r>
          </w:p>
        </w:tc>
      </w:tr>
      <w:tr w:rsidR="005F6A73" w:rsidRPr="008D3BA2" w:rsidTr="007948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8D3BA2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b/>
                <w:bCs/>
                <w:sz w:val="16"/>
                <w:szCs w:val="16"/>
                <w:lang w:val="ru-RU" w:eastAsia="zh-CN"/>
              </w:rPr>
              <w:t>Северная и </w:t>
            </w:r>
            <w:r w:rsidR="005F6A73" w:rsidRPr="008D3BA2">
              <w:rPr>
                <w:b/>
                <w:bCs/>
                <w:sz w:val="16"/>
                <w:szCs w:val="16"/>
                <w:lang w:val="ru-RU" w:eastAsia="zh-CN"/>
              </w:rPr>
              <w:t>Южная Америка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3 766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3 794</w:t>
            </w:r>
          </w:p>
        </w:tc>
      </w:tr>
      <w:tr w:rsidR="005F6A73" w:rsidRPr="008D3BA2" w:rsidTr="007948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Арабские государства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810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860</w:t>
            </w:r>
          </w:p>
        </w:tc>
      </w:tr>
      <w:tr w:rsidR="005F6A73" w:rsidRPr="008D3BA2" w:rsidTr="007948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Азиатско-Тихоокеанский регион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1 288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81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1 369</w:t>
            </w:r>
          </w:p>
        </w:tc>
      </w:tr>
      <w:tr w:rsidR="005F6A73" w:rsidRPr="008D3BA2" w:rsidTr="007948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СНГ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5F6A73" w:rsidRPr="008D3BA2" w:rsidTr="007948D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Европа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8D3BA2">
              <w:rPr>
                <w:sz w:val="16"/>
                <w:szCs w:val="16"/>
                <w:lang w:val="ru-RU" w:eastAsia="zh-CN"/>
              </w:rPr>
              <w:t>415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73" w:rsidRPr="008D3BA2" w:rsidRDefault="005F6A73" w:rsidP="005F6A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415</w:t>
            </w:r>
          </w:p>
        </w:tc>
      </w:tr>
      <w:tr w:rsidR="00BC1DD1" w:rsidRPr="008D3BA2" w:rsidTr="007948D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5F6A73" w:rsidP="00BC1D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9C5DF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 xml:space="preserve">6 </w:t>
            </w:r>
            <w:r w:rsidR="0002683B" w:rsidRPr="008D3BA2">
              <w:rPr>
                <w:b/>
                <w:bCs/>
                <w:sz w:val="16"/>
                <w:szCs w:val="16"/>
                <w:lang w:val="ru-RU" w:eastAsia="zh-CN"/>
              </w:rPr>
              <w:t>463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9C5DF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 xml:space="preserve">2 </w:t>
            </w:r>
            <w:r w:rsidR="0002683B" w:rsidRPr="008D3BA2">
              <w:rPr>
                <w:b/>
                <w:bCs/>
                <w:sz w:val="16"/>
                <w:szCs w:val="16"/>
                <w:lang w:val="ru-RU" w:eastAsia="zh-CN"/>
              </w:rPr>
              <w:t>605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334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02683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2683B" w:rsidRPr="008D3BA2" w:rsidRDefault="009C5DFB" w:rsidP="007948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8D3BA2">
              <w:rPr>
                <w:b/>
                <w:bCs/>
                <w:sz w:val="16"/>
                <w:szCs w:val="16"/>
                <w:lang w:val="ru-RU" w:eastAsia="zh-CN"/>
              </w:rPr>
              <w:t xml:space="preserve">9 </w:t>
            </w:r>
            <w:r w:rsidR="0002683B" w:rsidRPr="008D3BA2">
              <w:rPr>
                <w:b/>
                <w:bCs/>
                <w:sz w:val="16"/>
                <w:szCs w:val="16"/>
                <w:lang w:val="ru-RU" w:eastAsia="zh-CN"/>
              </w:rPr>
              <w:t>428</w:t>
            </w:r>
          </w:p>
        </w:tc>
      </w:tr>
    </w:tbl>
    <w:p w:rsidR="00AD0081" w:rsidRPr="008D3BA2" w:rsidRDefault="00AD0081" w:rsidP="00D92897">
      <w:pPr>
        <w:pStyle w:val="Heading2"/>
        <w:rPr>
          <w:lang w:val="ru-RU"/>
        </w:rPr>
      </w:pPr>
      <w:r w:rsidRPr="008D3BA2">
        <w:rPr>
          <w:lang w:val="ru-RU"/>
        </w:rPr>
        <w:t>2.4</w:t>
      </w:r>
      <w:r w:rsidRPr="008D3BA2">
        <w:rPr>
          <w:lang w:val="ru-RU"/>
        </w:rPr>
        <w:tab/>
      </w:r>
      <w:r w:rsidR="00D92897" w:rsidRPr="008D3BA2">
        <w:rPr>
          <w:lang w:val="ru-RU"/>
        </w:rPr>
        <w:t>Африканский регион</w:t>
      </w:r>
    </w:p>
    <w:p w:rsidR="00AD0081" w:rsidRPr="008D3BA2" w:rsidRDefault="00AD0081" w:rsidP="000E5FEB">
      <w:pPr>
        <w:rPr>
          <w:lang w:val="ru-RU"/>
        </w:rPr>
      </w:pPr>
      <w:r w:rsidRPr="008D3BA2">
        <w:rPr>
          <w:lang w:val="ru-RU"/>
        </w:rPr>
        <w:t>2.4.1</w:t>
      </w:r>
      <w:r w:rsidRPr="008D3BA2">
        <w:rPr>
          <w:lang w:val="ru-RU"/>
        </w:rPr>
        <w:tab/>
      </w:r>
      <w:r w:rsidR="00BC127E" w:rsidRPr="008D3BA2">
        <w:rPr>
          <w:lang w:val="ru-RU"/>
        </w:rPr>
        <w:t xml:space="preserve">В 2017 году БРЭ </w:t>
      </w:r>
      <w:r w:rsidR="00341BBC" w:rsidRPr="008D3BA2">
        <w:rPr>
          <w:lang w:val="ru-RU"/>
        </w:rPr>
        <w:t xml:space="preserve">в сотрудничестве с Государствами-Членами </w:t>
      </w:r>
      <w:r w:rsidR="000E5FEB" w:rsidRPr="008D3BA2">
        <w:rPr>
          <w:lang w:val="ru-RU"/>
        </w:rPr>
        <w:t xml:space="preserve">вело </w:t>
      </w:r>
      <w:r w:rsidR="00BC127E" w:rsidRPr="008D3BA2">
        <w:rPr>
          <w:lang w:val="ru-RU"/>
        </w:rPr>
        <w:t xml:space="preserve">в регионе Африки проектную деятельность по 13 проектам технического сотрудничества на общую сумму около </w:t>
      </w:r>
      <w:r w:rsidRPr="008D3BA2">
        <w:rPr>
          <w:lang w:val="ru-RU"/>
        </w:rPr>
        <w:t>3</w:t>
      </w:r>
      <w:r w:rsidR="00F207A3" w:rsidRPr="008D3BA2">
        <w:rPr>
          <w:lang w:val="ru-RU"/>
        </w:rPr>
        <w:t> </w:t>
      </w:r>
      <w:r w:rsidR="00D92897" w:rsidRPr="008D3BA2">
        <w:rPr>
          <w:lang w:val="ru-RU"/>
        </w:rPr>
        <w:t>млн.</w:t>
      </w:r>
      <w:r w:rsidR="00F207A3" w:rsidRPr="008D3BA2">
        <w:rPr>
          <w:lang w:val="ru-RU"/>
        </w:rPr>
        <w:t> </w:t>
      </w:r>
      <w:r w:rsidR="00D92897" w:rsidRPr="008D3BA2">
        <w:rPr>
          <w:lang w:val="ru-RU"/>
        </w:rPr>
        <w:t>швейцарских франков</w:t>
      </w:r>
      <w:r w:rsidR="00BC127E" w:rsidRPr="008D3BA2">
        <w:rPr>
          <w:lang w:val="ru-RU"/>
        </w:rPr>
        <w:t xml:space="preserve">. Кроме того, </w:t>
      </w:r>
      <w:r w:rsidR="000E5FEB" w:rsidRPr="008D3BA2">
        <w:rPr>
          <w:lang w:val="ru-RU"/>
        </w:rPr>
        <w:t xml:space="preserve">в рамках 48 действий были осуществлены различные виды деятельности </w:t>
      </w:r>
      <w:r w:rsidR="00BC127E" w:rsidRPr="008D3BA2">
        <w:rPr>
          <w:lang w:val="ru-RU"/>
        </w:rPr>
        <w:t xml:space="preserve">на общую сумму </w:t>
      </w:r>
      <w:r w:rsidRPr="008D3BA2">
        <w:rPr>
          <w:lang w:val="ru-RU"/>
        </w:rPr>
        <w:t>597</w:t>
      </w:r>
      <w:r w:rsidR="00D92897" w:rsidRPr="008D3BA2">
        <w:rPr>
          <w:lang w:val="ru-RU"/>
        </w:rPr>
        <w:t> </w:t>
      </w:r>
      <w:r w:rsidRPr="008D3BA2">
        <w:rPr>
          <w:lang w:val="ru-RU"/>
        </w:rPr>
        <w:t xml:space="preserve">000 </w:t>
      </w:r>
      <w:r w:rsidR="00D92897" w:rsidRPr="008D3BA2">
        <w:rPr>
          <w:lang w:val="ru-RU"/>
        </w:rPr>
        <w:t>швейцарских франков</w:t>
      </w:r>
      <w:r w:rsidRPr="008D3BA2">
        <w:rPr>
          <w:lang w:val="ru-RU"/>
        </w:rPr>
        <w:t>.</w:t>
      </w:r>
    </w:p>
    <w:p w:rsidR="00AD0081" w:rsidRPr="008D3BA2" w:rsidRDefault="00AD0081" w:rsidP="00FF10B4">
      <w:pPr>
        <w:rPr>
          <w:lang w:val="ru-RU"/>
        </w:rPr>
      </w:pPr>
      <w:r w:rsidRPr="008D3BA2">
        <w:rPr>
          <w:lang w:val="ru-RU"/>
        </w:rPr>
        <w:t>2.4.2</w:t>
      </w:r>
      <w:r w:rsidRPr="008D3BA2">
        <w:rPr>
          <w:lang w:val="ru-RU"/>
        </w:rPr>
        <w:tab/>
      </w:r>
      <w:r w:rsidR="00BC127E" w:rsidRPr="008D3BA2">
        <w:rPr>
          <w:lang w:val="ru-RU"/>
        </w:rPr>
        <w:t xml:space="preserve">МСЭ оказывал содействие Африканскому союзу электросвязи (АСЭ) в организации </w:t>
      </w:r>
      <w:r w:rsidR="00FF10B4" w:rsidRPr="008D3BA2">
        <w:rPr>
          <w:lang w:val="ru-RU"/>
        </w:rPr>
        <w:t xml:space="preserve">подготовительных </w:t>
      </w:r>
      <w:r w:rsidR="00BC127E" w:rsidRPr="008D3BA2">
        <w:rPr>
          <w:lang w:val="ru-RU"/>
        </w:rPr>
        <w:t xml:space="preserve">собраний для </w:t>
      </w:r>
      <w:r w:rsidR="00FF10B4" w:rsidRPr="008D3BA2">
        <w:rPr>
          <w:lang w:val="ru-RU"/>
        </w:rPr>
        <w:t xml:space="preserve">формирования </w:t>
      </w:r>
      <w:r w:rsidR="00BC127E" w:rsidRPr="008D3BA2">
        <w:rPr>
          <w:lang w:val="ru-RU"/>
        </w:rPr>
        <w:t xml:space="preserve">общих позиций </w:t>
      </w:r>
      <w:r w:rsidR="00FF10B4" w:rsidRPr="008D3BA2">
        <w:rPr>
          <w:lang w:val="ru-RU"/>
        </w:rPr>
        <w:t xml:space="preserve">Африканского региона </w:t>
      </w:r>
      <w:r w:rsidR="00BC127E" w:rsidRPr="008D3BA2">
        <w:rPr>
          <w:lang w:val="ru-RU"/>
        </w:rPr>
        <w:t xml:space="preserve">на ВКРЭ и ВКР. </w:t>
      </w:r>
      <w:r w:rsidR="00D92897" w:rsidRPr="008D3BA2">
        <w:rPr>
          <w:lang w:val="ru-RU"/>
        </w:rPr>
        <w:t xml:space="preserve">МСЭ </w:t>
      </w:r>
      <w:r w:rsidR="00FF10B4" w:rsidRPr="008D3BA2">
        <w:rPr>
          <w:lang w:val="ru-RU"/>
        </w:rPr>
        <w:t xml:space="preserve">способствовал </w:t>
      </w:r>
      <w:r w:rsidR="00D92897" w:rsidRPr="008D3BA2">
        <w:rPr>
          <w:lang w:val="ru-RU"/>
        </w:rPr>
        <w:t xml:space="preserve">также согласованию стратегий и нормативно-правовых баз в регионе, </w:t>
      </w:r>
      <w:r w:rsidR="00FF10B4" w:rsidRPr="008D3BA2">
        <w:rPr>
          <w:lang w:val="ru-RU"/>
        </w:rPr>
        <w:lastRenderedPageBreak/>
        <w:t xml:space="preserve">касающихся универсализации </w:t>
      </w:r>
      <w:r w:rsidR="00D92897" w:rsidRPr="008D3BA2">
        <w:rPr>
          <w:lang w:val="ru-RU"/>
        </w:rPr>
        <w:t>широкополосной связи</w:t>
      </w:r>
      <w:r w:rsidR="00BD42DD" w:rsidRPr="008D3BA2">
        <w:rPr>
          <w:lang w:val="ru-RU"/>
        </w:rPr>
        <w:t>, развития</w:t>
      </w:r>
      <w:r w:rsidR="00D92897" w:rsidRPr="008D3BA2">
        <w:rPr>
          <w:lang w:val="ru-RU"/>
        </w:rPr>
        <w:t xml:space="preserve"> электронного здравоохранения </w:t>
      </w:r>
      <w:r w:rsidR="00FF10B4" w:rsidRPr="008D3BA2">
        <w:rPr>
          <w:lang w:val="ru-RU"/>
        </w:rPr>
        <w:t xml:space="preserve">с </w:t>
      </w:r>
      <w:r w:rsidR="00D92897" w:rsidRPr="008D3BA2">
        <w:rPr>
          <w:lang w:val="ru-RU"/>
        </w:rPr>
        <w:t>использовани</w:t>
      </w:r>
      <w:r w:rsidR="00FF10B4" w:rsidRPr="008D3BA2">
        <w:rPr>
          <w:lang w:val="ru-RU"/>
        </w:rPr>
        <w:t>ем</w:t>
      </w:r>
      <w:r w:rsidR="00D92897" w:rsidRPr="008D3BA2">
        <w:rPr>
          <w:lang w:val="ru-RU"/>
        </w:rPr>
        <w:t xml:space="preserve"> мобил</w:t>
      </w:r>
      <w:r w:rsidR="00BD42DD" w:rsidRPr="008D3BA2">
        <w:rPr>
          <w:lang w:val="ru-RU"/>
        </w:rPr>
        <w:t>ьных устройств, а также создания</w:t>
      </w:r>
      <w:r w:rsidR="00D92897" w:rsidRPr="008D3BA2">
        <w:rPr>
          <w:lang w:val="ru-RU"/>
        </w:rPr>
        <w:t xml:space="preserve"> региональных и субрегиональных IXP для сокращения затрат на трафик. </w:t>
      </w:r>
      <w:r w:rsidR="00BC127E" w:rsidRPr="008D3BA2">
        <w:rPr>
          <w:lang w:val="ru-RU"/>
        </w:rPr>
        <w:t xml:space="preserve">Странам региона была оказана помощь в различных областях, включая подготовку типовых национальных планов </w:t>
      </w:r>
      <w:r w:rsidR="00FF10B4" w:rsidRPr="008D3BA2">
        <w:rPr>
          <w:lang w:val="ru-RU"/>
        </w:rPr>
        <w:t xml:space="preserve">по </w:t>
      </w:r>
      <w:r w:rsidR="00BC127E" w:rsidRPr="008D3BA2">
        <w:rPr>
          <w:lang w:val="ru-RU"/>
        </w:rPr>
        <w:t>широкополосной связи, разработку политики в области цифровой экономики, разработку стратегий и корпоративного стратегического плана для учреждений и т.</w:t>
      </w:r>
      <w:r w:rsidR="008D3BA2">
        <w:rPr>
          <w:lang w:val="ru-RU"/>
        </w:rPr>
        <w:t xml:space="preserve"> </w:t>
      </w:r>
      <w:r w:rsidR="00BC127E" w:rsidRPr="008D3BA2">
        <w:rPr>
          <w:lang w:val="ru-RU"/>
        </w:rPr>
        <w:t>д</w:t>
      </w:r>
      <w:r w:rsidRPr="008D3BA2">
        <w:rPr>
          <w:lang w:val="ru-RU"/>
        </w:rPr>
        <w:t xml:space="preserve">. </w:t>
      </w:r>
    </w:p>
    <w:p w:rsidR="00AD0081" w:rsidRPr="008D3BA2" w:rsidRDefault="00AD0081" w:rsidP="009E6719">
      <w:pPr>
        <w:rPr>
          <w:lang w:val="ru-RU"/>
        </w:rPr>
      </w:pPr>
      <w:r w:rsidRPr="008D3BA2">
        <w:rPr>
          <w:lang w:val="ru-RU"/>
        </w:rPr>
        <w:t>2.4.3</w:t>
      </w:r>
      <w:r w:rsidRPr="008D3BA2">
        <w:rPr>
          <w:lang w:val="ru-RU"/>
        </w:rPr>
        <w:tab/>
      </w:r>
      <w:r w:rsidR="00BC127E" w:rsidRPr="008D3BA2">
        <w:rPr>
          <w:lang w:val="ru-RU"/>
        </w:rPr>
        <w:t>В настоящее время осуществляется ряд проектов в таких областях, как институциональная реформа, телемедицина, беспроводная широкополосная связь, подготовка сотрудников судебных органов</w:t>
      </w:r>
      <w:r w:rsidR="007E60E8" w:rsidRPr="008D3BA2">
        <w:rPr>
          <w:lang w:val="ru-RU"/>
        </w:rPr>
        <w:t>, создание и укрепление CIRT, программ</w:t>
      </w:r>
      <w:r w:rsidR="009E6719" w:rsidRPr="008D3BA2">
        <w:rPr>
          <w:lang w:val="ru-RU"/>
        </w:rPr>
        <w:t>а</w:t>
      </w:r>
      <w:r w:rsidR="007E60E8" w:rsidRPr="008D3BA2">
        <w:rPr>
          <w:lang w:val="ru-RU"/>
        </w:rPr>
        <w:t xml:space="preserve"> борьбы с диабетом с помощью мобильных средств и программ</w:t>
      </w:r>
      <w:r w:rsidR="009E6719" w:rsidRPr="008D3BA2">
        <w:rPr>
          <w:lang w:val="ru-RU"/>
        </w:rPr>
        <w:t>а</w:t>
      </w:r>
      <w:r w:rsidR="007E60E8" w:rsidRPr="008D3BA2">
        <w:rPr>
          <w:lang w:val="ru-RU"/>
        </w:rPr>
        <w:t xml:space="preserve"> диагностики рака шейки матки с помощью мобильных средств. В 2017 году в этом регионе были проведены несколько региональных с</w:t>
      </w:r>
      <w:r w:rsidR="00FF10B4" w:rsidRPr="008D3BA2">
        <w:rPr>
          <w:lang w:val="ru-RU"/>
        </w:rPr>
        <w:t>еминаров-практикумов и форумов, посвященных</w:t>
      </w:r>
      <w:r w:rsidR="007E60E8" w:rsidRPr="008D3BA2">
        <w:rPr>
          <w:lang w:val="ru-RU"/>
        </w:rPr>
        <w:t xml:space="preserve"> </w:t>
      </w:r>
      <w:r w:rsidR="00FF10B4" w:rsidRPr="008D3BA2">
        <w:rPr>
          <w:lang w:val="ru-RU"/>
        </w:rPr>
        <w:t xml:space="preserve">вопросам </w:t>
      </w:r>
      <w:r w:rsidR="007E60E8" w:rsidRPr="008D3BA2">
        <w:rPr>
          <w:lang w:val="ru-RU"/>
        </w:rPr>
        <w:t>соответстви</w:t>
      </w:r>
      <w:r w:rsidR="00FF10B4" w:rsidRPr="008D3BA2">
        <w:rPr>
          <w:lang w:val="ru-RU"/>
        </w:rPr>
        <w:t>я</w:t>
      </w:r>
      <w:r w:rsidR="007E60E8" w:rsidRPr="008D3BA2">
        <w:rPr>
          <w:lang w:val="ru-RU"/>
        </w:rPr>
        <w:t xml:space="preserve"> и функциональн</w:t>
      </w:r>
      <w:r w:rsidR="00FF10B4" w:rsidRPr="008D3BA2">
        <w:rPr>
          <w:lang w:val="ru-RU"/>
        </w:rPr>
        <w:t>ой</w:t>
      </w:r>
      <w:r w:rsidR="007E60E8" w:rsidRPr="008D3BA2">
        <w:rPr>
          <w:lang w:val="ru-RU"/>
        </w:rPr>
        <w:t xml:space="preserve"> совместимост</w:t>
      </w:r>
      <w:r w:rsidR="00FF10B4" w:rsidRPr="008D3BA2">
        <w:rPr>
          <w:lang w:val="ru-RU"/>
        </w:rPr>
        <w:t>и</w:t>
      </w:r>
      <w:r w:rsidR="007E60E8" w:rsidRPr="008D3BA2">
        <w:rPr>
          <w:lang w:val="ru-RU"/>
        </w:rPr>
        <w:t>, IPV6</w:t>
      </w:r>
      <w:r w:rsidR="00FF10B4" w:rsidRPr="008D3BA2">
        <w:rPr>
          <w:lang w:val="ru-RU"/>
        </w:rPr>
        <w:t>, кибербезопасности</w:t>
      </w:r>
      <w:r w:rsidR="007E60E8" w:rsidRPr="008D3BA2">
        <w:rPr>
          <w:lang w:val="ru-RU"/>
        </w:rPr>
        <w:t xml:space="preserve"> и </w:t>
      </w:r>
      <w:r w:rsidR="00FF10B4" w:rsidRPr="008D3BA2">
        <w:rPr>
          <w:lang w:val="ru-RU"/>
        </w:rPr>
        <w:t xml:space="preserve">организации </w:t>
      </w:r>
      <w:r w:rsidR="007E60E8" w:rsidRPr="008D3BA2">
        <w:rPr>
          <w:lang w:val="ru-RU"/>
        </w:rPr>
        <w:t>тренировочны</w:t>
      </w:r>
      <w:r w:rsidR="00FF10B4" w:rsidRPr="008D3BA2">
        <w:rPr>
          <w:lang w:val="ru-RU"/>
        </w:rPr>
        <w:t>х</w:t>
      </w:r>
      <w:r w:rsidR="007E60E8" w:rsidRPr="008D3BA2">
        <w:rPr>
          <w:lang w:val="ru-RU"/>
        </w:rPr>
        <w:t xml:space="preserve"> заняти</w:t>
      </w:r>
      <w:r w:rsidR="00FF10B4" w:rsidRPr="008D3BA2">
        <w:rPr>
          <w:lang w:val="ru-RU"/>
        </w:rPr>
        <w:t>й</w:t>
      </w:r>
      <w:r w:rsidR="007E60E8" w:rsidRPr="008D3BA2">
        <w:rPr>
          <w:lang w:val="ru-RU"/>
        </w:rPr>
        <w:t xml:space="preserve"> по кибербезопасности, IOT</w:t>
      </w:r>
      <w:r w:rsidR="00FF10B4" w:rsidRPr="008D3BA2">
        <w:rPr>
          <w:lang w:val="ru-RU"/>
        </w:rPr>
        <w:t>, экономики</w:t>
      </w:r>
      <w:r w:rsidR="007E60E8" w:rsidRPr="008D3BA2">
        <w:rPr>
          <w:lang w:val="ru-RU"/>
        </w:rPr>
        <w:t xml:space="preserve"> и финанс</w:t>
      </w:r>
      <w:r w:rsidR="00FF10B4" w:rsidRPr="008D3BA2">
        <w:rPr>
          <w:lang w:val="ru-RU"/>
        </w:rPr>
        <w:t>ов</w:t>
      </w:r>
      <w:r w:rsidR="007E60E8" w:rsidRPr="008D3BA2">
        <w:rPr>
          <w:lang w:val="ru-RU"/>
        </w:rPr>
        <w:t xml:space="preserve"> на базе ИКТ, качеств</w:t>
      </w:r>
      <w:r w:rsidR="00FF10B4" w:rsidRPr="008D3BA2">
        <w:rPr>
          <w:lang w:val="ru-RU"/>
        </w:rPr>
        <w:t>а обслуживания и оценки</w:t>
      </w:r>
      <w:r w:rsidR="007E60E8" w:rsidRPr="008D3BA2">
        <w:rPr>
          <w:lang w:val="ru-RU"/>
        </w:rPr>
        <w:t xml:space="preserve"> пользовател</w:t>
      </w:r>
      <w:r w:rsidR="00FF10B4" w:rsidRPr="008D3BA2">
        <w:rPr>
          <w:lang w:val="ru-RU"/>
        </w:rPr>
        <w:t>ем качества услуги, международного</w:t>
      </w:r>
      <w:r w:rsidR="007E60E8" w:rsidRPr="008D3BA2">
        <w:rPr>
          <w:lang w:val="ru-RU"/>
        </w:rPr>
        <w:t xml:space="preserve"> роуминг</w:t>
      </w:r>
      <w:r w:rsidR="00FF10B4" w:rsidRPr="008D3BA2">
        <w:rPr>
          <w:lang w:val="ru-RU"/>
        </w:rPr>
        <w:t>а</w:t>
      </w:r>
      <w:r w:rsidR="007E60E8" w:rsidRPr="008D3BA2">
        <w:rPr>
          <w:lang w:val="ru-RU"/>
        </w:rPr>
        <w:t>, а также доступност</w:t>
      </w:r>
      <w:r w:rsidR="00FF10B4" w:rsidRPr="008D3BA2">
        <w:rPr>
          <w:lang w:val="ru-RU"/>
        </w:rPr>
        <w:t>и</w:t>
      </w:r>
      <w:r w:rsidR="007E60E8" w:rsidRPr="008D3BA2">
        <w:rPr>
          <w:lang w:val="ru-RU"/>
        </w:rPr>
        <w:t xml:space="preserve"> ИКТ и охват</w:t>
      </w:r>
      <w:r w:rsidR="00FF10B4" w:rsidRPr="008D3BA2">
        <w:rPr>
          <w:lang w:val="ru-RU"/>
        </w:rPr>
        <w:t>а</w:t>
      </w:r>
      <w:r w:rsidR="007E60E8" w:rsidRPr="008D3BA2">
        <w:rPr>
          <w:lang w:val="ru-RU"/>
        </w:rPr>
        <w:t xml:space="preserve"> цифровыми технологиями. Был организован ряд национальных семинаров-практикумов по таким темам, как управление использованием спектра, измерение и показатели ИКТ, управление группами CIRT, подготовка инструкторов по развитию навыков ИКТ, COP, обзор зрелости кибербезопасности и стратегия кибербезопасности, план управления в кризисных ситуациях, </w:t>
      </w:r>
      <w:r w:rsidR="00E465A1" w:rsidRPr="008D3BA2">
        <w:rPr>
          <w:lang w:val="ru-RU"/>
        </w:rPr>
        <w:t>подготовка сотрудников судебных органов, QoS и QoE.</w:t>
      </w:r>
    </w:p>
    <w:p w:rsidR="00AD0081" w:rsidRPr="008D3BA2" w:rsidRDefault="00AD0081" w:rsidP="00B939D8">
      <w:pPr>
        <w:pStyle w:val="Heading2"/>
        <w:rPr>
          <w:lang w:val="ru-RU"/>
        </w:rPr>
      </w:pPr>
      <w:r w:rsidRPr="008D3BA2">
        <w:rPr>
          <w:lang w:val="ru-RU"/>
        </w:rPr>
        <w:t>2.5</w:t>
      </w:r>
      <w:r w:rsidRPr="008D3BA2">
        <w:rPr>
          <w:lang w:val="ru-RU"/>
        </w:rPr>
        <w:tab/>
      </w:r>
      <w:r w:rsidR="00B939D8" w:rsidRPr="008D3BA2">
        <w:rPr>
          <w:lang w:val="ru-RU"/>
        </w:rPr>
        <w:t>Регион Северной и Южной Америки</w:t>
      </w:r>
    </w:p>
    <w:p w:rsidR="00AD0081" w:rsidRPr="008D3BA2" w:rsidRDefault="00AD0081" w:rsidP="00B53441">
      <w:pPr>
        <w:rPr>
          <w:lang w:val="ru-RU"/>
        </w:rPr>
      </w:pPr>
      <w:r w:rsidRPr="008D3BA2">
        <w:rPr>
          <w:lang w:val="ru-RU"/>
        </w:rPr>
        <w:t>2.5.1</w:t>
      </w:r>
      <w:r w:rsidRPr="008D3BA2">
        <w:rPr>
          <w:lang w:val="ru-RU"/>
        </w:rPr>
        <w:tab/>
      </w:r>
      <w:r w:rsidR="00E465A1" w:rsidRPr="008D3BA2">
        <w:rPr>
          <w:lang w:val="ru-RU"/>
        </w:rPr>
        <w:t xml:space="preserve">В 2017 году БРЭ </w:t>
      </w:r>
      <w:r w:rsidR="00FF10B4" w:rsidRPr="008D3BA2">
        <w:rPr>
          <w:lang w:val="ru-RU"/>
        </w:rPr>
        <w:t xml:space="preserve">в сотрудничестве с Государствами-Членами </w:t>
      </w:r>
      <w:r w:rsidR="00B53441" w:rsidRPr="008D3BA2">
        <w:rPr>
          <w:lang w:val="ru-RU"/>
        </w:rPr>
        <w:t xml:space="preserve">вело </w:t>
      </w:r>
      <w:r w:rsidR="00E465A1" w:rsidRPr="008D3BA2">
        <w:rPr>
          <w:lang w:val="ru-RU"/>
        </w:rPr>
        <w:t xml:space="preserve">в регионе Северной и Южной Америки проектную деятельность по 11 проектам технического сотрудничества на общую сумму около 3,8 млн. швейцарских франков. Кроме того, </w:t>
      </w:r>
      <w:r w:rsidR="00A240A5" w:rsidRPr="008D3BA2">
        <w:rPr>
          <w:lang w:val="ru-RU"/>
        </w:rPr>
        <w:t xml:space="preserve">в рамках </w:t>
      </w:r>
      <w:r w:rsidR="00FF10B4" w:rsidRPr="008D3BA2">
        <w:rPr>
          <w:lang w:val="ru-RU"/>
        </w:rPr>
        <w:t>32 действи</w:t>
      </w:r>
      <w:r w:rsidR="00A240A5" w:rsidRPr="008D3BA2">
        <w:rPr>
          <w:lang w:val="ru-RU"/>
        </w:rPr>
        <w:t>й</w:t>
      </w:r>
      <w:r w:rsidR="00E465A1" w:rsidRPr="008D3BA2">
        <w:rPr>
          <w:lang w:val="ru-RU"/>
        </w:rPr>
        <w:t xml:space="preserve"> </w:t>
      </w:r>
      <w:r w:rsidR="00A240A5" w:rsidRPr="008D3BA2">
        <w:rPr>
          <w:lang w:val="ru-RU"/>
        </w:rPr>
        <w:t xml:space="preserve">были осуществлены различные виды деятельности </w:t>
      </w:r>
      <w:r w:rsidR="00E465A1" w:rsidRPr="008D3BA2">
        <w:rPr>
          <w:lang w:val="ru-RU"/>
        </w:rPr>
        <w:t xml:space="preserve">на общую сумму </w:t>
      </w:r>
      <w:r w:rsidRPr="008D3BA2">
        <w:rPr>
          <w:lang w:val="ru-RU"/>
        </w:rPr>
        <w:t>649</w:t>
      </w:r>
      <w:r w:rsidR="00B939D8" w:rsidRPr="008D3BA2">
        <w:rPr>
          <w:lang w:val="ru-RU"/>
        </w:rPr>
        <w:t> </w:t>
      </w:r>
      <w:r w:rsidRPr="008D3BA2">
        <w:rPr>
          <w:lang w:val="ru-RU"/>
        </w:rPr>
        <w:t>000</w:t>
      </w:r>
      <w:r w:rsidR="00B939D8" w:rsidRPr="008D3BA2">
        <w:rPr>
          <w:lang w:val="ru-RU"/>
        </w:rPr>
        <w:t> швейцарских франков</w:t>
      </w:r>
      <w:r w:rsidRPr="008D3BA2">
        <w:rPr>
          <w:lang w:val="ru-RU"/>
        </w:rPr>
        <w:t>.</w:t>
      </w:r>
    </w:p>
    <w:p w:rsidR="00AD0081" w:rsidRPr="008D3BA2" w:rsidRDefault="00AD0081" w:rsidP="00B62705">
      <w:pPr>
        <w:rPr>
          <w:lang w:val="ru-RU"/>
        </w:rPr>
      </w:pPr>
      <w:r w:rsidRPr="008D3BA2">
        <w:rPr>
          <w:lang w:val="ru-RU"/>
        </w:rPr>
        <w:t>2.5.2</w:t>
      </w:r>
      <w:r w:rsidRPr="008D3BA2">
        <w:rPr>
          <w:lang w:val="ru-RU"/>
        </w:rPr>
        <w:tab/>
      </w:r>
      <w:r w:rsidR="00E465A1" w:rsidRPr="008D3BA2">
        <w:rPr>
          <w:lang w:val="ru-RU"/>
        </w:rPr>
        <w:t xml:space="preserve">Странам региона были оказаны прямая помощь и поддержка в таких сферах как </w:t>
      </w:r>
      <w:r w:rsidR="00A240A5" w:rsidRPr="008D3BA2">
        <w:rPr>
          <w:lang w:val="ru-RU"/>
        </w:rPr>
        <w:t xml:space="preserve">разработка стратегий и нормативно-правовой базы </w:t>
      </w:r>
      <w:r w:rsidR="00E465A1" w:rsidRPr="008D3BA2">
        <w:rPr>
          <w:lang w:val="ru-RU"/>
        </w:rPr>
        <w:t>для утилизации электронных отходов, разработка национальных планов по ИКТ, подготовка руководящих указаний по переходу с аналогового на цифровое радиовещание, развертывание инфраструктуры, у</w:t>
      </w:r>
      <w:r w:rsidR="008D3BA2">
        <w:rPr>
          <w:lang w:val="ru-RU"/>
        </w:rPr>
        <w:t>чебные курсы по доступности веб</w:t>
      </w:r>
      <w:r w:rsidR="008D3BA2">
        <w:rPr>
          <w:lang w:val="ru-RU"/>
        </w:rPr>
        <w:noBreakHyphen/>
      </w:r>
      <w:r w:rsidR="00E465A1" w:rsidRPr="008D3BA2">
        <w:rPr>
          <w:lang w:val="ru-RU"/>
        </w:rPr>
        <w:t>ресурсов и т.</w:t>
      </w:r>
      <w:r w:rsidR="008D3BA2">
        <w:rPr>
          <w:lang w:val="ru-RU"/>
        </w:rPr>
        <w:t xml:space="preserve"> </w:t>
      </w:r>
      <w:r w:rsidR="00E465A1" w:rsidRPr="008D3BA2">
        <w:rPr>
          <w:lang w:val="ru-RU"/>
        </w:rPr>
        <w:t xml:space="preserve">д. Свыше 150 представителей коренных народов </w:t>
      </w:r>
      <w:r w:rsidR="006A4F07" w:rsidRPr="008D3BA2">
        <w:rPr>
          <w:lang w:val="ru-RU"/>
        </w:rPr>
        <w:t xml:space="preserve">из 16 стран прошли онлайновый курс подготовки по использованию инновационных средств связи в интересах охвата </w:t>
      </w:r>
      <w:r w:rsidR="00B62705" w:rsidRPr="008D3BA2">
        <w:rPr>
          <w:lang w:val="ru-RU"/>
        </w:rPr>
        <w:t xml:space="preserve">коренных народов </w:t>
      </w:r>
      <w:r w:rsidR="006A4F07" w:rsidRPr="008D3BA2">
        <w:rPr>
          <w:lang w:val="ru-RU"/>
        </w:rPr>
        <w:t xml:space="preserve">и расширения </w:t>
      </w:r>
      <w:r w:rsidR="00B62705" w:rsidRPr="008D3BA2">
        <w:rPr>
          <w:lang w:val="ru-RU"/>
        </w:rPr>
        <w:t xml:space="preserve">их </w:t>
      </w:r>
      <w:r w:rsidR="006A4F07" w:rsidRPr="008D3BA2">
        <w:rPr>
          <w:lang w:val="ru-RU"/>
        </w:rPr>
        <w:t>возможностей</w:t>
      </w:r>
      <w:r w:rsidRPr="008D3BA2">
        <w:rPr>
          <w:lang w:val="ru-RU"/>
        </w:rPr>
        <w:t>.</w:t>
      </w:r>
    </w:p>
    <w:p w:rsidR="00AD0081" w:rsidRPr="008D3BA2" w:rsidRDefault="00AD0081" w:rsidP="00DA4A85">
      <w:pPr>
        <w:rPr>
          <w:lang w:val="ru-RU"/>
        </w:rPr>
      </w:pPr>
      <w:r w:rsidRPr="008D3BA2">
        <w:rPr>
          <w:lang w:val="ru-RU"/>
        </w:rPr>
        <w:t>2.5.3</w:t>
      </w:r>
      <w:r w:rsidRPr="008D3BA2">
        <w:rPr>
          <w:lang w:val="ru-RU"/>
        </w:rPr>
        <w:tab/>
      </w:r>
      <w:r w:rsidR="006A4F07" w:rsidRPr="008D3BA2">
        <w:rPr>
          <w:lang w:val="ru-RU"/>
        </w:rPr>
        <w:t>В 2017 году в регионе Северной и Южной Америки были организованы/</w:t>
      </w:r>
      <w:r w:rsidR="00B62705" w:rsidRPr="008D3BA2">
        <w:rPr>
          <w:lang w:val="ru-RU"/>
        </w:rPr>
        <w:t>проведены</w:t>
      </w:r>
      <w:r w:rsidR="006A4F07" w:rsidRPr="008D3BA2">
        <w:rPr>
          <w:lang w:val="ru-RU"/>
        </w:rPr>
        <w:t xml:space="preserve"> несколько региональных семинаров-практикумов и форумов по вопросам соответствия и функциональной совместимости, управления интернетом, </w:t>
      </w:r>
      <w:proofErr w:type="spellStart"/>
      <w:r w:rsidR="006A4F07" w:rsidRPr="008D3BA2">
        <w:rPr>
          <w:lang w:val="ru-RU"/>
        </w:rPr>
        <w:t>киберзапугивания</w:t>
      </w:r>
      <w:proofErr w:type="spellEnd"/>
      <w:r w:rsidR="006A4F07" w:rsidRPr="008D3BA2">
        <w:rPr>
          <w:lang w:val="ru-RU"/>
        </w:rPr>
        <w:t>, доступности ИКТ и охвата цифровыми технологиями, кибербезопасности и организации тренировочных занятий по кибербезопасности, электросвязи в чрезвычайных ситуациях и IOT. В рамках Академии МСЭ был проведен ряд онлайновых курсов по таким актуаль</w:t>
      </w:r>
      <w:r w:rsidR="00B62705" w:rsidRPr="008D3BA2">
        <w:rPr>
          <w:lang w:val="ru-RU"/>
        </w:rPr>
        <w:t>ным темам как радиочастотный</w:t>
      </w:r>
      <w:r w:rsidR="006A4F07" w:rsidRPr="008D3BA2">
        <w:rPr>
          <w:lang w:val="ru-RU"/>
        </w:rPr>
        <w:t xml:space="preserve"> спектр, роль ИКТ в "умных" и устойчивых городах, оптические сети и СПП, </w:t>
      </w:r>
      <w:r w:rsidR="00225348" w:rsidRPr="008D3BA2">
        <w:rPr>
          <w:lang w:val="ru-RU"/>
        </w:rPr>
        <w:t>управление использованием спектра и оказание услуг электросвязи и т.</w:t>
      </w:r>
      <w:r w:rsidR="008704BF">
        <w:rPr>
          <w:lang w:val="ru-RU"/>
        </w:rPr>
        <w:t xml:space="preserve"> </w:t>
      </w:r>
      <w:r w:rsidR="00225348" w:rsidRPr="008D3BA2">
        <w:rPr>
          <w:lang w:val="ru-RU"/>
        </w:rPr>
        <w:t xml:space="preserve">д. В результате совместной работы МСЭ, СИТЕЛ и </w:t>
      </w:r>
      <w:proofErr w:type="spellStart"/>
      <w:r w:rsidR="00225348" w:rsidRPr="008D3BA2">
        <w:rPr>
          <w:lang w:val="ru-RU"/>
        </w:rPr>
        <w:t>COMTELCA</w:t>
      </w:r>
      <w:proofErr w:type="spellEnd"/>
      <w:r w:rsidR="006A4F07" w:rsidRPr="008D3BA2">
        <w:rPr>
          <w:lang w:val="ru-RU"/>
        </w:rPr>
        <w:t xml:space="preserve"> </w:t>
      </w:r>
      <w:r w:rsidR="00225348" w:rsidRPr="008D3BA2">
        <w:rPr>
          <w:lang w:val="ru-RU"/>
        </w:rPr>
        <w:t>был подготовлен пилотный проект по созданию альтернативной региональной сети электросвязи в чрезвычайных ситуациях в регионе Северной и Южной Америки. Был</w:t>
      </w:r>
      <w:r w:rsidR="00DA4A85" w:rsidRPr="008D3BA2">
        <w:rPr>
          <w:lang w:val="ru-RU"/>
        </w:rPr>
        <w:t>и</w:t>
      </w:r>
      <w:r w:rsidR="00225348" w:rsidRPr="008D3BA2">
        <w:rPr>
          <w:lang w:val="ru-RU"/>
        </w:rPr>
        <w:t xml:space="preserve"> проведен</w:t>
      </w:r>
      <w:r w:rsidR="00DA4A85" w:rsidRPr="008D3BA2">
        <w:rPr>
          <w:lang w:val="ru-RU"/>
        </w:rPr>
        <w:t>ы</w:t>
      </w:r>
      <w:r w:rsidR="00225348" w:rsidRPr="008D3BA2">
        <w:rPr>
          <w:lang w:val="ru-RU"/>
        </w:rPr>
        <w:t xml:space="preserve"> </w:t>
      </w:r>
      <w:r w:rsidR="00DA4A85" w:rsidRPr="008D3BA2">
        <w:rPr>
          <w:lang w:val="ru-RU"/>
        </w:rPr>
        <w:t>оценка</w:t>
      </w:r>
      <w:r w:rsidR="00225348" w:rsidRPr="008D3BA2">
        <w:rPr>
          <w:lang w:val="ru-RU"/>
        </w:rPr>
        <w:t xml:space="preserve"> соответствия и проверк</w:t>
      </w:r>
      <w:r w:rsidR="00DA4A85" w:rsidRPr="008D3BA2">
        <w:rPr>
          <w:lang w:val="ru-RU"/>
        </w:rPr>
        <w:t>а</w:t>
      </w:r>
      <w:r w:rsidR="00225348" w:rsidRPr="008D3BA2">
        <w:rPr>
          <w:lang w:val="ru-RU"/>
        </w:rPr>
        <w:t xml:space="preserve"> функциональной совместимости, основной целью котор</w:t>
      </w:r>
      <w:r w:rsidR="00DA4A85" w:rsidRPr="008D3BA2">
        <w:rPr>
          <w:lang w:val="ru-RU"/>
        </w:rPr>
        <w:t>ых</w:t>
      </w:r>
      <w:r w:rsidR="00225348" w:rsidRPr="008D3BA2">
        <w:rPr>
          <w:lang w:val="ru-RU"/>
        </w:rPr>
        <w:t xml:space="preserve"> была подготовка предложений относительно дальнейших мер по улучшению положения дел в области соответствия и функциональной совместимости в регионе.</w:t>
      </w:r>
    </w:p>
    <w:p w:rsidR="00AD0081" w:rsidRPr="008D3BA2" w:rsidRDefault="00AD0081" w:rsidP="00B939D8">
      <w:pPr>
        <w:pStyle w:val="Heading2"/>
        <w:rPr>
          <w:lang w:val="ru-RU"/>
        </w:rPr>
      </w:pPr>
      <w:r w:rsidRPr="008D3BA2">
        <w:rPr>
          <w:lang w:val="ru-RU"/>
        </w:rPr>
        <w:lastRenderedPageBreak/>
        <w:t>2.6</w:t>
      </w:r>
      <w:r w:rsidRPr="008D3BA2">
        <w:rPr>
          <w:lang w:val="ru-RU"/>
        </w:rPr>
        <w:tab/>
      </w:r>
      <w:r w:rsidR="00B939D8" w:rsidRPr="008D3BA2">
        <w:rPr>
          <w:lang w:val="ru-RU"/>
        </w:rPr>
        <w:t>Арабский регион</w:t>
      </w:r>
    </w:p>
    <w:p w:rsidR="00AD0081" w:rsidRPr="008D3BA2" w:rsidRDefault="00AD0081" w:rsidP="00DA4A85">
      <w:pPr>
        <w:rPr>
          <w:lang w:val="ru-RU"/>
        </w:rPr>
      </w:pPr>
      <w:r w:rsidRPr="008D3BA2">
        <w:rPr>
          <w:lang w:val="ru-RU"/>
        </w:rPr>
        <w:t>2.6.1</w:t>
      </w:r>
      <w:r w:rsidRPr="008D3BA2">
        <w:rPr>
          <w:lang w:val="ru-RU"/>
        </w:rPr>
        <w:tab/>
      </w:r>
      <w:r w:rsidR="00225348" w:rsidRPr="008D3BA2">
        <w:rPr>
          <w:lang w:val="ru-RU"/>
        </w:rPr>
        <w:t xml:space="preserve">В 2017 году БРЭ </w:t>
      </w:r>
      <w:r w:rsidR="00DA4A85" w:rsidRPr="008D3BA2">
        <w:rPr>
          <w:lang w:val="ru-RU"/>
        </w:rPr>
        <w:t xml:space="preserve">в сотрудничестве с Государствами-Членами вело </w:t>
      </w:r>
      <w:r w:rsidR="00225348" w:rsidRPr="008D3BA2">
        <w:rPr>
          <w:lang w:val="ru-RU"/>
        </w:rPr>
        <w:t xml:space="preserve">в Арабском регионе проектную деятельность по восьми проектам технического сотрудничества на общую сумму </w:t>
      </w:r>
      <w:r w:rsidRPr="008D3BA2">
        <w:rPr>
          <w:lang w:val="ru-RU"/>
        </w:rPr>
        <w:t>860</w:t>
      </w:r>
      <w:r w:rsidR="00B939D8" w:rsidRPr="008D3BA2">
        <w:rPr>
          <w:lang w:val="ru-RU"/>
        </w:rPr>
        <w:t> </w:t>
      </w:r>
      <w:r w:rsidRPr="008D3BA2">
        <w:rPr>
          <w:lang w:val="ru-RU"/>
        </w:rPr>
        <w:t>000</w:t>
      </w:r>
      <w:r w:rsidR="00B939D8" w:rsidRPr="008D3BA2">
        <w:rPr>
          <w:lang w:val="ru-RU"/>
        </w:rPr>
        <w:t> швейцарских франков</w:t>
      </w:r>
      <w:r w:rsidR="00225348" w:rsidRPr="008D3BA2">
        <w:rPr>
          <w:lang w:val="ru-RU"/>
        </w:rPr>
        <w:t xml:space="preserve">. Кроме того, </w:t>
      </w:r>
      <w:r w:rsidR="00DA4A85" w:rsidRPr="008D3BA2">
        <w:rPr>
          <w:lang w:val="ru-RU"/>
        </w:rPr>
        <w:t xml:space="preserve">в рамках </w:t>
      </w:r>
      <w:r w:rsidR="00225348" w:rsidRPr="008D3BA2">
        <w:rPr>
          <w:lang w:val="ru-RU"/>
        </w:rPr>
        <w:t>32 действи</w:t>
      </w:r>
      <w:r w:rsidR="00DA4A85" w:rsidRPr="008D3BA2">
        <w:rPr>
          <w:lang w:val="ru-RU"/>
        </w:rPr>
        <w:t>й</w:t>
      </w:r>
      <w:r w:rsidR="00225348" w:rsidRPr="008D3BA2">
        <w:rPr>
          <w:lang w:val="ru-RU"/>
        </w:rPr>
        <w:t xml:space="preserve"> </w:t>
      </w:r>
      <w:r w:rsidR="00DA4A85" w:rsidRPr="008D3BA2">
        <w:rPr>
          <w:lang w:val="ru-RU"/>
        </w:rPr>
        <w:t xml:space="preserve">были осуществлены различные виды деятельности </w:t>
      </w:r>
      <w:r w:rsidR="00225348" w:rsidRPr="008D3BA2">
        <w:rPr>
          <w:lang w:val="ru-RU"/>
        </w:rPr>
        <w:t xml:space="preserve">на сумму </w:t>
      </w:r>
      <w:r w:rsidRPr="008D3BA2">
        <w:rPr>
          <w:lang w:val="ru-RU"/>
        </w:rPr>
        <w:t>369</w:t>
      </w:r>
      <w:r w:rsidR="00B939D8" w:rsidRPr="008D3BA2">
        <w:rPr>
          <w:lang w:val="ru-RU"/>
        </w:rPr>
        <w:t> </w:t>
      </w:r>
      <w:r w:rsidRPr="008D3BA2">
        <w:rPr>
          <w:lang w:val="ru-RU"/>
        </w:rPr>
        <w:t>000</w:t>
      </w:r>
      <w:r w:rsidR="00B939D8" w:rsidRPr="008D3BA2">
        <w:rPr>
          <w:lang w:val="ru-RU"/>
        </w:rPr>
        <w:t> швейцарских франков</w:t>
      </w:r>
      <w:r w:rsidRPr="008D3BA2">
        <w:rPr>
          <w:lang w:val="ru-RU"/>
        </w:rPr>
        <w:t>.</w:t>
      </w:r>
    </w:p>
    <w:p w:rsidR="00AD0081" w:rsidRPr="008D3BA2" w:rsidRDefault="00AD0081" w:rsidP="00DA4A85">
      <w:pPr>
        <w:rPr>
          <w:lang w:val="ru-RU"/>
        </w:rPr>
      </w:pPr>
      <w:r w:rsidRPr="008D3BA2">
        <w:rPr>
          <w:lang w:val="ru-RU"/>
        </w:rPr>
        <w:t>2.6.2</w:t>
      </w:r>
      <w:r w:rsidRPr="008D3BA2">
        <w:rPr>
          <w:lang w:val="ru-RU"/>
        </w:rPr>
        <w:tab/>
      </w:r>
      <w:proofErr w:type="gramStart"/>
      <w:r w:rsidR="00225348" w:rsidRPr="008D3BA2">
        <w:rPr>
          <w:lang w:val="ru-RU"/>
        </w:rPr>
        <w:t>В</w:t>
      </w:r>
      <w:proofErr w:type="gramEnd"/>
      <w:r w:rsidR="00225348" w:rsidRPr="008D3BA2">
        <w:rPr>
          <w:lang w:val="ru-RU"/>
        </w:rPr>
        <w:t xml:space="preserve"> рамках сети ЦПМ МСЭ в регионе арабских государств были проведены десять курсов по созданию потенциала, посвященных различным аспектам приложений и услуг на базе ИКТ; подготовку прошли свыше 250 человек. Было подписано соглашение о сотрудничестве с Германским агентством по международному сотрудничеству (</w:t>
      </w:r>
      <w:proofErr w:type="spellStart"/>
      <w:r w:rsidR="00225348" w:rsidRPr="008D3BA2">
        <w:rPr>
          <w:lang w:val="ru-RU"/>
        </w:rPr>
        <w:t>GIZ</w:t>
      </w:r>
      <w:proofErr w:type="spellEnd"/>
      <w:r w:rsidR="00225348" w:rsidRPr="008D3BA2">
        <w:rPr>
          <w:lang w:val="ru-RU"/>
        </w:rPr>
        <w:t>)</w:t>
      </w:r>
      <w:r w:rsidR="001D7242" w:rsidRPr="008D3BA2">
        <w:rPr>
          <w:lang w:val="ru-RU"/>
        </w:rPr>
        <w:t>, котор</w:t>
      </w:r>
      <w:r w:rsidR="00DA4A85" w:rsidRPr="008D3BA2">
        <w:rPr>
          <w:lang w:val="ru-RU"/>
        </w:rPr>
        <w:t>ое до 2019 года будет осуществлять проект содействия занятости</w:t>
      </w:r>
      <w:r w:rsidR="001D7242" w:rsidRPr="008D3BA2">
        <w:rPr>
          <w:lang w:val="ru-RU"/>
        </w:rPr>
        <w:t xml:space="preserve"> в рамках организации мероприятий по случаю Международного дня "Девушки в ИКТ". Оказывалось содействие </w:t>
      </w:r>
      <w:r w:rsidR="001D7242" w:rsidRPr="008D3BA2">
        <w:rPr>
          <w:color w:val="000000"/>
          <w:lang w:val="ru-RU"/>
        </w:rPr>
        <w:t>Арабской сети инкубаторов и технопарков (</w:t>
      </w:r>
      <w:proofErr w:type="spellStart"/>
      <w:r w:rsidR="001D7242" w:rsidRPr="008D3BA2">
        <w:rPr>
          <w:color w:val="000000"/>
          <w:lang w:val="ru-RU"/>
        </w:rPr>
        <w:t>ARTECNET</w:t>
      </w:r>
      <w:proofErr w:type="spellEnd"/>
      <w:r w:rsidR="001D7242" w:rsidRPr="008D3BA2">
        <w:rPr>
          <w:color w:val="000000"/>
          <w:lang w:val="ru-RU"/>
        </w:rPr>
        <w:t xml:space="preserve">), было проведено исследование, посвященное сетям широкополосной связи и развитию пунктов </w:t>
      </w:r>
      <w:r w:rsidR="001D7242" w:rsidRPr="008D3BA2">
        <w:rPr>
          <w:lang w:val="ru-RU"/>
        </w:rPr>
        <w:t>IXP.</w:t>
      </w:r>
    </w:p>
    <w:p w:rsidR="00AD0081" w:rsidRPr="008D3BA2" w:rsidRDefault="00AD0081" w:rsidP="009E6719">
      <w:pPr>
        <w:rPr>
          <w:lang w:val="ru-RU"/>
        </w:rPr>
      </w:pPr>
      <w:r w:rsidRPr="008D3BA2">
        <w:rPr>
          <w:lang w:val="ru-RU"/>
        </w:rPr>
        <w:t>2.6.3</w:t>
      </w:r>
      <w:r w:rsidRPr="008D3BA2">
        <w:rPr>
          <w:lang w:val="ru-RU"/>
        </w:rPr>
        <w:tab/>
      </w:r>
      <w:proofErr w:type="gramStart"/>
      <w:r w:rsidR="001D7242" w:rsidRPr="008D3BA2">
        <w:rPr>
          <w:lang w:val="ru-RU"/>
        </w:rPr>
        <w:t>В</w:t>
      </w:r>
      <w:proofErr w:type="gramEnd"/>
      <w:r w:rsidR="001D7242" w:rsidRPr="008D3BA2">
        <w:rPr>
          <w:lang w:val="ru-RU"/>
        </w:rPr>
        <w:t xml:space="preserve"> регионе арабских государств были </w:t>
      </w:r>
      <w:r w:rsidR="000979E5" w:rsidRPr="008D3BA2">
        <w:rPr>
          <w:lang w:val="ru-RU"/>
        </w:rPr>
        <w:t xml:space="preserve">проведены </w:t>
      </w:r>
      <w:r w:rsidR="001D7242" w:rsidRPr="008D3BA2">
        <w:rPr>
          <w:lang w:val="ru-RU"/>
        </w:rPr>
        <w:t>мероприятия по созданию потенциала в области IoT, развития "умных" городов, ИКТ и изменения климата, а также использования ИКТ для управления операциями в случае бедствий</w:t>
      </w:r>
      <w:r w:rsidRPr="008D3BA2">
        <w:rPr>
          <w:lang w:val="ru-RU"/>
        </w:rPr>
        <w:t>.</w:t>
      </w:r>
      <w:r w:rsidR="001D7242" w:rsidRPr="008D3BA2">
        <w:rPr>
          <w:lang w:val="ru-RU"/>
        </w:rPr>
        <w:t xml:space="preserve"> Была оказана прямая по</w:t>
      </w:r>
      <w:r w:rsidR="000979E5" w:rsidRPr="008D3BA2">
        <w:rPr>
          <w:lang w:val="ru-RU"/>
        </w:rPr>
        <w:t xml:space="preserve">мощь Палестине, Сомали и Судану, касающаяся </w:t>
      </w:r>
      <w:r w:rsidR="001D7242" w:rsidRPr="008D3BA2">
        <w:rPr>
          <w:lang w:val="ru-RU"/>
        </w:rPr>
        <w:t xml:space="preserve">переносимости </w:t>
      </w:r>
      <w:r w:rsidR="009E6719" w:rsidRPr="008D3BA2">
        <w:rPr>
          <w:lang w:val="ru-RU"/>
        </w:rPr>
        <w:t>номеров подвижной связи,</w:t>
      </w:r>
      <w:r w:rsidR="001D7242" w:rsidRPr="008D3BA2">
        <w:rPr>
          <w:lang w:val="ru-RU"/>
        </w:rPr>
        <w:t xml:space="preserve"> национальной нумерации и системы аттестации, соответственно. Кроме того, странам было оказано содействие в создании потенциала в области управления использованием спектра и координации частот. Продолжалась деятельность по кибербезопасности в рамках ежегодного регионального саммита и ежегодных региональных тренировочных занятий по кибербезопасности, а также мероприятий по защите ребенка в онлайновой среде.</w:t>
      </w:r>
      <w:r w:rsidR="0048660E" w:rsidRPr="008D3BA2">
        <w:rPr>
          <w:lang w:val="ru-RU"/>
        </w:rPr>
        <w:t xml:space="preserve"> Была организована Региональная неделя обеспечения доступности ИКТ, в рамках которой велась популяризация доступности ИКТ на региональном уровне.</w:t>
      </w:r>
    </w:p>
    <w:p w:rsidR="00AD0081" w:rsidRPr="008D3BA2" w:rsidRDefault="00AD0081" w:rsidP="00B939D8">
      <w:pPr>
        <w:pStyle w:val="Heading2"/>
        <w:rPr>
          <w:lang w:val="ru-RU"/>
        </w:rPr>
      </w:pPr>
      <w:r w:rsidRPr="008D3BA2">
        <w:rPr>
          <w:lang w:val="ru-RU"/>
        </w:rPr>
        <w:t>2.7</w:t>
      </w:r>
      <w:r w:rsidRPr="008D3BA2">
        <w:rPr>
          <w:lang w:val="ru-RU"/>
        </w:rPr>
        <w:tab/>
      </w:r>
      <w:r w:rsidR="00B939D8" w:rsidRPr="008D3BA2">
        <w:rPr>
          <w:lang w:val="ru-RU"/>
        </w:rPr>
        <w:t>Азиатско-Тихоокеанский регион</w:t>
      </w:r>
    </w:p>
    <w:p w:rsidR="00AD0081" w:rsidRPr="008D3BA2" w:rsidRDefault="00AD0081" w:rsidP="000979E5">
      <w:pPr>
        <w:rPr>
          <w:lang w:val="ru-RU"/>
        </w:rPr>
      </w:pPr>
      <w:r w:rsidRPr="008D3BA2">
        <w:rPr>
          <w:lang w:val="ru-RU"/>
        </w:rPr>
        <w:t>2.7.1</w:t>
      </w:r>
      <w:r w:rsidRPr="008D3BA2">
        <w:rPr>
          <w:lang w:val="ru-RU"/>
        </w:rPr>
        <w:tab/>
      </w:r>
      <w:r w:rsidR="0048660E" w:rsidRPr="008D3BA2">
        <w:rPr>
          <w:lang w:val="ru-RU"/>
        </w:rPr>
        <w:t xml:space="preserve">В 2017 году БРЭ </w:t>
      </w:r>
      <w:r w:rsidR="000979E5" w:rsidRPr="008D3BA2">
        <w:rPr>
          <w:lang w:val="ru-RU"/>
        </w:rPr>
        <w:t xml:space="preserve">в сотрудничестве с Государствами-Членами вело </w:t>
      </w:r>
      <w:r w:rsidR="0048660E" w:rsidRPr="008D3BA2">
        <w:rPr>
          <w:lang w:val="ru-RU"/>
        </w:rPr>
        <w:t xml:space="preserve">в Азиатско-Тихоокеанском регионе деятельность по 14 проектам технического сотрудничества на общую сумму около </w:t>
      </w:r>
      <w:r w:rsidRPr="008D3BA2">
        <w:rPr>
          <w:lang w:val="ru-RU"/>
        </w:rPr>
        <w:t>1</w:t>
      </w:r>
      <w:r w:rsidR="00322BCB" w:rsidRPr="008D3BA2">
        <w:rPr>
          <w:lang w:val="ru-RU"/>
        </w:rPr>
        <w:t>,</w:t>
      </w:r>
      <w:r w:rsidRPr="008D3BA2">
        <w:rPr>
          <w:lang w:val="ru-RU"/>
        </w:rPr>
        <w:t>4</w:t>
      </w:r>
      <w:r w:rsidR="006C5725" w:rsidRPr="008D3BA2">
        <w:rPr>
          <w:lang w:val="ru-RU"/>
        </w:rPr>
        <w:t> </w:t>
      </w:r>
      <w:r w:rsidR="00322BCB" w:rsidRPr="008D3BA2">
        <w:rPr>
          <w:lang w:val="ru-RU"/>
        </w:rPr>
        <w:t>млн. швейцарских франков</w:t>
      </w:r>
      <w:r w:rsidR="0048660E" w:rsidRPr="008D3BA2">
        <w:rPr>
          <w:lang w:val="ru-RU"/>
        </w:rPr>
        <w:t xml:space="preserve">. Кроме того, </w:t>
      </w:r>
      <w:r w:rsidR="000979E5" w:rsidRPr="008D3BA2">
        <w:rPr>
          <w:lang w:val="ru-RU"/>
        </w:rPr>
        <w:t xml:space="preserve">в рамках </w:t>
      </w:r>
      <w:r w:rsidR="0048660E" w:rsidRPr="008D3BA2">
        <w:rPr>
          <w:lang w:val="ru-RU"/>
        </w:rPr>
        <w:t>40 действи</w:t>
      </w:r>
      <w:r w:rsidR="000979E5" w:rsidRPr="008D3BA2">
        <w:rPr>
          <w:lang w:val="ru-RU"/>
        </w:rPr>
        <w:t>й</w:t>
      </w:r>
      <w:r w:rsidR="0048660E" w:rsidRPr="008D3BA2">
        <w:rPr>
          <w:lang w:val="ru-RU"/>
        </w:rPr>
        <w:t xml:space="preserve"> </w:t>
      </w:r>
      <w:r w:rsidR="000979E5" w:rsidRPr="008D3BA2">
        <w:rPr>
          <w:lang w:val="ru-RU"/>
        </w:rPr>
        <w:t xml:space="preserve">были осуществлены различные виды деятельности </w:t>
      </w:r>
      <w:r w:rsidR="0048660E" w:rsidRPr="008D3BA2">
        <w:rPr>
          <w:lang w:val="ru-RU"/>
        </w:rPr>
        <w:t xml:space="preserve">на сумму </w:t>
      </w:r>
      <w:r w:rsidRPr="008D3BA2">
        <w:rPr>
          <w:lang w:val="ru-RU"/>
        </w:rPr>
        <w:t>371</w:t>
      </w:r>
      <w:r w:rsidR="00322BCB" w:rsidRPr="008D3BA2">
        <w:rPr>
          <w:lang w:val="ru-RU"/>
        </w:rPr>
        <w:t> </w:t>
      </w:r>
      <w:r w:rsidRPr="008D3BA2">
        <w:rPr>
          <w:lang w:val="ru-RU"/>
        </w:rPr>
        <w:t>000</w:t>
      </w:r>
      <w:r w:rsidR="00322BCB" w:rsidRPr="008D3BA2">
        <w:rPr>
          <w:lang w:val="ru-RU"/>
        </w:rPr>
        <w:t> швейцарских франков</w:t>
      </w:r>
      <w:r w:rsidRPr="008D3BA2">
        <w:rPr>
          <w:lang w:val="ru-RU"/>
        </w:rPr>
        <w:t>.</w:t>
      </w:r>
    </w:p>
    <w:p w:rsidR="00AD0081" w:rsidRPr="008D3BA2" w:rsidRDefault="00AD0081" w:rsidP="009E6719">
      <w:pPr>
        <w:rPr>
          <w:lang w:val="ru-RU"/>
        </w:rPr>
      </w:pPr>
      <w:r w:rsidRPr="008D3BA2">
        <w:rPr>
          <w:lang w:val="ru-RU"/>
        </w:rPr>
        <w:t>2.7.2</w:t>
      </w:r>
      <w:r w:rsidRPr="008D3BA2">
        <w:rPr>
          <w:lang w:val="ru-RU"/>
        </w:rPr>
        <w:tab/>
      </w:r>
      <w:r w:rsidR="00E41DA7" w:rsidRPr="008D3BA2">
        <w:rPr>
          <w:color w:val="000000"/>
          <w:lang w:val="ru-RU"/>
        </w:rPr>
        <w:t xml:space="preserve">В центре внимания находилось создание потенциала и оказание специализированной помощи в области управления </w:t>
      </w:r>
      <w:r w:rsidR="000979E5" w:rsidRPr="008D3BA2">
        <w:rPr>
          <w:color w:val="000000"/>
          <w:lang w:val="ru-RU"/>
        </w:rPr>
        <w:t xml:space="preserve">использованием </w:t>
      </w:r>
      <w:r w:rsidR="00E41DA7" w:rsidRPr="008D3BA2">
        <w:rPr>
          <w:color w:val="000000"/>
          <w:lang w:val="ru-RU"/>
        </w:rPr>
        <w:t>спектр</w:t>
      </w:r>
      <w:r w:rsidR="000979E5" w:rsidRPr="008D3BA2">
        <w:rPr>
          <w:color w:val="000000"/>
          <w:lang w:val="ru-RU"/>
        </w:rPr>
        <w:t>а</w:t>
      </w:r>
      <w:r w:rsidR="00E41DA7" w:rsidRPr="008D3BA2">
        <w:rPr>
          <w:color w:val="000000"/>
          <w:lang w:val="ru-RU"/>
        </w:rPr>
        <w:t xml:space="preserve"> и разработки национальных планов контроля за его использованием, </w:t>
      </w:r>
      <w:r w:rsidR="000979E5" w:rsidRPr="008D3BA2">
        <w:rPr>
          <w:lang w:val="ru-RU"/>
        </w:rPr>
        <w:t>разработки стратегий и нормативно-правовой базы</w:t>
      </w:r>
      <w:r w:rsidR="00E41DA7" w:rsidRPr="008D3BA2">
        <w:rPr>
          <w:color w:val="000000"/>
          <w:lang w:val="ru-RU"/>
        </w:rPr>
        <w:t xml:space="preserve">, кибербезопасности и защиты ребенка в онлайновой среде, широкополосной связи, соответствия, функциональной совместимости и утверждения типов, радиовещания, приложений </w:t>
      </w:r>
      <w:r w:rsidR="00A20778" w:rsidRPr="008D3BA2">
        <w:rPr>
          <w:color w:val="000000"/>
          <w:lang w:val="ru-RU"/>
        </w:rPr>
        <w:t xml:space="preserve">на базе </w:t>
      </w:r>
      <w:r w:rsidR="00E41DA7" w:rsidRPr="008D3BA2">
        <w:rPr>
          <w:color w:val="000000"/>
          <w:lang w:val="ru-RU"/>
        </w:rPr>
        <w:t xml:space="preserve">ИКТ, лицензирования в условиях конвергенции, качества обслуживания, показателей и статистики в области ИКТ, интернета вещей, обмена трафиком интернета, </w:t>
      </w:r>
      <w:r w:rsidR="009E6719" w:rsidRPr="008D3BA2">
        <w:rPr>
          <w:color w:val="000000"/>
          <w:lang w:val="ru-RU"/>
        </w:rPr>
        <w:t>присоединения</w:t>
      </w:r>
      <w:r w:rsidR="00AD603D" w:rsidRPr="008D3BA2">
        <w:rPr>
          <w:color w:val="000000"/>
          <w:lang w:val="ru-RU"/>
        </w:rPr>
        <w:t xml:space="preserve"> сетей доставки контента и внедрения IPv6, использования ИКТ для содействия инновациям и предпринимательской деятельности, а также для расширения прав и возможностей женщин, электронного правительства, "умных" и устойчивых городов, </w:t>
      </w:r>
      <w:r w:rsidR="00E41DA7" w:rsidRPr="008D3BA2">
        <w:rPr>
          <w:color w:val="000000"/>
          <w:lang w:val="ru-RU"/>
        </w:rPr>
        <w:t>электронного сельского хозяйства, а также другой технической и регуляторной помощи.</w:t>
      </w:r>
    </w:p>
    <w:p w:rsidR="006C5725" w:rsidRPr="008D3BA2" w:rsidRDefault="00AD0081" w:rsidP="009E6719">
      <w:pPr>
        <w:rPr>
          <w:lang w:val="ru-RU"/>
        </w:rPr>
      </w:pPr>
      <w:r w:rsidRPr="008D3BA2">
        <w:rPr>
          <w:lang w:val="ru-RU"/>
        </w:rPr>
        <w:t>2.7.3</w:t>
      </w:r>
      <w:r w:rsidRPr="008D3BA2">
        <w:rPr>
          <w:lang w:val="ru-RU"/>
        </w:rPr>
        <w:tab/>
      </w:r>
      <w:r w:rsidR="006C5725" w:rsidRPr="008D3BA2">
        <w:rPr>
          <w:lang w:val="ru-RU"/>
        </w:rPr>
        <w:t xml:space="preserve">В области обучения основное внимание по-прежнему уделяется, в числе прочего, "умным" устойчивым технологиям, электронным приложениям, облачным вычислениям, безопасности инфраструктуры IPv6 и переходу на IPv6, пунктам обмена трафиком интернета, кибербезопасности и защите ребенка в онлайновой среде, показателям и статистике в области ИКТ, технологиям </w:t>
      </w:r>
      <w:r w:rsidR="00AD603D" w:rsidRPr="008D3BA2">
        <w:rPr>
          <w:lang w:val="ru-RU"/>
        </w:rPr>
        <w:t xml:space="preserve">и планам развития </w:t>
      </w:r>
      <w:r w:rsidR="006C5725" w:rsidRPr="008D3BA2">
        <w:rPr>
          <w:lang w:val="ru-RU"/>
        </w:rPr>
        <w:t>широкополосной связи, соответствию и функциональной совместимости, интернету вещей, экономике использования спектра, инструментам мониторинга и автоматизации (SMS4DC), подготовке к международным конференциям, разработке электронных стратегий (в област</w:t>
      </w:r>
      <w:r w:rsidR="00AD603D" w:rsidRPr="008D3BA2">
        <w:rPr>
          <w:lang w:val="ru-RU"/>
        </w:rPr>
        <w:t>и</w:t>
      </w:r>
      <w:r w:rsidR="006C5725" w:rsidRPr="008D3BA2">
        <w:rPr>
          <w:lang w:val="ru-RU"/>
        </w:rPr>
        <w:t xml:space="preserve"> сельского хозяйства, здравоохранения, почтовых услуг, электросвязи), моделированию затрат</w:t>
      </w:r>
      <w:r w:rsidR="00AD603D" w:rsidRPr="008D3BA2">
        <w:rPr>
          <w:lang w:val="ru-RU"/>
        </w:rPr>
        <w:t xml:space="preserve"> на оптовые и розничные услуги</w:t>
      </w:r>
      <w:r w:rsidR="006C5725" w:rsidRPr="008D3BA2">
        <w:rPr>
          <w:lang w:val="ru-RU"/>
        </w:rPr>
        <w:t>,</w:t>
      </w:r>
      <w:r w:rsidR="00AD603D" w:rsidRPr="008D3BA2">
        <w:rPr>
          <w:lang w:val="ru-RU"/>
        </w:rPr>
        <w:t xml:space="preserve"> а также </w:t>
      </w:r>
      <w:r w:rsidR="009E6719" w:rsidRPr="008D3BA2">
        <w:rPr>
          <w:lang w:val="ru-RU"/>
        </w:rPr>
        <w:t>услуги</w:t>
      </w:r>
      <w:r w:rsidR="00AD603D" w:rsidRPr="008D3BA2">
        <w:rPr>
          <w:lang w:val="ru-RU"/>
        </w:rPr>
        <w:t xml:space="preserve"> подвижной связи,</w:t>
      </w:r>
      <w:r w:rsidR="006C5725" w:rsidRPr="008D3BA2">
        <w:rPr>
          <w:lang w:val="ru-RU"/>
        </w:rPr>
        <w:t xml:space="preserve"> </w:t>
      </w:r>
      <w:r w:rsidR="00AD603D" w:rsidRPr="008D3BA2">
        <w:rPr>
          <w:lang w:val="ru-RU"/>
        </w:rPr>
        <w:t xml:space="preserve">и </w:t>
      </w:r>
      <w:r w:rsidR="006C5725" w:rsidRPr="008D3BA2">
        <w:rPr>
          <w:lang w:val="ru-RU"/>
        </w:rPr>
        <w:t>радиовещанию.</w:t>
      </w:r>
    </w:p>
    <w:p w:rsidR="00AD0081" w:rsidRPr="008D3BA2" w:rsidRDefault="00AD0081" w:rsidP="00322BCB">
      <w:pPr>
        <w:pStyle w:val="Heading2"/>
        <w:rPr>
          <w:lang w:val="ru-RU"/>
        </w:rPr>
      </w:pPr>
      <w:r w:rsidRPr="008D3BA2">
        <w:rPr>
          <w:lang w:val="ru-RU"/>
        </w:rPr>
        <w:lastRenderedPageBreak/>
        <w:t>2.8</w:t>
      </w:r>
      <w:r w:rsidRPr="008D3BA2">
        <w:rPr>
          <w:lang w:val="ru-RU"/>
        </w:rPr>
        <w:tab/>
      </w:r>
      <w:r w:rsidR="00322BCB" w:rsidRPr="008D3BA2">
        <w:rPr>
          <w:lang w:val="ru-RU"/>
        </w:rPr>
        <w:t>Регион СНГ</w:t>
      </w:r>
    </w:p>
    <w:p w:rsidR="00AD0081" w:rsidRPr="008D3BA2" w:rsidRDefault="00AD0081" w:rsidP="000979E5">
      <w:pPr>
        <w:rPr>
          <w:lang w:val="ru-RU"/>
        </w:rPr>
      </w:pPr>
      <w:r w:rsidRPr="008D3BA2">
        <w:rPr>
          <w:lang w:val="ru-RU"/>
        </w:rPr>
        <w:t>2.8.1</w:t>
      </w:r>
      <w:r w:rsidRPr="008D3BA2">
        <w:rPr>
          <w:lang w:val="ru-RU"/>
        </w:rPr>
        <w:tab/>
      </w:r>
      <w:r w:rsidR="00EE7959" w:rsidRPr="008D3BA2">
        <w:rPr>
          <w:lang w:val="ru-RU"/>
        </w:rPr>
        <w:t xml:space="preserve">В 2017 году БРЭ осуществило </w:t>
      </w:r>
      <w:r w:rsidR="000979E5" w:rsidRPr="008D3BA2">
        <w:rPr>
          <w:lang w:val="ru-RU"/>
        </w:rPr>
        <w:t xml:space="preserve">в рамках </w:t>
      </w:r>
      <w:r w:rsidR="00EE7959" w:rsidRPr="008D3BA2">
        <w:rPr>
          <w:lang w:val="ru-RU"/>
        </w:rPr>
        <w:t>19 действи</w:t>
      </w:r>
      <w:r w:rsidR="000979E5" w:rsidRPr="008D3BA2">
        <w:rPr>
          <w:lang w:val="ru-RU"/>
        </w:rPr>
        <w:t>й различные виды деятельности</w:t>
      </w:r>
      <w:r w:rsidR="00EE7959" w:rsidRPr="008D3BA2">
        <w:rPr>
          <w:lang w:val="ru-RU"/>
        </w:rPr>
        <w:t xml:space="preserve"> на сумму </w:t>
      </w:r>
      <w:r w:rsidRPr="008D3BA2">
        <w:rPr>
          <w:lang w:val="ru-RU"/>
        </w:rPr>
        <w:t>231</w:t>
      </w:r>
      <w:r w:rsidR="00711B81" w:rsidRPr="008D3BA2">
        <w:rPr>
          <w:lang w:val="ru-RU"/>
        </w:rPr>
        <w:t> </w:t>
      </w:r>
      <w:r w:rsidRPr="008D3BA2">
        <w:rPr>
          <w:lang w:val="ru-RU"/>
        </w:rPr>
        <w:t>000</w:t>
      </w:r>
      <w:r w:rsidR="00711B81" w:rsidRPr="008D3BA2">
        <w:rPr>
          <w:lang w:val="ru-RU"/>
        </w:rPr>
        <w:t> швейцарских франков</w:t>
      </w:r>
      <w:r w:rsidRPr="008D3BA2">
        <w:rPr>
          <w:lang w:val="ru-RU"/>
        </w:rPr>
        <w:t>.</w:t>
      </w:r>
    </w:p>
    <w:p w:rsidR="00AD0081" w:rsidRPr="008D3BA2" w:rsidRDefault="00AD0081" w:rsidP="0014069C">
      <w:pPr>
        <w:rPr>
          <w:lang w:val="ru-RU"/>
        </w:rPr>
      </w:pPr>
      <w:r w:rsidRPr="008D3BA2">
        <w:rPr>
          <w:lang w:val="ru-RU"/>
        </w:rPr>
        <w:t>2.8.2</w:t>
      </w:r>
      <w:r w:rsidRPr="008D3BA2">
        <w:rPr>
          <w:lang w:val="ru-RU"/>
        </w:rPr>
        <w:tab/>
      </w:r>
      <w:r w:rsidR="00EE7959" w:rsidRPr="008D3BA2">
        <w:rPr>
          <w:lang w:val="ru-RU"/>
        </w:rPr>
        <w:t xml:space="preserve">Были осуществлены все пять региональных инициатив, принятых на ВКРЭ-14. Основными результатами осуществления региональных инициатив СНГ в 2017 году стали, помимо прочих, </w:t>
      </w:r>
      <w:r w:rsidR="00EE7959" w:rsidRPr="008D3BA2">
        <w:rPr>
          <w:color w:val="000000"/>
          <w:lang w:val="ru-RU"/>
        </w:rPr>
        <w:t xml:space="preserve">создание Центра доступа в интернет и обучения на базе интернета для лиц с нарушениями слуха в Витебске, Республика Беларусь (пять рабочих мест) и разработка программного обеспечения, позволяющего </w:t>
      </w:r>
      <w:r w:rsidR="0014069C" w:rsidRPr="008D3BA2">
        <w:rPr>
          <w:color w:val="000000"/>
          <w:lang w:val="ru-RU"/>
        </w:rPr>
        <w:t xml:space="preserve">выбрать наиболее целесообразное решение для </w:t>
      </w:r>
      <w:r w:rsidR="00EE7959" w:rsidRPr="008D3BA2">
        <w:rPr>
          <w:color w:val="000000"/>
          <w:lang w:val="ru-RU"/>
        </w:rPr>
        <w:t>развертывания широкополосной связи во всех городах и населенных пунктах СНГ и Грузии</w:t>
      </w:r>
      <w:r w:rsidR="00EE7959" w:rsidRPr="008D3BA2">
        <w:rPr>
          <w:lang w:val="ru-RU"/>
        </w:rPr>
        <w:t xml:space="preserve"> </w:t>
      </w:r>
      <w:r w:rsidRPr="008D3BA2">
        <w:rPr>
          <w:lang w:val="ru-RU"/>
        </w:rPr>
        <w:t>(</w:t>
      </w:r>
      <w:hyperlink r:id="rId17" w:history="1">
        <w:r w:rsidRPr="008D3BA2">
          <w:rPr>
            <w:rStyle w:val="Hyperlink"/>
            <w:lang w:val="ru-RU"/>
          </w:rPr>
          <w:t>https://broadbandcalculator.online</w:t>
        </w:r>
      </w:hyperlink>
      <w:r w:rsidR="00EE7959" w:rsidRPr="008D3BA2">
        <w:rPr>
          <w:lang w:val="ru-RU"/>
        </w:rPr>
        <w:t>)</w:t>
      </w:r>
      <w:r w:rsidRPr="008D3BA2">
        <w:rPr>
          <w:lang w:val="ru-RU"/>
        </w:rPr>
        <w:t>.</w:t>
      </w:r>
    </w:p>
    <w:p w:rsidR="00AD0081" w:rsidRPr="008D3BA2" w:rsidRDefault="00AD0081" w:rsidP="00021BED">
      <w:pPr>
        <w:rPr>
          <w:lang w:val="ru-RU"/>
        </w:rPr>
      </w:pPr>
      <w:r w:rsidRPr="008D3BA2">
        <w:rPr>
          <w:lang w:val="ru-RU"/>
        </w:rPr>
        <w:t>2.8.3</w:t>
      </w:r>
      <w:r w:rsidRPr="008D3BA2">
        <w:rPr>
          <w:lang w:val="ru-RU"/>
        </w:rPr>
        <w:tab/>
      </w:r>
      <w:r w:rsidR="00EE7959" w:rsidRPr="008D3BA2">
        <w:rPr>
          <w:lang w:val="ru-RU"/>
        </w:rPr>
        <w:t xml:space="preserve">В соответствии с просьбами Членов МСЭ из региона СНГ в 2017 году мероприятия по созданию потенциала и региональные обсуждения были посвящены таким темам, как инновации, управление использованием спектра и радиовещание, "умные" устойчивые города, будущие сети, IoT, цифровые финансовые услуги, политика и регулирование, а также кибербезопасность. На протяжении всего года были организованы 18 региональных мероприятий, в которых в общей сложности приняли участие около 1170 человек из более чем 30 стран. По просьбам Государств-Членов МСЭ из данного региона оказывалась техническая помощь в области подготовки преподавателей информатики в сельских районах, </w:t>
      </w:r>
      <w:r w:rsidR="00517CF2" w:rsidRPr="008D3BA2">
        <w:rPr>
          <w:lang w:val="ru-RU"/>
        </w:rPr>
        <w:t>усовершенствовани</w:t>
      </w:r>
      <w:r w:rsidR="00021BED" w:rsidRPr="008D3BA2">
        <w:rPr>
          <w:lang w:val="ru-RU"/>
        </w:rPr>
        <w:t>я</w:t>
      </w:r>
      <w:r w:rsidR="00517CF2" w:rsidRPr="008D3BA2">
        <w:rPr>
          <w:lang w:val="ru-RU"/>
        </w:rPr>
        <w:t xml:space="preserve"> инфраструктуры дистанционного обучения в целях создания потенциала, проведения исследований, посвященных передовому опыту в регуляторной сфере, а также экспертной оценки методики тарификации услуг широкополосной связи и т.</w:t>
      </w:r>
      <w:r w:rsidR="0009749D">
        <w:rPr>
          <w:lang w:val="ru-RU"/>
        </w:rPr>
        <w:t xml:space="preserve"> </w:t>
      </w:r>
      <w:r w:rsidR="00517CF2" w:rsidRPr="008D3BA2">
        <w:rPr>
          <w:lang w:val="ru-RU"/>
        </w:rPr>
        <w:t>д</w:t>
      </w:r>
      <w:r w:rsidRPr="008D3BA2">
        <w:rPr>
          <w:lang w:val="ru-RU"/>
        </w:rPr>
        <w:t>.</w:t>
      </w:r>
    </w:p>
    <w:p w:rsidR="00AD0081" w:rsidRPr="008D3BA2" w:rsidRDefault="00AD0081" w:rsidP="006C5725">
      <w:pPr>
        <w:pStyle w:val="Heading2"/>
        <w:rPr>
          <w:lang w:val="ru-RU"/>
        </w:rPr>
      </w:pPr>
      <w:r w:rsidRPr="008D3BA2">
        <w:rPr>
          <w:lang w:val="ru-RU"/>
        </w:rPr>
        <w:t>2.9</w:t>
      </w:r>
      <w:r w:rsidRPr="008D3BA2">
        <w:rPr>
          <w:lang w:val="ru-RU"/>
        </w:rPr>
        <w:tab/>
      </w:r>
      <w:r w:rsidR="006C5725" w:rsidRPr="008D3BA2">
        <w:rPr>
          <w:lang w:val="ru-RU"/>
        </w:rPr>
        <w:t>Европейский регион</w:t>
      </w:r>
    </w:p>
    <w:p w:rsidR="00AD0081" w:rsidRPr="008D3BA2" w:rsidRDefault="00AD0081" w:rsidP="00021BED">
      <w:pPr>
        <w:rPr>
          <w:lang w:val="ru-RU"/>
        </w:rPr>
      </w:pPr>
      <w:r w:rsidRPr="008D3BA2">
        <w:rPr>
          <w:lang w:val="ru-RU"/>
        </w:rPr>
        <w:t>2.9.1</w:t>
      </w:r>
      <w:r w:rsidRPr="008D3BA2">
        <w:rPr>
          <w:lang w:val="ru-RU"/>
        </w:rPr>
        <w:tab/>
      </w:r>
      <w:r w:rsidR="00517CF2" w:rsidRPr="008D3BA2">
        <w:rPr>
          <w:lang w:val="ru-RU"/>
        </w:rPr>
        <w:t xml:space="preserve">В 2017 году БРЭ </w:t>
      </w:r>
      <w:r w:rsidR="00021BED" w:rsidRPr="008D3BA2">
        <w:rPr>
          <w:lang w:val="ru-RU"/>
        </w:rPr>
        <w:t xml:space="preserve">в сотрудничестве с Государствами-Членами вело </w:t>
      </w:r>
      <w:r w:rsidR="00517CF2" w:rsidRPr="008D3BA2">
        <w:rPr>
          <w:lang w:val="ru-RU"/>
        </w:rPr>
        <w:t xml:space="preserve">в Европейском регионе проектную деятельность по двум проектам технического сотрудничества на общую сумму </w:t>
      </w:r>
      <w:r w:rsidRPr="008D3BA2">
        <w:rPr>
          <w:lang w:val="ru-RU"/>
        </w:rPr>
        <w:t>415</w:t>
      </w:r>
      <w:r w:rsidR="006C5725" w:rsidRPr="008D3BA2">
        <w:rPr>
          <w:lang w:val="ru-RU"/>
        </w:rPr>
        <w:t> </w:t>
      </w:r>
      <w:r w:rsidRPr="008D3BA2">
        <w:rPr>
          <w:lang w:val="ru-RU"/>
        </w:rPr>
        <w:t>000</w:t>
      </w:r>
      <w:r w:rsidR="006C5725" w:rsidRPr="008D3BA2">
        <w:rPr>
          <w:lang w:val="ru-RU"/>
        </w:rPr>
        <w:t> швейцарских франков</w:t>
      </w:r>
      <w:r w:rsidR="00517CF2" w:rsidRPr="008D3BA2">
        <w:rPr>
          <w:lang w:val="ru-RU"/>
        </w:rPr>
        <w:t xml:space="preserve">. Кроме того, </w:t>
      </w:r>
      <w:r w:rsidR="00021BED" w:rsidRPr="008D3BA2">
        <w:rPr>
          <w:lang w:val="ru-RU"/>
        </w:rPr>
        <w:t xml:space="preserve">в рамках </w:t>
      </w:r>
      <w:r w:rsidR="00517CF2" w:rsidRPr="008D3BA2">
        <w:rPr>
          <w:lang w:val="ru-RU"/>
        </w:rPr>
        <w:t>16 действи</w:t>
      </w:r>
      <w:r w:rsidR="00021BED" w:rsidRPr="008D3BA2">
        <w:rPr>
          <w:lang w:val="ru-RU"/>
        </w:rPr>
        <w:t>й</w:t>
      </w:r>
      <w:r w:rsidR="00517CF2" w:rsidRPr="008D3BA2">
        <w:rPr>
          <w:lang w:val="ru-RU"/>
        </w:rPr>
        <w:t xml:space="preserve"> </w:t>
      </w:r>
      <w:r w:rsidR="00021BED" w:rsidRPr="008D3BA2">
        <w:rPr>
          <w:lang w:val="ru-RU"/>
        </w:rPr>
        <w:t xml:space="preserve">были осуществлены различные виды деятельности </w:t>
      </w:r>
      <w:r w:rsidR="00517CF2" w:rsidRPr="008D3BA2">
        <w:rPr>
          <w:lang w:val="ru-RU"/>
        </w:rPr>
        <w:t>на сумму</w:t>
      </w:r>
      <w:r w:rsidR="006C5725" w:rsidRPr="008D3BA2">
        <w:rPr>
          <w:lang w:val="ru-RU"/>
        </w:rPr>
        <w:t xml:space="preserve"> </w:t>
      </w:r>
      <w:r w:rsidRPr="008D3BA2">
        <w:rPr>
          <w:lang w:val="ru-RU"/>
        </w:rPr>
        <w:t>223</w:t>
      </w:r>
      <w:r w:rsidR="006C5725" w:rsidRPr="008D3BA2">
        <w:rPr>
          <w:lang w:val="ru-RU"/>
        </w:rPr>
        <w:t> </w:t>
      </w:r>
      <w:r w:rsidRPr="008D3BA2">
        <w:rPr>
          <w:lang w:val="ru-RU"/>
        </w:rPr>
        <w:t>000</w:t>
      </w:r>
      <w:r w:rsidR="006C5725" w:rsidRPr="008D3BA2">
        <w:rPr>
          <w:lang w:val="ru-RU"/>
        </w:rPr>
        <w:t> швейцарских франков</w:t>
      </w:r>
      <w:r w:rsidRPr="008D3BA2">
        <w:rPr>
          <w:lang w:val="ru-RU"/>
        </w:rPr>
        <w:t>.</w:t>
      </w:r>
    </w:p>
    <w:p w:rsidR="003E7AF6" w:rsidRPr="008D3BA2" w:rsidRDefault="00AD0081" w:rsidP="009E6719">
      <w:pPr>
        <w:rPr>
          <w:lang w:val="ru-RU"/>
        </w:rPr>
      </w:pPr>
      <w:r w:rsidRPr="008D3BA2">
        <w:rPr>
          <w:lang w:val="ru-RU"/>
        </w:rPr>
        <w:t>2.9.2</w:t>
      </w:r>
      <w:r w:rsidRPr="008D3BA2">
        <w:rPr>
          <w:lang w:val="ru-RU"/>
        </w:rPr>
        <w:tab/>
      </w:r>
      <w:r w:rsidR="003E7AF6" w:rsidRPr="008D3BA2">
        <w:rPr>
          <w:lang w:val="ru-RU"/>
        </w:rPr>
        <w:t xml:space="preserve">Продолжались усилия по укреплению механизма реализации для региона, включая координацию действий с различными соответствующими организациями региона, такими как СЕПТ, </w:t>
      </w:r>
      <w:proofErr w:type="spellStart"/>
      <w:r w:rsidR="003E7AF6" w:rsidRPr="008D3BA2">
        <w:rPr>
          <w:lang w:val="ru-RU"/>
        </w:rPr>
        <w:t>EC</w:t>
      </w:r>
      <w:proofErr w:type="spellEnd"/>
      <w:r w:rsidR="003E7AF6" w:rsidRPr="008D3BA2">
        <w:rPr>
          <w:lang w:val="ru-RU"/>
        </w:rPr>
        <w:t xml:space="preserve">, </w:t>
      </w:r>
      <w:proofErr w:type="spellStart"/>
      <w:r w:rsidR="003E7AF6" w:rsidRPr="008D3BA2">
        <w:rPr>
          <w:lang w:val="ru-RU"/>
        </w:rPr>
        <w:t>ЕК</w:t>
      </w:r>
      <w:proofErr w:type="spellEnd"/>
      <w:r w:rsidR="003E7AF6" w:rsidRPr="008D3BA2">
        <w:rPr>
          <w:lang w:val="ru-RU"/>
        </w:rPr>
        <w:t xml:space="preserve">, </w:t>
      </w:r>
      <w:proofErr w:type="spellStart"/>
      <w:r w:rsidR="003E7AF6" w:rsidRPr="008D3BA2">
        <w:rPr>
          <w:lang w:val="ru-RU"/>
        </w:rPr>
        <w:t>ECO</w:t>
      </w:r>
      <w:proofErr w:type="spellEnd"/>
      <w:r w:rsidR="003E7AF6" w:rsidRPr="008D3BA2">
        <w:rPr>
          <w:lang w:val="ru-RU"/>
        </w:rPr>
        <w:t xml:space="preserve">, </w:t>
      </w:r>
      <w:proofErr w:type="spellStart"/>
      <w:r w:rsidR="003E7AF6" w:rsidRPr="008D3BA2">
        <w:rPr>
          <w:lang w:val="ru-RU"/>
        </w:rPr>
        <w:t>ENISA</w:t>
      </w:r>
      <w:proofErr w:type="spellEnd"/>
      <w:r w:rsidR="003E7AF6" w:rsidRPr="008D3BA2">
        <w:rPr>
          <w:lang w:val="ru-RU"/>
        </w:rPr>
        <w:t xml:space="preserve">, </w:t>
      </w:r>
      <w:r w:rsidR="009D3438" w:rsidRPr="008D3BA2">
        <w:rPr>
          <w:lang w:val="ru-RU"/>
        </w:rPr>
        <w:t xml:space="preserve">Совет регионального </w:t>
      </w:r>
      <w:r w:rsidR="00517CF2" w:rsidRPr="008D3BA2">
        <w:rPr>
          <w:lang w:val="ru-RU"/>
        </w:rPr>
        <w:t>сотрудничества</w:t>
      </w:r>
      <w:r w:rsidR="003E7AF6" w:rsidRPr="008D3BA2">
        <w:rPr>
          <w:lang w:val="ru-RU"/>
        </w:rPr>
        <w:t xml:space="preserve">, </w:t>
      </w:r>
      <w:proofErr w:type="spellStart"/>
      <w:r w:rsidR="00517CF2" w:rsidRPr="008D3BA2">
        <w:rPr>
          <w:lang w:val="ru-RU"/>
        </w:rPr>
        <w:t>МЦСП</w:t>
      </w:r>
      <w:proofErr w:type="spellEnd"/>
      <w:r w:rsidR="00517CF2" w:rsidRPr="008D3BA2">
        <w:rPr>
          <w:lang w:val="ru-RU"/>
        </w:rPr>
        <w:t xml:space="preserve"> </w:t>
      </w:r>
      <w:r w:rsidR="003E7AF6" w:rsidRPr="008D3BA2">
        <w:rPr>
          <w:lang w:val="ru-RU"/>
        </w:rPr>
        <w:t>и ООН, включая ЕЭК ООН, Р</w:t>
      </w:r>
      <w:r w:rsidR="00651374" w:rsidRPr="008D3BA2">
        <w:rPr>
          <w:lang w:val="ru-RU"/>
        </w:rPr>
        <w:t>-</w:t>
      </w:r>
      <w:proofErr w:type="spellStart"/>
      <w:r w:rsidR="003E7AF6" w:rsidRPr="008D3BA2">
        <w:rPr>
          <w:lang w:val="ru-RU"/>
        </w:rPr>
        <w:t>ГООНВР</w:t>
      </w:r>
      <w:proofErr w:type="spellEnd"/>
      <w:r w:rsidR="003E7AF6" w:rsidRPr="008D3BA2">
        <w:rPr>
          <w:lang w:val="ru-RU"/>
        </w:rPr>
        <w:t xml:space="preserve">, </w:t>
      </w:r>
      <w:proofErr w:type="spellStart"/>
      <w:r w:rsidR="003E7AF6" w:rsidRPr="008D3BA2">
        <w:rPr>
          <w:lang w:val="ru-RU"/>
        </w:rPr>
        <w:t>ЮНИДО</w:t>
      </w:r>
      <w:proofErr w:type="spellEnd"/>
      <w:r w:rsidR="003E7AF6" w:rsidRPr="008D3BA2">
        <w:rPr>
          <w:lang w:val="ru-RU"/>
        </w:rPr>
        <w:t>, ЮНКТАД</w:t>
      </w:r>
      <w:r w:rsidR="00517CF2" w:rsidRPr="008D3BA2">
        <w:rPr>
          <w:lang w:val="ru-RU"/>
        </w:rPr>
        <w:t>, ВОЗ</w:t>
      </w:r>
      <w:r w:rsidR="003E7AF6" w:rsidRPr="008D3BA2">
        <w:rPr>
          <w:lang w:val="ru-RU"/>
        </w:rPr>
        <w:t xml:space="preserve"> и </w:t>
      </w:r>
      <w:proofErr w:type="spellStart"/>
      <w:r w:rsidR="003E7AF6" w:rsidRPr="008D3BA2">
        <w:rPr>
          <w:lang w:val="ru-RU"/>
        </w:rPr>
        <w:t>ФАО</w:t>
      </w:r>
      <w:proofErr w:type="spellEnd"/>
      <w:r w:rsidR="00923F8D" w:rsidRPr="008D3BA2">
        <w:rPr>
          <w:lang w:val="ru-RU"/>
        </w:rPr>
        <w:t>, а также некоторые страновые группы ООН</w:t>
      </w:r>
      <w:r w:rsidR="003E7AF6" w:rsidRPr="008D3BA2">
        <w:rPr>
          <w:lang w:val="ru-RU"/>
        </w:rPr>
        <w:t xml:space="preserve">. На протяжении года </w:t>
      </w:r>
      <w:r w:rsidR="00923F8D" w:rsidRPr="008D3BA2">
        <w:rPr>
          <w:lang w:val="ru-RU"/>
        </w:rPr>
        <w:t xml:space="preserve">было проведено свыше </w:t>
      </w:r>
      <w:r w:rsidR="003E7AF6" w:rsidRPr="008D3BA2">
        <w:rPr>
          <w:lang w:val="ru-RU"/>
        </w:rPr>
        <w:t>21 семинара-практикума, семинара, собрания групп экспертов по радиовещанию, широкополосной связи, доступности, кибербезопасности, инновациям</w:t>
      </w:r>
      <w:r w:rsidR="00923F8D" w:rsidRPr="008D3BA2">
        <w:rPr>
          <w:lang w:val="ru-RU"/>
        </w:rPr>
        <w:t>, использованию ИКТ в энергетике</w:t>
      </w:r>
      <w:r w:rsidR="009E6719" w:rsidRPr="008D3BA2">
        <w:rPr>
          <w:lang w:val="ru-RU"/>
        </w:rPr>
        <w:t>, уровням</w:t>
      </w:r>
      <w:r w:rsidR="00923F8D" w:rsidRPr="008D3BA2">
        <w:rPr>
          <w:lang w:val="ru-RU"/>
        </w:rPr>
        <w:t xml:space="preserve"> электромагнитны</w:t>
      </w:r>
      <w:r w:rsidR="009E6719" w:rsidRPr="008D3BA2">
        <w:rPr>
          <w:lang w:val="ru-RU"/>
        </w:rPr>
        <w:t>х</w:t>
      </w:r>
      <w:r w:rsidR="00923F8D" w:rsidRPr="008D3BA2">
        <w:rPr>
          <w:lang w:val="ru-RU"/>
        </w:rPr>
        <w:t xml:space="preserve"> поле</w:t>
      </w:r>
      <w:r w:rsidR="009E6719" w:rsidRPr="008D3BA2">
        <w:rPr>
          <w:lang w:val="ru-RU"/>
        </w:rPr>
        <w:t>й</w:t>
      </w:r>
      <w:r w:rsidR="00923F8D" w:rsidRPr="008D3BA2">
        <w:rPr>
          <w:lang w:val="ru-RU"/>
        </w:rPr>
        <w:t xml:space="preserve"> в контексте развертывания сет</w:t>
      </w:r>
      <w:r w:rsidR="009E6719" w:rsidRPr="008D3BA2">
        <w:rPr>
          <w:lang w:val="ru-RU"/>
        </w:rPr>
        <w:t>ей</w:t>
      </w:r>
      <w:r w:rsidR="00923F8D" w:rsidRPr="008D3BA2">
        <w:rPr>
          <w:lang w:val="ru-RU"/>
        </w:rPr>
        <w:t xml:space="preserve"> 5G и </w:t>
      </w:r>
      <w:r w:rsidR="003E7AF6" w:rsidRPr="008D3BA2">
        <w:rPr>
          <w:lang w:val="ru-RU"/>
        </w:rPr>
        <w:t xml:space="preserve">созданию человеческого потенциала; всего в них приняли участие свыше 2100 </w:t>
      </w:r>
      <w:r w:rsidR="00923F8D" w:rsidRPr="008D3BA2">
        <w:rPr>
          <w:lang w:val="ru-RU"/>
        </w:rPr>
        <w:t xml:space="preserve">человек </w:t>
      </w:r>
      <w:r w:rsidR="003E7AF6" w:rsidRPr="008D3BA2">
        <w:rPr>
          <w:lang w:val="ru-RU"/>
        </w:rPr>
        <w:t xml:space="preserve">из более чем 35 стран. Кроме того, </w:t>
      </w:r>
      <w:r w:rsidR="00923F8D" w:rsidRPr="008D3BA2">
        <w:rPr>
          <w:lang w:val="ru-RU"/>
        </w:rPr>
        <w:t xml:space="preserve">с помощью </w:t>
      </w:r>
      <w:r w:rsidR="003E7AF6" w:rsidRPr="008D3BA2">
        <w:rPr>
          <w:lang w:val="ru-RU"/>
        </w:rPr>
        <w:t xml:space="preserve">Европейской сети центров профессионального мастерства (ЦПМ), которые </w:t>
      </w:r>
      <w:r w:rsidR="00347ACA" w:rsidRPr="008D3BA2">
        <w:rPr>
          <w:lang w:val="ru-RU"/>
        </w:rPr>
        <w:t xml:space="preserve">провели </w:t>
      </w:r>
      <w:r w:rsidR="003E7AF6" w:rsidRPr="008D3BA2">
        <w:rPr>
          <w:lang w:val="ru-RU"/>
        </w:rPr>
        <w:t xml:space="preserve">25 </w:t>
      </w:r>
      <w:r w:rsidR="009D3438" w:rsidRPr="008D3BA2">
        <w:rPr>
          <w:lang w:val="ru-RU"/>
        </w:rPr>
        <w:t xml:space="preserve">учебных </w:t>
      </w:r>
      <w:r w:rsidR="00923F8D" w:rsidRPr="008D3BA2">
        <w:rPr>
          <w:lang w:val="ru-RU"/>
        </w:rPr>
        <w:t>курсов</w:t>
      </w:r>
      <w:r w:rsidR="003E7AF6" w:rsidRPr="008D3BA2">
        <w:rPr>
          <w:lang w:val="ru-RU"/>
        </w:rPr>
        <w:t xml:space="preserve">, </w:t>
      </w:r>
      <w:r w:rsidR="00923F8D" w:rsidRPr="008D3BA2">
        <w:rPr>
          <w:lang w:val="ru-RU"/>
        </w:rPr>
        <w:t xml:space="preserve">подготовку в целях создания </w:t>
      </w:r>
      <w:r w:rsidR="003E7AF6" w:rsidRPr="008D3BA2">
        <w:rPr>
          <w:lang w:val="ru-RU"/>
        </w:rPr>
        <w:t>человеческ</w:t>
      </w:r>
      <w:r w:rsidR="00923F8D" w:rsidRPr="008D3BA2">
        <w:rPr>
          <w:lang w:val="ru-RU"/>
        </w:rPr>
        <w:t>ого</w:t>
      </w:r>
      <w:r w:rsidR="003E7AF6" w:rsidRPr="008D3BA2">
        <w:rPr>
          <w:lang w:val="ru-RU"/>
        </w:rPr>
        <w:t xml:space="preserve"> потенциал</w:t>
      </w:r>
      <w:r w:rsidR="00923F8D" w:rsidRPr="008D3BA2">
        <w:rPr>
          <w:lang w:val="ru-RU"/>
        </w:rPr>
        <w:t>а прошли</w:t>
      </w:r>
      <w:r w:rsidR="003E7AF6" w:rsidRPr="008D3BA2">
        <w:rPr>
          <w:lang w:val="ru-RU"/>
        </w:rPr>
        <w:t xml:space="preserve"> </w:t>
      </w:r>
      <w:r w:rsidR="00923F8D" w:rsidRPr="008D3BA2">
        <w:rPr>
          <w:lang w:val="ru-RU"/>
        </w:rPr>
        <w:t xml:space="preserve">свыше </w:t>
      </w:r>
      <w:r w:rsidR="003E7AF6" w:rsidRPr="008D3BA2">
        <w:rPr>
          <w:lang w:val="ru-RU"/>
        </w:rPr>
        <w:t>400 специалистов.</w:t>
      </w:r>
    </w:p>
    <w:p w:rsidR="00AD0081" w:rsidRPr="008D3BA2" w:rsidRDefault="00AD0081" w:rsidP="00A20778">
      <w:pPr>
        <w:rPr>
          <w:lang w:val="ru-RU"/>
        </w:rPr>
      </w:pPr>
      <w:r w:rsidRPr="008D3BA2">
        <w:rPr>
          <w:lang w:val="ru-RU"/>
        </w:rPr>
        <w:t>2.9.3</w:t>
      </w:r>
      <w:r w:rsidRPr="008D3BA2">
        <w:rPr>
          <w:lang w:val="ru-RU"/>
        </w:rPr>
        <w:tab/>
      </w:r>
      <w:r w:rsidR="00923F8D" w:rsidRPr="008D3BA2">
        <w:rPr>
          <w:color w:val="000000"/>
          <w:lang w:val="ru-RU"/>
        </w:rPr>
        <w:t xml:space="preserve">Албании, Боснии и Герцеговине, Черногории, Кипру, Польше, </w:t>
      </w:r>
      <w:proofErr w:type="spellStart"/>
      <w:r w:rsidR="00923F8D" w:rsidRPr="008D3BA2">
        <w:rPr>
          <w:color w:val="000000"/>
          <w:lang w:val="ru-RU"/>
        </w:rPr>
        <w:t>БЮР</w:t>
      </w:r>
      <w:proofErr w:type="spellEnd"/>
      <w:r w:rsidR="00923F8D" w:rsidRPr="008D3BA2">
        <w:rPr>
          <w:color w:val="000000"/>
          <w:lang w:val="ru-RU"/>
        </w:rPr>
        <w:t xml:space="preserve"> Македония и Сербии оказывалась помощь в таких областях, как инновации, радиовещание, широкополосная связь, кибербезопасность, приложения </w:t>
      </w:r>
      <w:r w:rsidR="00A20778" w:rsidRPr="008D3BA2">
        <w:rPr>
          <w:color w:val="000000"/>
          <w:lang w:val="ru-RU"/>
        </w:rPr>
        <w:t xml:space="preserve">на базе </w:t>
      </w:r>
      <w:r w:rsidR="00923F8D" w:rsidRPr="008D3BA2">
        <w:rPr>
          <w:color w:val="000000"/>
          <w:lang w:val="ru-RU"/>
        </w:rPr>
        <w:t>ИКТ и разработка профилей цифровых инноваций. Было подготовлено более десяти публикаций и отчетов. В сотрудничестве с группами координатора-резидента ООН в двух странах был апробирован новый подход к эффективной организации на национальном уровне профессиональной подготовки для руководителей по вопросам доступности, который в дальнейшем будет распространен на весь Европейский регион</w:t>
      </w:r>
      <w:r w:rsidR="00947CDF" w:rsidRPr="008D3BA2">
        <w:rPr>
          <w:color w:val="000000"/>
          <w:lang w:val="ru-RU"/>
        </w:rPr>
        <w:t xml:space="preserve">. Было укреплено сотрудничество с Европейской комиссией и </w:t>
      </w:r>
      <w:r w:rsidR="00A20778" w:rsidRPr="008D3BA2">
        <w:rPr>
          <w:color w:val="000000"/>
          <w:lang w:val="ru-RU"/>
        </w:rPr>
        <w:t xml:space="preserve">Советом регионального </w:t>
      </w:r>
      <w:r w:rsidR="00947CDF" w:rsidRPr="008D3BA2">
        <w:rPr>
          <w:color w:val="000000"/>
          <w:lang w:val="ru-RU"/>
        </w:rPr>
        <w:t>сотрудничества в целях расширения цифровой интеграции Западных Балкан</w:t>
      </w:r>
      <w:r w:rsidR="00923F8D" w:rsidRPr="008D3BA2">
        <w:rPr>
          <w:color w:val="000000"/>
          <w:lang w:val="ru-RU"/>
        </w:rPr>
        <w:t>.</w:t>
      </w:r>
    </w:p>
    <w:p w:rsidR="00AD0081" w:rsidRPr="008D3BA2" w:rsidRDefault="00AD0081" w:rsidP="00A76377">
      <w:pPr>
        <w:rPr>
          <w:lang w:val="ru-RU"/>
        </w:rPr>
      </w:pPr>
      <w:r w:rsidRPr="008D3BA2">
        <w:rPr>
          <w:lang w:val="ru-RU"/>
        </w:rPr>
        <w:lastRenderedPageBreak/>
        <w:t>2.10</w:t>
      </w:r>
      <w:r w:rsidRPr="008D3BA2">
        <w:rPr>
          <w:lang w:val="ru-RU"/>
        </w:rPr>
        <w:tab/>
      </w:r>
      <w:r w:rsidR="00947CDF" w:rsidRPr="008D3BA2">
        <w:rPr>
          <w:lang w:val="ru-RU"/>
        </w:rPr>
        <w:t>На с</w:t>
      </w:r>
      <w:r w:rsidR="003E7AF6" w:rsidRPr="008D3BA2">
        <w:rPr>
          <w:lang w:val="ru-RU"/>
        </w:rPr>
        <w:t>едьм</w:t>
      </w:r>
      <w:r w:rsidR="00947CDF" w:rsidRPr="008D3BA2">
        <w:rPr>
          <w:lang w:val="ru-RU"/>
        </w:rPr>
        <w:t>ой</w:t>
      </w:r>
      <w:r w:rsidR="00A76377" w:rsidRPr="008D3BA2">
        <w:rPr>
          <w:lang w:val="ru-RU"/>
        </w:rPr>
        <w:t xml:space="preserve"> Всемирной</w:t>
      </w:r>
      <w:r w:rsidR="003E7AF6" w:rsidRPr="008D3BA2">
        <w:rPr>
          <w:lang w:val="ru-RU"/>
        </w:rPr>
        <w:t xml:space="preserve"> конференци</w:t>
      </w:r>
      <w:r w:rsidR="00A76377" w:rsidRPr="008D3BA2">
        <w:rPr>
          <w:lang w:val="ru-RU"/>
        </w:rPr>
        <w:t>и</w:t>
      </w:r>
      <w:r w:rsidR="003E7AF6" w:rsidRPr="008D3BA2">
        <w:rPr>
          <w:lang w:val="ru-RU"/>
        </w:rPr>
        <w:t xml:space="preserve"> по развитию электросвязи</w:t>
      </w:r>
      <w:r w:rsidR="00947CDF" w:rsidRPr="008D3BA2">
        <w:rPr>
          <w:lang w:val="ru-RU"/>
        </w:rPr>
        <w:t xml:space="preserve"> МСЭ в 2017 году</w:t>
      </w:r>
      <w:r w:rsidR="003E7AF6" w:rsidRPr="008D3BA2">
        <w:rPr>
          <w:lang w:val="ru-RU"/>
        </w:rPr>
        <w:t xml:space="preserve"> (ВКРЭ-17), которая состоялась в Буэнос-Айресе, Ар</w:t>
      </w:r>
      <w:r w:rsidR="00651374" w:rsidRPr="008D3BA2">
        <w:rPr>
          <w:lang w:val="ru-RU"/>
        </w:rPr>
        <w:t>гентина, с 9 по 20 октября 2017 </w:t>
      </w:r>
      <w:r w:rsidR="003E7AF6" w:rsidRPr="008D3BA2">
        <w:rPr>
          <w:lang w:val="ru-RU"/>
        </w:rPr>
        <w:t>года и была посвящена теме "Использование ИКТ в интересах достижения Целей в области устойчивого развития" (ICT④SDGs)</w:t>
      </w:r>
      <w:r w:rsidRPr="008D3BA2">
        <w:rPr>
          <w:lang w:val="ru-RU"/>
        </w:rPr>
        <w:t xml:space="preserve">, </w:t>
      </w:r>
      <w:r w:rsidR="00947CDF" w:rsidRPr="008D3BA2">
        <w:rPr>
          <w:lang w:val="ru-RU"/>
        </w:rPr>
        <w:t xml:space="preserve">были приняты </w:t>
      </w:r>
      <w:r w:rsidR="00904CB5" w:rsidRPr="008D3BA2">
        <w:rPr>
          <w:lang w:val="ru-RU"/>
        </w:rPr>
        <w:t>Деклараци</w:t>
      </w:r>
      <w:r w:rsidR="00947CDF" w:rsidRPr="008D3BA2">
        <w:rPr>
          <w:lang w:val="ru-RU"/>
        </w:rPr>
        <w:t>я</w:t>
      </w:r>
      <w:r w:rsidR="00904CB5" w:rsidRPr="008D3BA2">
        <w:rPr>
          <w:lang w:val="ru-RU"/>
        </w:rPr>
        <w:t xml:space="preserve"> Буэнос-Айреса</w:t>
      </w:r>
      <w:r w:rsidRPr="008D3BA2">
        <w:rPr>
          <w:lang w:val="ru-RU"/>
        </w:rPr>
        <w:t xml:space="preserve">, </w:t>
      </w:r>
      <w:r w:rsidR="00A31A48" w:rsidRPr="008D3BA2">
        <w:rPr>
          <w:lang w:val="ru-RU"/>
        </w:rPr>
        <w:t>вклад</w:t>
      </w:r>
      <w:r w:rsidRPr="008D3BA2">
        <w:rPr>
          <w:lang w:val="ru-RU"/>
        </w:rPr>
        <w:t xml:space="preserve"> </w:t>
      </w:r>
      <w:r w:rsidR="00904CB5" w:rsidRPr="008D3BA2">
        <w:rPr>
          <w:lang w:val="ru-RU"/>
        </w:rPr>
        <w:t>МСЭ</w:t>
      </w:r>
      <w:r w:rsidR="00904CB5" w:rsidRPr="008D3BA2">
        <w:rPr>
          <w:lang w:val="ru-RU"/>
        </w:rPr>
        <w:noBreakHyphen/>
      </w:r>
      <w:r w:rsidRPr="008D3BA2">
        <w:rPr>
          <w:lang w:val="ru-RU"/>
        </w:rPr>
        <w:t xml:space="preserve">D </w:t>
      </w:r>
      <w:r w:rsidR="00904CB5" w:rsidRPr="008D3BA2">
        <w:rPr>
          <w:lang w:val="ru-RU"/>
        </w:rPr>
        <w:t>в Стратегический план</w:t>
      </w:r>
      <w:r w:rsidRPr="008D3BA2">
        <w:rPr>
          <w:lang w:val="ru-RU"/>
        </w:rPr>
        <w:t xml:space="preserve"> </w:t>
      </w:r>
      <w:r w:rsidR="00904CB5" w:rsidRPr="008D3BA2">
        <w:rPr>
          <w:lang w:val="ru-RU"/>
        </w:rPr>
        <w:t>МСЭ и План действий Буэнос-Айреса</w:t>
      </w:r>
      <w:r w:rsidRPr="008D3BA2">
        <w:rPr>
          <w:lang w:val="ru-RU"/>
        </w:rPr>
        <w:t xml:space="preserve"> (</w:t>
      </w:r>
      <w:r w:rsidR="00904CB5" w:rsidRPr="008D3BA2">
        <w:rPr>
          <w:lang w:val="ru-RU"/>
        </w:rPr>
        <w:t>ПДБА</w:t>
      </w:r>
      <w:r w:rsidRPr="008D3BA2">
        <w:rPr>
          <w:lang w:val="ru-RU"/>
        </w:rPr>
        <w:t xml:space="preserve">), </w:t>
      </w:r>
      <w:r w:rsidR="00947CDF" w:rsidRPr="008D3BA2">
        <w:rPr>
          <w:lang w:val="ru-RU"/>
        </w:rPr>
        <w:t>включающий по пять региональных инициатив для каждого из шести регионов</w:t>
      </w:r>
      <w:r w:rsidRPr="008D3BA2">
        <w:rPr>
          <w:lang w:val="ru-RU"/>
        </w:rPr>
        <w:t xml:space="preserve">. </w:t>
      </w:r>
    </w:p>
    <w:p w:rsidR="00AD0081" w:rsidRPr="008D3BA2" w:rsidRDefault="00AD0081" w:rsidP="00651374">
      <w:pPr>
        <w:pStyle w:val="Heading1"/>
        <w:rPr>
          <w:lang w:val="ru-RU"/>
        </w:rPr>
      </w:pPr>
      <w:r w:rsidRPr="008D3BA2">
        <w:rPr>
          <w:lang w:val="ru-RU"/>
        </w:rPr>
        <w:t>3</w:t>
      </w:r>
      <w:r w:rsidRPr="008D3BA2">
        <w:rPr>
          <w:lang w:val="ru-RU"/>
        </w:rPr>
        <w:tab/>
      </w:r>
      <w:r w:rsidR="00651374" w:rsidRPr="008D3BA2">
        <w:rPr>
          <w:lang w:val="ru-RU"/>
        </w:rPr>
        <w:t>Вклад в работу других Секторов и Генерального секретариата</w:t>
      </w:r>
    </w:p>
    <w:p w:rsidR="00AD0081" w:rsidRPr="008D3BA2" w:rsidRDefault="00AD0081" w:rsidP="00651374">
      <w:pPr>
        <w:rPr>
          <w:lang w:val="ru-RU"/>
        </w:rPr>
      </w:pPr>
      <w:r w:rsidRPr="008D3BA2">
        <w:rPr>
          <w:lang w:val="ru-RU"/>
        </w:rPr>
        <w:t>3.1</w:t>
      </w:r>
      <w:r w:rsidRPr="008D3BA2">
        <w:rPr>
          <w:lang w:val="ru-RU"/>
        </w:rPr>
        <w:tab/>
      </w:r>
      <w:r w:rsidR="00651374" w:rsidRPr="008D3BA2">
        <w:rPr>
          <w:lang w:val="ru-RU"/>
        </w:rPr>
        <w:t>Региональные и зональные отделения внесли следующий вклад в реализацию Стратегических и Оперативных планов МСЭ-R, МСЭ-T и Генерального секретариата.</w:t>
      </w:r>
    </w:p>
    <w:p w:rsidR="00AD0081" w:rsidRPr="008D3BA2" w:rsidRDefault="00AD0081" w:rsidP="0098470A">
      <w:pPr>
        <w:pStyle w:val="Heading2"/>
        <w:rPr>
          <w:lang w:val="ru-RU"/>
        </w:rPr>
      </w:pPr>
      <w:r w:rsidRPr="008D3BA2">
        <w:rPr>
          <w:lang w:val="ru-RU"/>
        </w:rPr>
        <w:t>3.2</w:t>
      </w:r>
      <w:r w:rsidRPr="008D3BA2">
        <w:rPr>
          <w:lang w:val="ru-RU"/>
        </w:rPr>
        <w:tab/>
      </w:r>
      <w:r w:rsidR="0098470A" w:rsidRPr="008D3BA2">
        <w:rPr>
          <w:lang w:val="ru-RU"/>
        </w:rPr>
        <w:t>МСЭ</w:t>
      </w:r>
      <w:r w:rsidRPr="008D3BA2">
        <w:rPr>
          <w:lang w:val="ru-RU"/>
        </w:rPr>
        <w:t>-R</w:t>
      </w:r>
    </w:p>
    <w:p w:rsidR="00AD0081" w:rsidRPr="008D3BA2" w:rsidRDefault="00AD0081" w:rsidP="00651374">
      <w:pPr>
        <w:rPr>
          <w:bCs/>
          <w:lang w:val="ru-RU"/>
        </w:rPr>
      </w:pPr>
      <w:r w:rsidRPr="008D3BA2">
        <w:rPr>
          <w:lang w:val="ru-RU"/>
        </w:rPr>
        <w:t>3</w:t>
      </w:r>
      <w:r w:rsidRPr="008D3BA2">
        <w:rPr>
          <w:bCs/>
          <w:lang w:val="ru-RU"/>
        </w:rPr>
        <w:t>.2.1</w:t>
      </w:r>
      <w:r w:rsidRPr="008D3BA2">
        <w:rPr>
          <w:bCs/>
          <w:lang w:val="ru-RU"/>
        </w:rPr>
        <w:tab/>
      </w:r>
      <w:r w:rsidR="00651374" w:rsidRPr="008D3BA2">
        <w:rPr>
          <w:bCs/>
          <w:lang w:val="ru-RU"/>
        </w:rPr>
        <w:t>Для предоставления информации и оказания помощи членам МСЭ, в частности развивающимся странам, по вопросам, касающимся радиосвязи, БРЭ и БР продолжали проводить связанные со спектром семинары-практикумы, семинары, собрания и мероприятия по созданию потенциала при поддержке со стороны региональных отделений и в сотрудничестве с соответствующими международными организациями и национальными органами. С этой целью в 2017 году были организованы следующие мероприятия:</w:t>
      </w:r>
    </w:p>
    <w:p w:rsidR="00AD0081" w:rsidRPr="008D3BA2" w:rsidRDefault="0098470A" w:rsidP="00E55303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</w:r>
      <w:r w:rsidR="001B2AA8" w:rsidRPr="008D3BA2">
        <w:rPr>
          <w:lang w:val="ru-RU"/>
        </w:rPr>
        <w:t>четыре</w:t>
      </w:r>
      <w:r w:rsidR="00AD0081" w:rsidRPr="008D3BA2">
        <w:rPr>
          <w:lang w:val="ru-RU"/>
        </w:rPr>
        <w:t xml:space="preserve"> </w:t>
      </w:r>
      <w:r w:rsidR="001B2AA8" w:rsidRPr="008D3BA2">
        <w:rPr>
          <w:lang w:val="ru-RU"/>
        </w:rPr>
        <w:t>региональных семинара по радиосвязи (</w:t>
      </w:r>
      <w:proofErr w:type="spellStart"/>
      <w:r w:rsidR="001B2AA8" w:rsidRPr="008D3BA2">
        <w:rPr>
          <w:lang w:val="ru-RU"/>
        </w:rPr>
        <w:t>РСР</w:t>
      </w:r>
      <w:proofErr w:type="spellEnd"/>
      <w:r w:rsidR="001B2AA8" w:rsidRPr="008D3BA2">
        <w:rPr>
          <w:lang w:val="ru-RU"/>
        </w:rPr>
        <w:t>)</w:t>
      </w:r>
      <w:r w:rsidR="00AD0081" w:rsidRPr="008D3BA2">
        <w:rPr>
          <w:lang w:val="ru-RU"/>
        </w:rPr>
        <w:t xml:space="preserve"> </w:t>
      </w:r>
      <w:r w:rsidR="00E55303" w:rsidRPr="008D3BA2">
        <w:rPr>
          <w:lang w:val="ru-RU"/>
        </w:rPr>
        <w:t xml:space="preserve">в Найроби </w:t>
      </w:r>
      <w:r w:rsidR="00AD0081" w:rsidRPr="008D3BA2">
        <w:rPr>
          <w:lang w:val="ru-RU"/>
        </w:rPr>
        <w:t>(</w:t>
      </w:r>
      <w:r w:rsidR="00E55303" w:rsidRPr="008D3BA2">
        <w:rPr>
          <w:lang w:val="ru-RU"/>
        </w:rPr>
        <w:t>Кения</w:t>
      </w:r>
      <w:r w:rsidR="00AD0081" w:rsidRPr="008D3BA2">
        <w:rPr>
          <w:lang w:val="ru-RU"/>
        </w:rPr>
        <w:t xml:space="preserve">), </w:t>
      </w:r>
      <w:r w:rsidR="00E55303" w:rsidRPr="008D3BA2">
        <w:rPr>
          <w:lang w:val="ru-RU"/>
        </w:rPr>
        <w:t xml:space="preserve">Лиме </w:t>
      </w:r>
      <w:r w:rsidR="00AD0081" w:rsidRPr="008D3BA2">
        <w:rPr>
          <w:lang w:val="ru-RU"/>
        </w:rPr>
        <w:t>(</w:t>
      </w:r>
      <w:r w:rsidR="00E55303" w:rsidRPr="008D3BA2">
        <w:rPr>
          <w:lang w:val="ru-RU"/>
        </w:rPr>
        <w:t>Перу</w:t>
      </w:r>
      <w:r w:rsidR="00AD0081" w:rsidRPr="008D3BA2">
        <w:rPr>
          <w:lang w:val="ru-RU"/>
        </w:rPr>
        <w:t xml:space="preserve">), </w:t>
      </w:r>
      <w:r w:rsidR="00E55303" w:rsidRPr="008D3BA2">
        <w:rPr>
          <w:lang w:val="ru-RU"/>
        </w:rPr>
        <w:t xml:space="preserve">Пномпене </w:t>
      </w:r>
      <w:r w:rsidR="00AD0081" w:rsidRPr="008D3BA2">
        <w:rPr>
          <w:lang w:val="ru-RU"/>
        </w:rPr>
        <w:t>(</w:t>
      </w:r>
      <w:r w:rsidR="00E55303" w:rsidRPr="008D3BA2">
        <w:rPr>
          <w:lang w:val="ru-RU"/>
        </w:rPr>
        <w:t>Камбоджа</w:t>
      </w:r>
      <w:r w:rsidR="00AD0081" w:rsidRPr="008D3BA2">
        <w:rPr>
          <w:lang w:val="ru-RU"/>
        </w:rPr>
        <w:t xml:space="preserve">) </w:t>
      </w:r>
      <w:r w:rsidR="00E55303" w:rsidRPr="008D3BA2">
        <w:rPr>
          <w:lang w:val="ru-RU"/>
        </w:rPr>
        <w:t xml:space="preserve">и Маскате </w:t>
      </w:r>
      <w:r w:rsidR="00AD0081" w:rsidRPr="008D3BA2">
        <w:rPr>
          <w:lang w:val="ru-RU"/>
        </w:rPr>
        <w:t>(</w:t>
      </w:r>
      <w:r w:rsidR="00E55303" w:rsidRPr="008D3BA2">
        <w:rPr>
          <w:lang w:val="ru-RU"/>
        </w:rPr>
        <w:t>Оман</w:t>
      </w:r>
      <w:r w:rsidR="00AD0081" w:rsidRPr="008D3BA2">
        <w:rPr>
          <w:lang w:val="ru-RU"/>
        </w:rPr>
        <w:t xml:space="preserve">); </w:t>
      </w:r>
      <w:r w:rsidR="00E55303" w:rsidRPr="008D3BA2">
        <w:rPr>
          <w:lang w:val="ru-RU"/>
        </w:rPr>
        <w:t>в этих четырех семинарах приняли участие свыше 450 человек из 80 стран этих регионов</w:t>
      </w:r>
      <w:r w:rsidR="0009749D">
        <w:rPr>
          <w:lang w:val="ru-RU"/>
        </w:rPr>
        <w:t>;</w:t>
      </w:r>
    </w:p>
    <w:p w:rsidR="00AD0081" w:rsidRPr="008D3BA2" w:rsidRDefault="0098470A" w:rsidP="00597E9D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</w:r>
      <w:r w:rsidR="00A76377" w:rsidRPr="008D3BA2">
        <w:rPr>
          <w:lang w:val="ru-RU"/>
        </w:rPr>
        <w:t>д</w:t>
      </w:r>
      <w:r w:rsidR="00E55303" w:rsidRPr="008D3BA2">
        <w:rPr>
          <w:lang w:val="ru-RU"/>
        </w:rPr>
        <w:t xml:space="preserve">ва региональных собрания МСЭ по координации частот, посвященных использованию диапазонов </w:t>
      </w:r>
      <w:proofErr w:type="spellStart"/>
      <w:r w:rsidR="00E55303" w:rsidRPr="008D3BA2">
        <w:rPr>
          <w:lang w:val="ru-RU"/>
        </w:rPr>
        <w:t>ОВЧ</w:t>
      </w:r>
      <w:proofErr w:type="spellEnd"/>
      <w:r w:rsidR="00E55303" w:rsidRPr="008D3BA2">
        <w:rPr>
          <w:lang w:val="ru-RU"/>
        </w:rPr>
        <w:t xml:space="preserve"> </w:t>
      </w:r>
      <w:r w:rsidRPr="008D3BA2">
        <w:rPr>
          <w:lang w:val="ru-RU"/>
        </w:rPr>
        <w:t>(174−</w:t>
      </w:r>
      <w:r w:rsidR="00AD0081" w:rsidRPr="008D3BA2">
        <w:rPr>
          <w:lang w:val="ru-RU"/>
        </w:rPr>
        <w:t xml:space="preserve">216 </w:t>
      </w:r>
      <w:r w:rsidRPr="008D3BA2">
        <w:rPr>
          <w:lang w:val="ru-RU"/>
        </w:rPr>
        <w:t>МГц</w:t>
      </w:r>
      <w:r w:rsidR="00AD0081" w:rsidRPr="008D3BA2">
        <w:rPr>
          <w:lang w:val="ru-RU"/>
        </w:rPr>
        <w:t>)</w:t>
      </w:r>
      <w:r w:rsidR="00E55303" w:rsidRPr="008D3BA2">
        <w:rPr>
          <w:lang w:val="ru-RU"/>
        </w:rPr>
        <w:t xml:space="preserve"> и</w:t>
      </w:r>
      <w:r w:rsidR="00AD0081" w:rsidRPr="008D3BA2">
        <w:rPr>
          <w:lang w:val="ru-RU"/>
        </w:rPr>
        <w:t xml:space="preserve"> </w:t>
      </w:r>
      <w:r w:rsidR="00E55303" w:rsidRPr="008D3BA2">
        <w:rPr>
          <w:lang w:val="ru-RU"/>
        </w:rPr>
        <w:t xml:space="preserve">УВЧ </w:t>
      </w:r>
      <w:r w:rsidR="00AD0081" w:rsidRPr="008D3BA2">
        <w:rPr>
          <w:lang w:val="ru-RU"/>
        </w:rPr>
        <w:t>(470</w:t>
      </w:r>
      <w:r w:rsidRPr="008D3BA2">
        <w:rPr>
          <w:lang w:val="ru-RU"/>
        </w:rPr>
        <w:t>−</w:t>
      </w:r>
      <w:r w:rsidR="00AD0081" w:rsidRPr="008D3BA2">
        <w:rPr>
          <w:lang w:val="ru-RU"/>
        </w:rPr>
        <w:t xml:space="preserve">806 </w:t>
      </w:r>
      <w:r w:rsidRPr="008D3BA2">
        <w:rPr>
          <w:lang w:val="ru-RU"/>
        </w:rPr>
        <w:t>МГц</w:t>
      </w:r>
      <w:r w:rsidR="00AD0081" w:rsidRPr="008D3BA2">
        <w:rPr>
          <w:lang w:val="ru-RU"/>
        </w:rPr>
        <w:t>)</w:t>
      </w:r>
      <w:r w:rsidR="00E55303" w:rsidRPr="008D3BA2">
        <w:rPr>
          <w:lang w:val="ru-RU"/>
        </w:rPr>
        <w:t>,</w:t>
      </w:r>
      <w:r w:rsidR="00AD0081" w:rsidRPr="008D3BA2">
        <w:rPr>
          <w:lang w:val="ru-RU"/>
        </w:rPr>
        <w:t xml:space="preserve"> </w:t>
      </w:r>
      <w:r w:rsidR="00E55303" w:rsidRPr="008D3BA2">
        <w:rPr>
          <w:lang w:val="ru-RU"/>
        </w:rPr>
        <w:t>в Манагуа</w:t>
      </w:r>
      <w:r w:rsidR="00A76377" w:rsidRPr="008D3BA2">
        <w:rPr>
          <w:lang w:val="ru-RU"/>
        </w:rPr>
        <w:t>, Никарагуа</w:t>
      </w:r>
      <w:r w:rsidR="0009749D">
        <w:rPr>
          <w:lang w:val="ru-RU"/>
        </w:rPr>
        <w:t>,</w:t>
      </w:r>
      <w:r w:rsidR="00E55303" w:rsidRPr="008D3BA2">
        <w:rPr>
          <w:lang w:val="ru-RU"/>
        </w:rPr>
        <w:t xml:space="preserve"> </w:t>
      </w:r>
      <w:r w:rsidRPr="008D3BA2">
        <w:rPr>
          <w:lang w:val="ru-RU"/>
        </w:rPr>
        <w:t>8−</w:t>
      </w:r>
      <w:r w:rsidR="00AD0081" w:rsidRPr="008D3BA2">
        <w:rPr>
          <w:lang w:val="ru-RU"/>
        </w:rPr>
        <w:t xml:space="preserve">10 </w:t>
      </w:r>
      <w:r w:rsidRPr="008D3BA2">
        <w:rPr>
          <w:lang w:val="ru-RU"/>
        </w:rPr>
        <w:t>марта</w:t>
      </w:r>
      <w:r w:rsidR="00AD0081" w:rsidRPr="008D3BA2">
        <w:rPr>
          <w:lang w:val="ru-RU"/>
        </w:rPr>
        <w:t xml:space="preserve"> </w:t>
      </w:r>
      <w:r w:rsidR="0009749D">
        <w:rPr>
          <w:lang w:val="ru-RU"/>
        </w:rPr>
        <w:t>и в г. </w:t>
      </w:r>
      <w:r w:rsidR="00E55303" w:rsidRPr="008D3BA2">
        <w:rPr>
          <w:lang w:val="ru-RU"/>
        </w:rPr>
        <w:t>Гватемала</w:t>
      </w:r>
      <w:r w:rsidR="00AD0081" w:rsidRPr="008D3BA2">
        <w:rPr>
          <w:lang w:val="ru-RU"/>
        </w:rPr>
        <w:t>,</w:t>
      </w:r>
      <w:r w:rsidRPr="008D3BA2">
        <w:rPr>
          <w:lang w:val="ru-RU"/>
        </w:rPr>
        <w:t xml:space="preserve"> </w:t>
      </w:r>
      <w:r w:rsidR="00E55303" w:rsidRPr="008D3BA2">
        <w:rPr>
          <w:lang w:val="ru-RU"/>
        </w:rPr>
        <w:t>Гватемала</w:t>
      </w:r>
      <w:r w:rsidR="00597E9D">
        <w:rPr>
          <w:lang w:val="ru-RU"/>
        </w:rPr>
        <w:t>,</w:t>
      </w:r>
      <w:r w:rsidR="00E55303" w:rsidRPr="008D3BA2">
        <w:rPr>
          <w:lang w:val="ru-RU"/>
        </w:rPr>
        <w:t xml:space="preserve"> </w:t>
      </w:r>
      <w:r w:rsidRPr="008D3BA2">
        <w:rPr>
          <w:lang w:val="ru-RU"/>
        </w:rPr>
        <w:t>28 августа − 1 сентября</w:t>
      </w:r>
      <w:r w:rsidR="00AD0081" w:rsidRPr="008D3BA2">
        <w:rPr>
          <w:lang w:val="ru-RU"/>
        </w:rPr>
        <w:t xml:space="preserve">, </w:t>
      </w:r>
      <w:r w:rsidRPr="008D3BA2">
        <w:rPr>
          <w:lang w:val="ru-RU"/>
        </w:rPr>
        <w:t>соответственно</w:t>
      </w:r>
      <w:r w:rsidR="0009749D">
        <w:rPr>
          <w:lang w:val="ru-RU"/>
        </w:rPr>
        <w:t>;</w:t>
      </w:r>
    </w:p>
    <w:p w:rsidR="00AD0081" w:rsidRPr="008D3BA2" w:rsidRDefault="0098470A" w:rsidP="00597E9D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</w:r>
      <w:r w:rsidR="000E64D3" w:rsidRPr="008D3BA2">
        <w:rPr>
          <w:lang w:val="ru-RU"/>
        </w:rPr>
        <w:t>два</w:t>
      </w:r>
      <w:r w:rsidR="00AD0081" w:rsidRPr="008D3BA2">
        <w:rPr>
          <w:lang w:val="ru-RU"/>
        </w:rPr>
        <w:t xml:space="preserve"> </w:t>
      </w:r>
      <w:r w:rsidR="000E64D3" w:rsidRPr="008D3BA2">
        <w:rPr>
          <w:lang w:val="ru-RU"/>
        </w:rPr>
        <w:t>международных симпозиума по спутниковой связи</w:t>
      </w:r>
      <w:r w:rsidR="00D351F8" w:rsidRPr="008D3BA2">
        <w:rPr>
          <w:lang w:val="ru-RU"/>
        </w:rPr>
        <w:t xml:space="preserve"> в </w:t>
      </w:r>
      <w:proofErr w:type="spellStart"/>
      <w:r w:rsidR="00D351F8" w:rsidRPr="008D3BA2">
        <w:rPr>
          <w:lang w:val="ru-RU"/>
        </w:rPr>
        <w:t>Ба</w:t>
      </w:r>
      <w:bookmarkStart w:id="3" w:name="_GoBack"/>
      <w:bookmarkEnd w:id="3"/>
      <w:r w:rsidR="00D351F8" w:rsidRPr="008D3BA2">
        <w:rPr>
          <w:lang w:val="ru-RU"/>
        </w:rPr>
        <w:t>рилоче</w:t>
      </w:r>
      <w:proofErr w:type="spellEnd"/>
      <w:r w:rsidRPr="008D3BA2">
        <w:rPr>
          <w:lang w:val="ru-RU"/>
        </w:rPr>
        <w:t xml:space="preserve">, </w:t>
      </w:r>
      <w:r w:rsidR="00D351F8" w:rsidRPr="008D3BA2">
        <w:rPr>
          <w:lang w:val="ru-RU"/>
        </w:rPr>
        <w:t>Аргентина</w:t>
      </w:r>
      <w:r w:rsidR="0009749D">
        <w:rPr>
          <w:lang w:val="ru-RU"/>
        </w:rPr>
        <w:t>,</w:t>
      </w:r>
      <w:r w:rsidR="00D351F8" w:rsidRPr="008D3BA2">
        <w:rPr>
          <w:lang w:val="ru-RU"/>
        </w:rPr>
        <w:t xml:space="preserve"> </w:t>
      </w:r>
      <w:r w:rsidRPr="008D3BA2">
        <w:rPr>
          <w:lang w:val="ru-RU"/>
        </w:rPr>
        <w:t>29−</w:t>
      </w:r>
      <w:r w:rsidR="000E64D3" w:rsidRPr="008D3BA2">
        <w:rPr>
          <w:lang w:val="ru-RU"/>
        </w:rPr>
        <w:t>31 </w:t>
      </w:r>
      <w:r w:rsidRPr="008D3BA2">
        <w:rPr>
          <w:lang w:val="ru-RU"/>
        </w:rPr>
        <w:t>мая</w:t>
      </w:r>
      <w:r w:rsidR="00D351F8" w:rsidRPr="008D3BA2">
        <w:rPr>
          <w:lang w:val="ru-RU"/>
        </w:rPr>
        <w:t xml:space="preserve"> и </w:t>
      </w:r>
      <w:r w:rsidR="008704BF">
        <w:rPr>
          <w:lang w:val="ru-RU"/>
        </w:rPr>
        <w:t xml:space="preserve">в </w:t>
      </w:r>
      <w:r w:rsidR="00D351F8" w:rsidRPr="008D3BA2">
        <w:rPr>
          <w:lang w:val="ru-RU"/>
        </w:rPr>
        <w:t>Бангкоке</w:t>
      </w:r>
      <w:r w:rsidRPr="008D3BA2">
        <w:rPr>
          <w:lang w:val="ru-RU"/>
        </w:rPr>
        <w:t xml:space="preserve">, </w:t>
      </w:r>
      <w:r w:rsidR="00A76377" w:rsidRPr="008D3BA2">
        <w:rPr>
          <w:lang w:val="ru-RU"/>
        </w:rPr>
        <w:t>Таиланд</w:t>
      </w:r>
      <w:r w:rsidR="00597E9D">
        <w:rPr>
          <w:lang w:val="ru-RU"/>
        </w:rPr>
        <w:t>,</w:t>
      </w:r>
      <w:r w:rsidR="00D351F8" w:rsidRPr="008D3BA2">
        <w:rPr>
          <w:lang w:val="ru-RU"/>
        </w:rPr>
        <w:t xml:space="preserve"> </w:t>
      </w:r>
      <w:r w:rsidRPr="008D3BA2">
        <w:rPr>
          <w:lang w:val="ru-RU"/>
        </w:rPr>
        <w:t xml:space="preserve">30 августа − </w:t>
      </w:r>
      <w:r w:rsidR="00AD0081" w:rsidRPr="008D3BA2">
        <w:rPr>
          <w:lang w:val="ru-RU"/>
        </w:rPr>
        <w:t>1</w:t>
      </w:r>
      <w:r w:rsidRPr="008D3BA2">
        <w:rPr>
          <w:lang w:val="ru-RU"/>
        </w:rPr>
        <w:t> сентября</w:t>
      </w:r>
      <w:r w:rsidR="00AD0081" w:rsidRPr="008D3BA2">
        <w:rPr>
          <w:lang w:val="ru-RU"/>
        </w:rPr>
        <w:t xml:space="preserve">, </w:t>
      </w:r>
      <w:r w:rsidRPr="008D3BA2">
        <w:rPr>
          <w:lang w:val="ru-RU"/>
        </w:rPr>
        <w:t>соответственно</w:t>
      </w:r>
      <w:r w:rsidR="0009749D">
        <w:rPr>
          <w:lang w:val="ru-RU"/>
        </w:rPr>
        <w:t>;</w:t>
      </w:r>
    </w:p>
    <w:p w:rsidR="00AD0081" w:rsidRPr="008D3BA2" w:rsidRDefault="0098470A" w:rsidP="00597E9D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</w:r>
      <w:r w:rsidR="00D351F8" w:rsidRPr="008D3BA2">
        <w:rPr>
          <w:lang w:val="ru-RU"/>
        </w:rPr>
        <w:t xml:space="preserve">второй </w:t>
      </w:r>
      <w:r w:rsidR="00D351F8" w:rsidRPr="008D3BA2">
        <w:rPr>
          <w:color w:val="000000"/>
          <w:lang w:val="ru-RU"/>
        </w:rPr>
        <w:t>семинар ВМО/МСЭ на тему "Использование радиочастотного спектра в метеорологии</w:t>
      </w:r>
      <w:r w:rsidR="00AD0081" w:rsidRPr="008D3BA2">
        <w:rPr>
          <w:lang w:val="ru-RU"/>
        </w:rPr>
        <w:t xml:space="preserve">: </w:t>
      </w:r>
      <w:r w:rsidR="00D351F8" w:rsidRPr="008D3BA2">
        <w:rPr>
          <w:color w:val="000000"/>
          <w:lang w:val="ru-RU"/>
        </w:rPr>
        <w:t>мониторинг и прогнозирование погоды, климата и качества воды</w:t>
      </w:r>
      <w:r w:rsidR="000E64D3" w:rsidRPr="008D3BA2">
        <w:rPr>
          <w:lang w:val="ru-RU"/>
        </w:rPr>
        <w:t>"</w:t>
      </w:r>
      <w:r w:rsidR="00597E9D">
        <w:rPr>
          <w:lang w:val="ru-RU"/>
        </w:rPr>
        <w:t xml:space="preserve"> </w:t>
      </w:r>
      <w:r w:rsidR="00D351F8" w:rsidRPr="008D3BA2">
        <w:rPr>
          <w:lang w:val="ru-RU"/>
        </w:rPr>
        <w:t>в Женеве, Швейцария,</w:t>
      </w:r>
      <w:r w:rsidR="00AD0081" w:rsidRPr="008D3BA2">
        <w:rPr>
          <w:lang w:val="ru-RU"/>
        </w:rPr>
        <w:t xml:space="preserve"> 23</w:t>
      </w:r>
      <w:r w:rsidRPr="008D3BA2">
        <w:rPr>
          <w:lang w:val="ru-RU"/>
        </w:rPr>
        <w:t>−</w:t>
      </w:r>
      <w:r w:rsidR="00AD0081" w:rsidRPr="008D3BA2">
        <w:rPr>
          <w:lang w:val="ru-RU"/>
        </w:rPr>
        <w:t>24</w:t>
      </w:r>
      <w:r w:rsidRPr="008D3BA2">
        <w:rPr>
          <w:lang w:val="ru-RU"/>
        </w:rPr>
        <w:t> октября</w:t>
      </w:r>
      <w:r w:rsidR="0009749D">
        <w:rPr>
          <w:lang w:val="ru-RU"/>
        </w:rPr>
        <w:t>;</w:t>
      </w:r>
    </w:p>
    <w:p w:rsidR="00AD0081" w:rsidRPr="008D3BA2" w:rsidRDefault="0098470A" w:rsidP="00D351F8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</w:r>
      <w:r w:rsidR="00AD0081" w:rsidRPr="008D3BA2">
        <w:rPr>
          <w:lang w:val="ru-RU"/>
        </w:rPr>
        <w:t>5</w:t>
      </w:r>
      <w:r w:rsidR="000E64D3" w:rsidRPr="008D3BA2">
        <w:rPr>
          <w:lang w:val="ru-RU"/>
        </w:rPr>
        <w:t>-й</w:t>
      </w:r>
      <w:r w:rsidR="00AD0081" w:rsidRPr="008D3BA2">
        <w:rPr>
          <w:lang w:val="ru-RU"/>
        </w:rPr>
        <w:t xml:space="preserve"> </w:t>
      </w:r>
      <w:r w:rsidR="000E64D3" w:rsidRPr="008D3BA2">
        <w:rPr>
          <w:lang w:val="ru-RU"/>
        </w:rPr>
        <w:t>Латиноамериканский конгресс электросвязи</w:t>
      </w:r>
      <w:r w:rsidR="00AD0081" w:rsidRPr="008D3BA2">
        <w:rPr>
          <w:lang w:val="ru-RU"/>
        </w:rPr>
        <w:t xml:space="preserve">, </w:t>
      </w:r>
      <w:r w:rsidR="00D351F8" w:rsidRPr="008D3BA2">
        <w:rPr>
          <w:lang w:val="ru-RU"/>
        </w:rPr>
        <w:t>Картахена</w:t>
      </w:r>
      <w:r w:rsidR="00AD0081" w:rsidRPr="008D3BA2">
        <w:rPr>
          <w:lang w:val="ru-RU"/>
        </w:rPr>
        <w:t xml:space="preserve">, </w:t>
      </w:r>
      <w:r w:rsidR="00D351F8" w:rsidRPr="008D3BA2">
        <w:rPr>
          <w:lang w:val="ru-RU"/>
        </w:rPr>
        <w:t>Колумбия</w:t>
      </w:r>
      <w:r w:rsidR="00AD0081" w:rsidRPr="008D3BA2">
        <w:rPr>
          <w:lang w:val="ru-RU"/>
        </w:rPr>
        <w:t>, 20</w:t>
      </w:r>
      <w:r w:rsidRPr="008D3BA2">
        <w:rPr>
          <w:lang w:val="ru-RU"/>
        </w:rPr>
        <w:t>−</w:t>
      </w:r>
      <w:r w:rsidR="00AD0081" w:rsidRPr="008D3BA2">
        <w:rPr>
          <w:lang w:val="ru-RU"/>
        </w:rPr>
        <w:t>23</w:t>
      </w:r>
      <w:r w:rsidRPr="008D3BA2">
        <w:rPr>
          <w:lang w:val="ru-RU"/>
        </w:rPr>
        <w:t> июня</w:t>
      </w:r>
      <w:r w:rsidR="0009749D">
        <w:rPr>
          <w:lang w:val="ru-RU"/>
        </w:rPr>
        <w:t>;</w:t>
      </w:r>
    </w:p>
    <w:p w:rsidR="00AD0081" w:rsidRPr="008D3BA2" w:rsidRDefault="0098470A" w:rsidP="00D351F8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</w:r>
      <w:r w:rsidR="00D351F8" w:rsidRPr="008D3BA2">
        <w:rPr>
          <w:color w:val="000000"/>
          <w:lang w:val="ru-RU"/>
        </w:rPr>
        <w:t>7-й Международный конгресс по спектру и семинар-практикум МСЭ по координации частот в Боготе, Колумбия</w:t>
      </w:r>
      <w:r w:rsidR="00AD0081" w:rsidRPr="008D3BA2">
        <w:rPr>
          <w:lang w:val="ru-RU"/>
        </w:rPr>
        <w:t>,</w:t>
      </w:r>
      <w:r w:rsidRPr="008D3BA2">
        <w:rPr>
          <w:lang w:val="ru-RU"/>
        </w:rPr>
        <w:t xml:space="preserve"> 5−</w:t>
      </w:r>
      <w:r w:rsidR="00AD0081" w:rsidRPr="008D3BA2">
        <w:rPr>
          <w:lang w:val="ru-RU"/>
        </w:rPr>
        <w:t>8</w:t>
      </w:r>
      <w:r w:rsidRPr="008D3BA2">
        <w:rPr>
          <w:lang w:val="ru-RU"/>
        </w:rPr>
        <w:t> сентября</w:t>
      </w:r>
      <w:r w:rsidR="0009749D">
        <w:rPr>
          <w:lang w:val="ru-RU"/>
        </w:rPr>
        <w:t>.</w:t>
      </w:r>
    </w:p>
    <w:p w:rsidR="00AD0081" w:rsidRPr="008D3BA2" w:rsidRDefault="00AD0081" w:rsidP="000E64D3">
      <w:pPr>
        <w:rPr>
          <w:lang w:val="ru-RU"/>
        </w:rPr>
      </w:pPr>
      <w:r w:rsidRPr="008D3BA2">
        <w:rPr>
          <w:lang w:val="ru-RU"/>
        </w:rPr>
        <w:t>3.2.2</w:t>
      </w:r>
      <w:r w:rsidRPr="008D3BA2">
        <w:rPr>
          <w:lang w:val="ru-RU"/>
        </w:rPr>
        <w:tab/>
      </w:r>
      <w:r w:rsidR="000E64D3" w:rsidRPr="008D3BA2">
        <w:rPr>
          <w:lang w:val="ru-RU"/>
        </w:rPr>
        <w:t>Эти мероприятия способствовали созданию человеческого потенциала в области использования радиочастотного спектра и спутниковых орбит, а также применения положений Регламента радиосвязи МСЭ.</w:t>
      </w:r>
    </w:p>
    <w:p w:rsidR="000E64D3" w:rsidRPr="008D3BA2" w:rsidRDefault="00AD0081" w:rsidP="005106A0">
      <w:pPr>
        <w:rPr>
          <w:lang w:val="ru-RU"/>
        </w:rPr>
      </w:pPr>
      <w:r w:rsidRPr="008D3BA2">
        <w:rPr>
          <w:lang w:val="ru-RU"/>
        </w:rPr>
        <w:t>3.2.3</w:t>
      </w:r>
      <w:r w:rsidRPr="008D3BA2">
        <w:rPr>
          <w:lang w:val="ru-RU"/>
        </w:rPr>
        <w:tab/>
      </w:r>
      <w:r w:rsidR="000E64D3" w:rsidRPr="008D3BA2">
        <w:rPr>
          <w:color w:val="000000"/>
          <w:szCs w:val="22"/>
          <w:lang w:val="ru-RU"/>
        </w:rPr>
        <w:t xml:space="preserve">Наряду с этим </w:t>
      </w:r>
      <w:r w:rsidR="005106A0" w:rsidRPr="008D3BA2">
        <w:rPr>
          <w:color w:val="000000"/>
          <w:szCs w:val="22"/>
          <w:lang w:val="ru-RU"/>
        </w:rPr>
        <w:t xml:space="preserve">была оказана </w:t>
      </w:r>
      <w:r w:rsidR="000E64D3" w:rsidRPr="008D3BA2">
        <w:rPr>
          <w:color w:val="000000"/>
          <w:szCs w:val="22"/>
          <w:lang w:val="ru-RU"/>
        </w:rPr>
        <w:t xml:space="preserve">прямая помощь (по запросам) </w:t>
      </w:r>
      <w:r w:rsidR="00E87CA9" w:rsidRPr="008D3BA2">
        <w:rPr>
          <w:color w:val="000000"/>
          <w:szCs w:val="22"/>
          <w:lang w:val="ru-RU"/>
        </w:rPr>
        <w:t xml:space="preserve">некоторым странам, в том числе </w:t>
      </w:r>
      <w:r w:rsidR="000E64D3" w:rsidRPr="008D3BA2">
        <w:rPr>
          <w:color w:val="000000"/>
          <w:szCs w:val="22"/>
          <w:lang w:val="ru-RU"/>
        </w:rPr>
        <w:t xml:space="preserve">Бутану, </w:t>
      </w:r>
      <w:r w:rsidR="00E87CA9" w:rsidRPr="008D3BA2">
        <w:rPr>
          <w:color w:val="000000"/>
          <w:szCs w:val="22"/>
          <w:lang w:val="ru-RU"/>
        </w:rPr>
        <w:t xml:space="preserve">Таиланду, Камбодже, Сенегалу, Сальвадору и </w:t>
      </w:r>
      <w:r w:rsidR="00D351F8" w:rsidRPr="008D3BA2">
        <w:rPr>
          <w:color w:val="000000"/>
          <w:szCs w:val="22"/>
          <w:lang w:val="ru-RU"/>
        </w:rPr>
        <w:t>Перу</w:t>
      </w:r>
      <w:r w:rsidR="00597E9D">
        <w:rPr>
          <w:color w:val="000000"/>
          <w:szCs w:val="22"/>
          <w:lang w:val="ru-RU"/>
        </w:rPr>
        <w:t>,</w:t>
      </w:r>
      <w:r w:rsidR="00D351F8" w:rsidRPr="008D3BA2">
        <w:rPr>
          <w:color w:val="000000"/>
          <w:szCs w:val="22"/>
          <w:lang w:val="ru-RU"/>
        </w:rPr>
        <w:t xml:space="preserve"> </w:t>
      </w:r>
      <w:r w:rsidR="000E64D3" w:rsidRPr="008D3BA2">
        <w:rPr>
          <w:color w:val="000000"/>
          <w:szCs w:val="22"/>
          <w:lang w:val="ru-RU"/>
        </w:rPr>
        <w:t>в целях поддержки их деятельности по управлению использованием спектра</w:t>
      </w:r>
      <w:r w:rsidR="005106A0" w:rsidRPr="008D3BA2">
        <w:rPr>
          <w:color w:val="000000"/>
          <w:szCs w:val="22"/>
          <w:lang w:val="ru-RU"/>
        </w:rPr>
        <w:t xml:space="preserve"> на национальном уровне</w:t>
      </w:r>
      <w:r w:rsidR="000E64D3" w:rsidRPr="008D3BA2">
        <w:rPr>
          <w:color w:val="000000"/>
          <w:szCs w:val="22"/>
          <w:lang w:val="ru-RU"/>
        </w:rPr>
        <w:t>, долгосрочному управлению использованием частот для подвижной широкополосной связи, а также по переходу на цифровое радиовещание и распределению цифрового дивиденда.</w:t>
      </w:r>
    </w:p>
    <w:p w:rsidR="00AD0081" w:rsidRPr="008D3BA2" w:rsidRDefault="00AD0081" w:rsidP="000E64D3">
      <w:pPr>
        <w:pStyle w:val="Heading2"/>
        <w:rPr>
          <w:lang w:val="ru-RU"/>
        </w:rPr>
      </w:pPr>
      <w:r w:rsidRPr="008D3BA2">
        <w:rPr>
          <w:lang w:val="ru-RU"/>
        </w:rPr>
        <w:t>3.3</w:t>
      </w:r>
      <w:r w:rsidRPr="008D3BA2">
        <w:rPr>
          <w:lang w:val="ru-RU"/>
        </w:rPr>
        <w:tab/>
      </w:r>
      <w:r w:rsidR="000E64D3" w:rsidRPr="008D3BA2">
        <w:rPr>
          <w:lang w:val="ru-RU"/>
        </w:rPr>
        <w:t>МСЭ</w:t>
      </w:r>
      <w:r w:rsidRPr="008D3BA2">
        <w:rPr>
          <w:lang w:val="ru-RU"/>
        </w:rPr>
        <w:t>-T</w:t>
      </w:r>
    </w:p>
    <w:p w:rsidR="00AD0081" w:rsidRPr="008D3BA2" w:rsidRDefault="00AD0081" w:rsidP="005106A0">
      <w:pPr>
        <w:rPr>
          <w:lang w:val="ru-RU"/>
        </w:rPr>
      </w:pPr>
      <w:r w:rsidRPr="008D3BA2">
        <w:rPr>
          <w:lang w:val="ru-RU"/>
        </w:rPr>
        <w:t>3.3.1</w:t>
      </w:r>
      <w:r w:rsidRPr="008D3BA2">
        <w:rPr>
          <w:lang w:val="ru-RU"/>
        </w:rPr>
        <w:tab/>
      </w:r>
      <w:r w:rsidR="00A22BBC" w:rsidRPr="008D3BA2">
        <w:rPr>
          <w:lang w:val="ru-RU"/>
        </w:rPr>
        <w:t>Региональные группы в рамках исследовательских комиссий МСЭ-Т доказали свою эффективность в качестве механизма содействия преодолению разрыва в стандартизации путем стимулирования действенного участия в работе исследовательских комиссий МСЭ</w:t>
      </w:r>
      <w:r w:rsidR="00A22BBC" w:rsidRPr="008D3BA2">
        <w:rPr>
          <w:lang w:val="ru-RU"/>
        </w:rPr>
        <w:noBreakHyphen/>
        <w:t xml:space="preserve">Т, а также </w:t>
      </w:r>
      <w:r w:rsidR="00A22BBC" w:rsidRPr="008D3BA2">
        <w:rPr>
          <w:lang w:val="ru-RU"/>
        </w:rPr>
        <w:lastRenderedPageBreak/>
        <w:t>увеличения количества и повышения качества вкладов из развивающихся стран, которые в итоге могут привести к разработке стандартов. В МСЭ</w:t>
      </w:r>
      <w:r w:rsidRPr="008D3BA2">
        <w:rPr>
          <w:lang w:val="ru-RU"/>
        </w:rPr>
        <w:t xml:space="preserve">-T </w:t>
      </w:r>
      <w:r w:rsidR="00A22BBC" w:rsidRPr="008D3BA2">
        <w:rPr>
          <w:lang w:val="ru-RU"/>
        </w:rPr>
        <w:t>существует</w:t>
      </w:r>
      <w:r w:rsidRPr="008D3BA2">
        <w:rPr>
          <w:lang w:val="ru-RU"/>
        </w:rPr>
        <w:t xml:space="preserve"> 23 </w:t>
      </w:r>
      <w:r w:rsidR="00A22BBC" w:rsidRPr="008D3BA2">
        <w:rPr>
          <w:lang w:val="ru-RU"/>
        </w:rPr>
        <w:t>региональных группы</w:t>
      </w:r>
      <w:r w:rsidRPr="008D3BA2">
        <w:rPr>
          <w:lang w:val="ru-RU"/>
        </w:rPr>
        <w:t xml:space="preserve">, </w:t>
      </w:r>
      <w:r w:rsidR="00A22BBC" w:rsidRPr="008D3BA2">
        <w:rPr>
          <w:lang w:val="ru-RU"/>
        </w:rPr>
        <w:t xml:space="preserve">из них </w:t>
      </w:r>
      <w:r w:rsidR="005106A0" w:rsidRPr="008D3BA2">
        <w:rPr>
          <w:lang w:val="ru-RU"/>
        </w:rPr>
        <w:t xml:space="preserve">в настоящее время </w:t>
      </w:r>
      <w:r w:rsidR="00D351F8" w:rsidRPr="008D3BA2">
        <w:rPr>
          <w:lang w:val="ru-RU"/>
        </w:rPr>
        <w:t xml:space="preserve">действуют </w:t>
      </w:r>
      <w:r w:rsidR="00A22BBC" w:rsidRPr="008D3BA2">
        <w:rPr>
          <w:lang w:val="ru-RU"/>
        </w:rPr>
        <w:t xml:space="preserve">восемь </w:t>
      </w:r>
      <w:r w:rsidR="00D351F8" w:rsidRPr="008D3BA2">
        <w:rPr>
          <w:lang w:val="ru-RU"/>
        </w:rPr>
        <w:t xml:space="preserve">групп </w:t>
      </w:r>
      <w:r w:rsidR="00A22BBC" w:rsidRPr="008D3BA2">
        <w:rPr>
          <w:lang w:val="ru-RU"/>
        </w:rPr>
        <w:t>для Африки</w:t>
      </w:r>
      <w:r w:rsidRPr="008D3BA2">
        <w:rPr>
          <w:lang w:val="ru-RU"/>
        </w:rPr>
        <w:t xml:space="preserve">, </w:t>
      </w:r>
      <w:r w:rsidR="00A22BBC" w:rsidRPr="008D3BA2">
        <w:rPr>
          <w:lang w:val="ru-RU"/>
        </w:rPr>
        <w:t xml:space="preserve">четыре для </w:t>
      </w:r>
      <w:r w:rsidR="00A22BBC" w:rsidRPr="008D3BA2">
        <w:rPr>
          <w:szCs w:val="22"/>
          <w:lang w:val="ru-RU"/>
        </w:rPr>
        <w:t>Северной и Южной Америки</w:t>
      </w:r>
      <w:r w:rsidRPr="008D3BA2">
        <w:rPr>
          <w:lang w:val="ru-RU"/>
        </w:rPr>
        <w:t xml:space="preserve">, </w:t>
      </w:r>
      <w:r w:rsidR="00A22BBC" w:rsidRPr="008D3BA2">
        <w:rPr>
          <w:lang w:val="ru-RU"/>
        </w:rPr>
        <w:t>пять</w:t>
      </w:r>
      <w:r w:rsidRPr="008D3BA2">
        <w:rPr>
          <w:lang w:val="ru-RU"/>
        </w:rPr>
        <w:t xml:space="preserve"> </w:t>
      </w:r>
      <w:r w:rsidR="00A22BBC" w:rsidRPr="008D3BA2">
        <w:rPr>
          <w:lang w:val="ru-RU"/>
        </w:rPr>
        <w:t>для региона</w:t>
      </w:r>
      <w:r w:rsidR="005106A0" w:rsidRPr="008D3BA2">
        <w:rPr>
          <w:lang w:val="ru-RU"/>
        </w:rPr>
        <w:t xml:space="preserve"> арабских государств</w:t>
      </w:r>
      <w:r w:rsidRPr="008D3BA2">
        <w:rPr>
          <w:lang w:val="ru-RU"/>
        </w:rPr>
        <w:t xml:space="preserve">, </w:t>
      </w:r>
      <w:r w:rsidR="00A22BBC" w:rsidRPr="008D3BA2">
        <w:rPr>
          <w:lang w:val="ru-RU"/>
        </w:rPr>
        <w:t xml:space="preserve">две для </w:t>
      </w:r>
      <w:r w:rsidR="00156313" w:rsidRPr="008D3BA2">
        <w:rPr>
          <w:lang w:val="ru-RU"/>
        </w:rPr>
        <w:t>Азии и Океании</w:t>
      </w:r>
      <w:r w:rsidRPr="008D3BA2">
        <w:rPr>
          <w:lang w:val="ru-RU"/>
        </w:rPr>
        <w:t xml:space="preserve"> </w:t>
      </w:r>
      <w:r w:rsidR="00156313" w:rsidRPr="008D3BA2">
        <w:rPr>
          <w:lang w:val="ru-RU"/>
        </w:rPr>
        <w:t>и три для Восточной Европы</w:t>
      </w:r>
      <w:r w:rsidRPr="008D3BA2">
        <w:rPr>
          <w:lang w:val="ru-RU"/>
        </w:rPr>
        <w:t xml:space="preserve">, </w:t>
      </w:r>
      <w:r w:rsidR="00156313" w:rsidRPr="008D3BA2">
        <w:rPr>
          <w:lang w:val="ru-RU"/>
        </w:rPr>
        <w:t>Центральной Азии и Закавказья</w:t>
      </w:r>
      <w:r w:rsidRPr="008D3BA2">
        <w:rPr>
          <w:lang w:val="ru-RU"/>
        </w:rPr>
        <w:t xml:space="preserve"> (</w:t>
      </w:r>
      <w:proofErr w:type="spellStart"/>
      <w:r w:rsidR="00156313" w:rsidRPr="008D3BA2">
        <w:rPr>
          <w:lang w:val="ru-RU"/>
        </w:rPr>
        <w:t>ВЕЦАЗ</w:t>
      </w:r>
      <w:proofErr w:type="spellEnd"/>
      <w:r w:rsidRPr="008D3BA2">
        <w:rPr>
          <w:lang w:val="ru-RU"/>
        </w:rPr>
        <w:t>)</w:t>
      </w:r>
      <w:r w:rsidR="00156313" w:rsidRPr="008D3BA2">
        <w:rPr>
          <w:lang w:val="ru-RU"/>
        </w:rPr>
        <w:t>.</w:t>
      </w:r>
    </w:p>
    <w:p w:rsidR="0083567F" w:rsidRPr="008D3BA2" w:rsidRDefault="00AD0081" w:rsidP="002025D2">
      <w:pPr>
        <w:rPr>
          <w:lang w:val="ru-RU"/>
        </w:rPr>
      </w:pPr>
      <w:r w:rsidRPr="008D3BA2">
        <w:rPr>
          <w:lang w:val="ru-RU"/>
        </w:rPr>
        <w:t>3.3.2</w:t>
      </w:r>
      <w:r w:rsidRPr="008D3BA2">
        <w:rPr>
          <w:lang w:val="ru-RU"/>
        </w:rPr>
        <w:tab/>
      </w:r>
      <w:proofErr w:type="gramStart"/>
      <w:r w:rsidR="0083567F" w:rsidRPr="008D3BA2">
        <w:rPr>
          <w:lang w:val="ru-RU"/>
        </w:rPr>
        <w:t>В</w:t>
      </w:r>
      <w:proofErr w:type="gramEnd"/>
      <w:r w:rsidR="0083567F" w:rsidRPr="008D3BA2">
        <w:rPr>
          <w:lang w:val="ru-RU"/>
        </w:rPr>
        <w:t xml:space="preserve"> рамках программы по преодолению разрыва в стандартизации (ПРС) в 2017 году были проведены четыре форума по стандартизации</w:t>
      </w:r>
      <w:r w:rsidR="002025D2" w:rsidRPr="008D3BA2">
        <w:rPr>
          <w:lang w:val="ru-RU"/>
        </w:rPr>
        <w:t xml:space="preserve"> для развивающихся стран</w:t>
      </w:r>
      <w:r w:rsidR="0083567F" w:rsidRPr="008D3BA2">
        <w:rPr>
          <w:lang w:val="ru-RU"/>
        </w:rPr>
        <w:t>, которые охватывали широкий круг тем, включая</w:t>
      </w:r>
      <w:r w:rsidR="00D351F8" w:rsidRPr="008D3BA2">
        <w:rPr>
          <w:lang w:val="ru-RU"/>
        </w:rPr>
        <w:t xml:space="preserve"> эксплуатационные аспекты</w:t>
      </w:r>
      <w:r w:rsidR="00C416AD" w:rsidRPr="008D3BA2">
        <w:rPr>
          <w:lang w:val="ru-RU"/>
        </w:rPr>
        <w:t xml:space="preserve">, </w:t>
      </w:r>
      <w:r w:rsidR="00D351F8" w:rsidRPr="008D3BA2">
        <w:rPr>
          <w:lang w:val="ru-RU"/>
        </w:rPr>
        <w:t>экономические и политические вопросы</w:t>
      </w:r>
      <w:r w:rsidR="00C416AD" w:rsidRPr="008D3BA2">
        <w:rPr>
          <w:lang w:val="ru-RU"/>
        </w:rPr>
        <w:t xml:space="preserve">, IoT, </w:t>
      </w:r>
      <w:r w:rsidR="00D351F8" w:rsidRPr="008D3BA2">
        <w:rPr>
          <w:lang w:val="ru-RU"/>
        </w:rPr>
        <w:t xml:space="preserve">искусственный интеллект и кибербезопасность </w:t>
      </w:r>
      <w:r w:rsidR="0083567F" w:rsidRPr="008D3BA2">
        <w:rPr>
          <w:lang w:val="ru-RU"/>
        </w:rPr>
        <w:t>и т. д., а также обучающие курсы по методам работы МСЭ-Т.</w:t>
      </w:r>
    </w:p>
    <w:p w:rsidR="00C416AD" w:rsidRPr="008D3BA2" w:rsidRDefault="00AD0081" w:rsidP="002025D2">
      <w:pPr>
        <w:rPr>
          <w:lang w:val="ru-RU"/>
        </w:rPr>
      </w:pPr>
      <w:r w:rsidRPr="008D3BA2">
        <w:rPr>
          <w:lang w:val="ru-RU"/>
        </w:rPr>
        <w:t>3.3.3</w:t>
      </w:r>
      <w:r w:rsidRPr="008D3BA2">
        <w:rPr>
          <w:lang w:val="ru-RU"/>
        </w:rPr>
        <w:tab/>
      </w:r>
      <w:r w:rsidR="00C416AD" w:rsidRPr="008D3BA2">
        <w:rPr>
          <w:szCs w:val="22"/>
          <w:lang w:val="ru-RU"/>
        </w:rPr>
        <w:t>БРЭ и БСЭ совместно организовали региональные экономические и финансовые форумы, которые с 1990-х годов приурочиваются к собраниям региональных групп ИК3. Каждый год в четырех регионах – Африк</w:t>
      </w:r>
      <w:r w:rsidR="002025D2" w:rsidRPr="008D3BA2">
        <w:rPr>
          <w:szCs w:val="22"/>
          <w:lang w:val="ru-RU"/>
        </w:rPr>
        <w:t>а</w:t>
      </w:r>
      <w:r w:rsidR="00C416AD" w:rsidRPr="008D3BA2">
        <w:rPr>
          <w:szCs w:val="22"/>
          <w:lang w:val="ru-RU"/>
        </w:rPr>
        <w:t>, Ази</w:t>
      </w:r>
      <w:r w:rsidR="002025D2" w:rsidRPr="008D3BA2">
        <w:rPr>
          <w:szCs w:val="22"/>
          <w:lang w:val="ru-RU"/>
        </w:rPr>
        <w:t>я</w:t>
      </w:r>
      <w:r w:rsidR="00C416AD" w:rsidRPr="008D3BA2">
        <w:rPr>
          <w:szCs w:val="22"/>
          <w:lang w:val="ru-RU"/>
        </w:rPr>
        <w:t xml:space="preserve"> и Океани</w:t>
      </w:r>
      <w:r w:rsidR="002025D2" w:rsidRPr="008D3BA2">
        <w:rPr>
          <w:szCs w:val="22"/>
          <w:lang w:val="ru-RU"/>
        </w:rPr>
        <w:t>я</w:t>
      </w:r>
      <w:r w:rsidR="00C416AD" w:rsidRPr="008D3BA2">
        <w:rPr>
          <w:szCs w:val="22"/>
          <w:lang w:val="ru-RU"/>
        </w:rPr>
        <w:t>, арабски</w:t>
      </w:r>
      <w:r w:rsidR="002025D2" w:rsidRPr="008D3BA2">
        <w:rPr>
          <w:szCs w:val="22"/>
          <w:lang w:val="ru-RU"/>
        </w:rPr>
        <w:t>е</w:t>
      </w:r>
      <w:r w:rsidR="00C416AD" w:rsidRPr="008D3BA2">
        <w:rPr>
          <w:szCs w:val="22"/>
          <w:lang w:val="ru-RU"/>
        </w:rPr>
        <w:t xml:space="preserve"> государства и Латинск</w:t>
      </w:r>
      <w:r w:rsidR="002025D2" w:rsidRPr="008D3BA2">
        <w:rPr>
          <w:szCs w:val="22"/>
          <w:lang w:val="ru-RU"/>
        </w:rPr>
        <w:t>ая Америка</w:t>
      </w:r>
      <w:r w:rsidR="00C416AD" w:rsidRPr="008D3BA2">
        <w:rPr>
          <w:szCs w:val="22"/>
          <w:lang w:val="ru-RU"/>
        </w:rPr>
        <w:t xml:space="preserve"> и Карибск</w:t>
      </w:r>
      <w:r w:rsidR="002025D2" w:rsidRPr="008D3BA2">
        <w:rPr>
          <w:szCs w:val="22"/>
          <w:lang w:val="ru-RU"/>
        </w:rPr>
        <w:t>ий</w:t>
      </w:r>
      <w:r w:rsidR="00C416AD" w:rsidRPr="008D3BA2">
        <w:rPr>
          <w:szCs w:val="22"/>
          <w:lang w:val="ru-RU"/>
        </w:rPr>
        <w:t xml:space="preserve"> бассейн – проводятся четыре таких совместных собрания.</w:t>
      </w:r>
    </w:p>
    <w:p w:rsidR="00C416AD" w:rsidRPr="008D3BA2" w:rsidRDefault="00AD0081" w:rsidP="008704BF">
      <w:pPr>
        <w:rPr>
          <w:lang w:val="ru-RU"/>
        </w:rPr>
      </w:pPr>
      <w:r w:rsidRPr="008D3BA2">
        <w:rPr>
          <w:lang w:val="ru-RU"/>
        </w:rPr>
        <w:t>3.3.4</w:t>
      </w:r>
      <w:r w:rsidRPr="008D3BA2">
        <w:rPr>
          <w:lang w:val="ru-RU"/>
        </w:rPr>
        <w:tab/>
      </w:r>
      <w:r w:rsidR="00C416AD" w:rsidRPr="008D3BA2">
        <w:rPr>
          <w:szCs w:val="22"/>
          <w:lang w:val="ru-RU"/>
        </w:rPr>
        <w:t xml:space="preserve">Успешный опыт практической профессиональной подготовки </w:t>
      </w:r>
      <w:r w:rsidR="004C32B7" w:rsidRPr="008D3BA2">
        <w:rPr>
          <w:szCs w:val="22"/>
          <w:lang w:val="ru-RU"/>
        </w:rPr>
        <w:t xml:space="preserve">в целях </w:t>
      </w:r>
      <w:r w:rsidR="00C416AD" w:rsidRPr="008D3BA2">
        <w:rPr>
          <w:szCs w:val="22"/>
          <w:lang w:val="ru-RU"/>
        </w:rPr>
        <w:t xml:space="preserve">создания потенциала, проводившейся ИК3 МСЭ-Т с начала 2014 года, распространен на деятельность других исследовательских комиссий и их региональных групп </w:t>
      </w:r>
      <w:r w:rsidR="00C416AD" w:rsidRPr="008D3BA2">
        <w:rPr>
          <w:lang w:val="ru-RU"/>
        </w:rPr>
        <w:t>(</w:t>
      </w:r>
      <w:r w:rsidR="004C32B7" w:rsidRPr="008D3BA2">
        <w:rPr>
          <w:lang w:val="ru-RU"/>
        </w:rPr>
        <w:t>в 2017 г</w:t>
      </w:r>
      <w:r w:rsidR="008704BF">
        <w:rPr>
          <w:lang w:val="ru-RU"/>
        </w:rPr>
        <w:t>.</w:t>
      </w:r>
      <w:r w:rsidR="004C32B7" w:rsidRPr="008D3BA2">
        <w:rPr>
          <w:lang w:val="ru-RU"/>
        </w:rPr>
        <w:t xml:space="preserve"> </w:t>
      </w:r>
      <w:r w:rsidR="00C416AD" w:rsidRPr="008D3BA2">
        <w:rPr>
          <w:lang w:val="ru-RU"/>
        </w:rPr>
        <w:t xml:space="preserve">три </w:t>
      </w:r>
      <w:r w:rsidR="004C32B7" w:rsidRPr="008D3BA2">
        <w:rPr>
          <w:lang w:val="ru-RU"/>
        </w:rPr>
        <w:t xml:space="preserve">учебных занятия были проведены в регионах </w:t>
      </w:r>
      <w:r w:rsidR="00C416AD" w:rsidRPr="008D3BA2">
        <w:rPr>
          <w:lang w:val="ru-RU"/>
        </w:rPr>
        <w:t>и семь − в Женеве)</w:t>
      </w:r>
      <w:r w:rsidR="00C416AD" w:rsidRPr="008D3BA2">
        <w:rPr>
          <w:szCs w:val="22"/>
          <w:lang w:val="ru-RU"/>
        </w:rPr>
        <w:t xml:space="preserve">. Эти практические учебные занятия по вопросам ПРС </w:t>
      </w:r>
      <w:r w:rsidR="00063B90" w:rsidRPr="008D3BA2">
        <w:rPr>
          <w:szCs w:val="22"/>
          <w:lang w:val="ru-RU"/>
        </w:rPr>
        <w:t xml:space="preserve">направлены на оказание </w:t>
      </w:r>
      <w:r w:rsidR="00C416AD" w:rsidRPr="008D3BA2">
        <w:rPr>
          <w:szCs w:val="22"/>
          <w:lang w:val="ru-RU"/>
        </w:rPr>
        <w:t xml:space="preserve">развивающимся странам </w:t>
      </w:r>
      <w:r w:rsidR="00063B90" w:rsidRPr="008D3BA2">
        <w:rPr>
          <w:szCs w:val="22"/>
          <w:lang w:val="ru-RU"/>
        </w:rPr>
        <w:t xml:space="preserve">содействия </w:t>
      </w:r>
      <w:r w:rsidR="00C416AD" w:rsidRPr="008D3BA2">
        <w:rPr>
          <w:szCs w:val="22"/>
          <w:lang w:val="ru-RU"/>
        </w:rPr>
        <w:t xml:space="preserve">в приобретении необходимых навыков и потенциала в области разработки международных стандартов и подготовки вкладов для собраний. Подготовка </w:t>
      </w:r>
      <w:r w:rsidR="004A2AB5" w:rsidRPr="008D3BA2">
        <w:rPr>
          <w:szCs w:val="22"/>
          <w:lang w:val="ru-RU"/>
        </w:rPr>
        <w:t>сосредоточена на развитии</w:t>
      </w:r>
      <w:r w:rsidR="00C416AD" w:rsidRPr="008D3BA2">
        <w:rPr>
          <w:szCs w:val="22"/>
          <w:lang w:val="ru-RU"/>
        </w:rPr>
        <w:t xml:space="preserve"> практических навыков для максимального повышения эффективности участия развивающихся стран в процессе стандартизации </w:t>
      </w:r>
      <w:r w:rsidR="007D6DF7" w:rsidRPr="008D3BA2">
        <w:rPr>
          <w:szCs w:val="22"/>
          <w:lang w:val="ru-RU"/>
        </w:rPr>
        <w:t xml:space="preserve">МСЭ-Т </w:t>
      </w:r>
      <w:r w:rsidR="00C416AD" w:rsidRPr="008D3BA2">
        <w:rPr>
          <w:szCs w:val="22"/>
          <w:lang w:val="ru-RU"/>
        </w:rPr>
        <w:t xml:space="preserve">и охватывает </w:t>
      </w:r>
      <w:r w:rsidR="007D6DF7" w:rsidRPr="008D3BA2">
        <w:rPr>
          <w:szCs w:val="22"/>
          <w:lang w:val="ru-RU"/>
        </w:rPr>
        <w:t xml:space="preserve">такие </w:t>
      </w:r>
      <w:r w:rsidR="00C416AD" w:rsidRPr="008D3BA2">
        <w:rPr>
          <w:szCs w:val="22"/>
          <w:lang w:val="ru-RU"/>
        </w:rPr>
        <w:t xml:space="preserve">темы, </w:t>
      </w:r>
      <w:r w:rsidR="007D6DF7" w:rsidRPr="008D3BA2">
        <w:rPr>
          <w:szCs w:val="22"/>
          <w:lang w:val="ru-RU"/>
        </w:rPr>
        <w:t xml:space="preserve">как </w:t>
      </w:r>
      <w:r w:rsidR="00C416AD" w:rsidRPr="008D3BA2">
        <w:rPr>
          <w:szCs w:val="22"/>
          <w:lang w:val="ru-RU"/>
        </w:rPr>
        <w:t>стратегии участия в работе исслед</w:t>
      </w:r>
      <w:r w:rsidR="007D6DF7" w:rsidRPr="008D3BA2">
        <w:rPr>
          <w:szCs w:val="22"/>
          <w:lang w:val="ru-RU"/>
        </w:rPr>
        <w:t>овательских комиссий, подготовка</w:t>
      </w:r>
      <w:r w:rsidR="00C416AD" w:rsidRPr="008D3BA2">
        <w:rPr>
          <w:szCs w:val="22"/>
          <w:lang w:val="ru-RU"/>
        </w:rPr>
        <w:t xml:space="preserve"> проектов вкладов, представление предложений, методы совместной работы и средства </w:t>
      </w:r>
      <w:r w:rsidR="00D75502" w:rsidRPr="008D3BA2">
        <w:rPr>
          <w:szCs w:val="22"/>
          <w:lang w:val="ru-RU"/>
        </w:rPr>
        <w:t xml:space="preserve">привлечения </w:t>
      </w:r>
      <w:r w:rsidR="00C416AD" w:rsidRPr="008D3BA2">
        <w:rPr>
          <w:szCs w:val="22"/>
          <w:lang w:val="ru-RU"/>
        </w:rPr>
        <w:t>поддержки и достижения консенсуса.</w:t>
      </w:r>
    </w:p>
    <w:p w:rsidR="00AD0081" w:rsidRPr="008D3BA2" w:rsidRDefault="00AD0081" w:rsidP="009E6719">
      <w:pPr>
        <w:rPr>
          <w:lang w:val="ru-RU"/>
        </w:rPr>
      </w:pPr>
      <w:r w:rsidRPr="008D3BA2">
        <w:rPr>
          <w:lang w:val="ru-RU"/>
        </w:rPr>
        <w:t>3.3.5</w:t>
      </w:r>
      <w:r w:rsidRPr="008D3BA2">
        <w:rPr>
          <w:lang w:val="ru-RU"/>
        </w:rPr>
        <w:tab/>
      </w:r>
      <w:proofErr w:type="gramStart"/>
      <w:r w:rsidR="00C416AD" w:rsidRPr="008D3BA2">
        <w:rPr>
          <w:lang w:val="ru-RU"/>
        </w:rPr>
        <w:t>В</w:t>
      </w:r>
      <w:proofErr w:type="gramEnd"/>
      <w:r w:rsidR="00C416AD" w:rsidRPr="008D3BA2">
        <w:rPr>
          <w:lang w:val="ru-RU"/>
        </w:rPr>
        <w:t xml:space="preserve"> целях обеспечения </w:t>
      </w:r>
      <w:r w:rsidR="007D6DF7" w:rsidRPr="008D3BA2">
        <w:rPr>
          <w:lang w:val="ru-RU"/>
        </w:rPr>
        <w:t xml:space="preserve">непрерывной </w:t>
      </w:r>
      <w:r w:rsidR="00C416AD" w:rsidRPr="008D3BA2">
        <w:rPr>
          <w:lang w:val="ru-RU"/>
        </w:rPr>
        <w:t xml:space="preserve">и более эффективной координации между региональными отделениями и работой МСЭ-Т был установлен график регулярных собраний директоров региональных отделений, Директора БСЭ и руководства высшего звена с использованием конференц-связи. </w:t>
      </w:r>
      <w:r w:rsidR="007D6DF7" w:rsidRPr="008D3BA2">
        <w:rPr>
          <w:lang w:val="ru-RU"/>
        </w:rPr>
        <w:t xml:space="preserve">Кроме того, директорам региональных отделений направляются </w:t>
      </w:r>
      <w:r w:rsidR="00D7108A" w:rsidRPr="008D3BA2">
        <w:rPr>
          <w:lang w:val="ru-RU"/>
        </w:rPr>
        <w:t xml:space="preserve">резюме </w:t>
      </w:r>
      <w:r w:rsidR="007D6DF7" w:rsidRPr="008D3BA2">
        <w:rPr>
          <w:lang w:val="ru-RU"/>
        </w:rPr>
        <w:t>отчет</w:t>
      </w:r>
      <w:r w:rsidR="00D7108A" w:rsidRPr="008D3BA2">
        <w:rPr>
          <w:lang w:val="ru-RU"/>
        </w:rPr>
        <w:t>ов</w:t>
      </w:r>
      <w:r w:rsidR="007D6DF7" w:rsidRPr="008D3BA2">
        <w:rPr>
          <w:lang w:val="ru-RU"/>
        </w:rPr>
        <w:t xml:space="preserve"> собраний 11</w:t>
      </w:r>
      <w:r w:rsidR="009E6719" w:rsidRPr="008D3BA2">
        <w:rPr>
          <w:lang w:val="ru-RU"/>
        </w:rPr>
        <w:t xml:space="preserve"> исследовательских комиссий</w:t>
      </w:r>
      <w:r w:rsidR="007D6DF7" w:rsidRPr="008D3BA2">
        <w:rPr>
          <w:lang w:val="ru-RU"/>
        </w:rPr>
        <w:t xml:space="preserve"> МСЭ-Т, в которых участвуют представители </w:t>
      </w:r>
      <w:r w:rsidR="00D30C3B" w:rsidRPr="008D3BA2">
        <w:rPr>
          <w:lang w:val="ru-RU"/>
        </w:rPr>
        <w:t xml:space="preserve">всех </w:t>
      </w:r>
      <w:r w:rsidR="007D6DF7" w:rsidRPr="008D3BA2">
        <w:rPr>
          <w:lang w:val="ru-RU"/>
        </w:rPr>
        <w:t>регион</w:t>
      </w:r>
      <w:r w:rsidR="00D30C3B" w:rsidRPr="008D3BA2">
        <w:rPr>
          <w:lang w:val="ru-RU"/>
        </w:rPr>
        <w:t>ов</w:t>
      </w:r>
      <w:r w:rsidRPr="008D3BA2">
        <w:rPr>
          <w:lang w:val="ru-RU"/>
        </w:rPr>
        <w:t>.</w:t>
      </w:r>
    </w:p>
    <w:p w:rsidR="00AD0081" w:rsidRPr="008D3BA2" w:rsidRDefault="00AD0081" w:rsidP="00C416AD">
      <w:pPr>
        <w:pStyle w:val="Heading2"/>
        <w:rPr>
          <w:lang w:val="ru-RU"/>
        </w:rPr>
      </w:pPr>
      <w:r w:rsidRPr="008D3BA2">
        <w:rPr>
          <w:lang w:val="ru-RU"/>
        </w:rPr>
        <w:t>3.4</w:t>
      </w:r>
      <w:r w:rsidRPr="008D3BA2">
        <w:rPr>
          <w:lang w:val="ru-RU"/>
        </w:rPr>
        <w:tab/>
      </w:r>
      <w:r w:rsidR="00C416AD" w:rsidRPr="008D3BA2">
        <w:rPr>
          <w:lang w:val="ru-RU"/>
        </w:rPr>
        <w:t>Генеральный секретариат</w:t>
      </w:r>
    </w:p>
    <w:p w:rsidR="00AD0081" w:rsidRPr="008D3BA2" w:rsidRDefault="00AD0081" w:rsidP="00FC43A0">
      <w:pPr>
        <w:rPr>
          <w:lang w:val="ru-RU"/>
        </w:rPr>
      </w:pPr>
      <w:r w:rsidRPr="008D3BA2">
        <w:rPr>
          <w:lang w:val="ru-RU"/>
        </w:rPr>
        <w:t>3.4.1</w:t>
      </w:r>
      <w:r w:rsidRPr="008D3BA2">
        <w:rPr>
          <w:lang w:val="ru-RU"/>
        </w:rPr>
        <w:tab/>
      </w:r>
      <w:proofErr w:type="gramStart"/>
      <w:r w:rsidR="007D6DF7" w:rsidRPr="008D3BA2">
        <w:rPr>
          <w:lang w:val="ru-RU"/>
        </w:rPr>
        <w:t>С</w:t>
      </w:r>
      <w:proofErr w:type="gramEnd"/>
      <w:r w:rsidR="007D6DF7" w:rsidRPr="008D3BA2">
        <w:rPr>
          <w:lang w:val="ru-RU"/>
        </w:rPr>
        <w:t xml:space="preserve"> принятием </w:t>
      </w:r>
      <w:r w:rsidR="00C416AD" w:rsidRPr="008D3BA2">
        <w:rPr>
          <w:lang w:val="ru-RU"/>
        </w:rPr>
        <w:t>Повестки дня в области устойчивого развития на период до 2030 года, в которой признается важная роль ИКТ как одного из ключевых инструментов содействия достижению согласованных на глобальном уровне Целей в области устойчивого развития (ЦУР), будет и далее расширяться сотрудничество региональных и зональных отделений МСЭ с соответствующими региональными и другими международными организациями, занимающимися вопросами развития и финанс</w:t>
      </w:r>
      <w:r w:rsidR="00FC43A0" w:rsidRPr="008D3BA2">
        <w:rPr>
          <w:lang w:val="ru-RU"/>
        </w:rPr>
        <w:t>ирования. Буду</w:t>
      </w:r>
      <w:r w:rsidR="00C416AD" w:rsidRPr="008D3BA2">
        <w:rPr>
          <w:lang w:val="ru-RU"/>
        </w:rPr>
        <w:t>т использова</w:t>
      </w:r>
      <w:r w:rsidR="00FC43A0" w:rsidRPr="008D3BA2">
        <w:rPr>
          <w:lang w:val="ru-RU"/>
        </w:rPr>
        <w:t xml:space="preserve">ться возможности Членов </w:t>
      </w:r>
      <w:r w:rsidR="00C416AD" w:rsidRPr="008D3BA2">
        <w:rPr>
          <w:lang w:val="ru-RU"/>
        </w:rPr>
        <w:t>МСЭ в системе развития ООН и рол</w:t>
      </w:r>
      <w:r w:rsidR="00FC43A0" w:rsidRPr="008D3BA2">
        <w:rPr>
          <w:lang w:val="ru-RU"/>
        </w:rPr>
        <w:t>ь</w:t>
      </w:r>
      <w:r w:rsidR="00C416AD" w:rsidRPr="008D3BA2">
        <w:rPr>
          <w:lang w:val="ru-RU"/>
        </w:rPr>
        <w:t xml:space="preserve"> </w:t>
      </w:r>
      <w:r w:rsidR="007D6DF7" w:rsidRPr="008D3BA2">
        <w:rPr>
          <w:lang w:val="ru-RU"/>
        </w:rPr>
        <w:t xml:space="preserve">Союза </w:t>
      </w:r>
      <w:r w:rsidR="00C416AD" w:rsidRPr="008D3BA2">
        <w:rPr>
          <w:lang w:val="ru-RU"/>
        </w:rPr>
        <w:t xml:space="preserve">как организации, вносящей финансовый вклад в систему координаторов-резидентов ООН, для обеспечения должного отражения </w:t>
      </w:r>
      <w:r w:rsidR="007D6DF7" w:rsidRPr="008D3BA2">
        <w:rPr>
          <w:lang w:val="ru-RU"/>
        </w:rPr>
        <w:t xml:space="preserve">вопросов использования </w:t>
      </w:r>
      <w:r w:rsidR="00C416AD" w:rsidRPr="008D3BA2">
        <w:rPr>
          <w:lang w:val="ru-RU"/>
        </w:rPr>
        <w:t xml:space="preserve">ИКТ </w:t>
      </w:r>
      <w:r w:rsidR="007D6DF7" w:rsidRPr="008D3BA2">
        <w:rPr>
          <w:lang w:val="ru-RU"/>
        </w:rPr>
        <w:t xml:space="preserve">для создания благоприятных условий </w:t>
      </w:r>
      <w:r w:rsidR="00C416AD" w:rsidRPr="008D3BA2">
        <w:rPr>
          <w:lang w:val="ru-RU"/>
        </w:rPr>
        <w:t>в Рамочной программе Организации Объединенных Наций по оказанию помощи в целях развит</w:t>
      </w:r>
      <w:r w:rsidR="007D6DF7" w:rsidRPr="008D3BA2">
        <w:rPr>
          <w:lang w:val="ru-RU"/>
        </w:rPr>
        <w:t>ия (</w:t>
      </w:r>
      <w:proofErr w:type="spellStart"/>
      <w:r w:rsidR="007D6DF7" w:rsidRPr="008D3BA2">
        <w:rPr>
          <w:lang w:val="ru-RU"/>
        </w:rPr>
        <w:t>РПООНПР</w:t>
      </w:r>
      <w:proofErr w:type="spellEnd"/>
      <w:r w:rsidR="007D6DF7" w:rsidRPr="008D3BA2">
        <w:rPr>
          <w:lang w:val="ru-RU"/>
        </w:rPr>
        <w:t>) и в аналогичных</w:t>
      </w:r>
      <w:r w:rsidR="00C416AD" w:rsidRPr="008D3BA2">
        <w:rPr>
          <w:lang w:val="ru-RU"/>
        </w:rPr>
        <w:t xml:space="preserve"> документах, а также в стратегиях сокращения масштабов нищеты.</w:t>
      </w:r>
    </w:p>
    <w:p w:rsidR="00AD0081" w:rsidRPr="008D3BA2" w:rsidRDefault="00AD0081" w:rsidP="006436B4">
      <w:pPr>
        <w:rPr>
          <w:lang w:val="ru-RU"/>
        </w:rPr>
      </w:pPr>
      <w:r w:rsidRPr="008D3BA2">
        <w:rPr>
          <w:lang w:val="ru-RU"/>
        </w:rPr>
        <w:t>3.4.2</w:t>
      </w:r>
      <w:r w:rsidRPr="008D3BA2">
        <w:rPr>
          <w:lang w:val="ru-RU"/>
        </w:rPr>
        <w:tab/>
      </w:r>
      <w:r w:rsidR="00166B0E" w:rsidRPr="008D3BA2">
        <w:rPr>
          <w:lang w:val="ru-RU"/>
        </w:rPr>
        <w:t xml:space="preserve">Совет МСЭ 2016 года </w:t>
      </w:r>
      <w:r w:rsidR="00FC43A0" w:rsidRPr="008D3BA2">
        <w:rPr>
          <w:lang w:val="ru-RU"/>
        </w:rPr>
        <w:t xml:space="preserve">принял решение </w:t>
      </w:r>
      <w:r w:rsidR="00166B0E" w:rsidRPr="008D3BA2">
        <w:rPr>
          <w:lang w:val="ru-RU"/>
        </w:rPr>
        <w:t xml:space="preserve">использовать формат ВВУИО в качестве основы, с помощью которой МСЭ оказывает содействие в </w:t>
      </w:r>
      <w:r w:rsidR="008B701A" w:rsidRPr="008D3BA2">
        <w:rPr>
          <w:lang w:val="ru-RU"/>
        </w:rPr>
        <w:t xml:space="preserve">осуществлении </w:t>
      </w:r>
      <w:r w:rsidR="00166B0E" w:rsidRPr="008D3BA2">
        <w:rPr>
          <w:lang w:val="ru-RU"/>
        </w:rPr>
        <w:t>Повестки дня на период до 2030 года в рамках мандата МСЭ и в пределах ресурсов, выделенных в финансовом плане и двухгодичном бюджете,</w:t>
      </w:r>
      <w:r w:rsidR="008B701A" w:rsidRPr="008D3BA2">
        <w:rPr>
          <w:lang w:val="ru-RU"/>
        </w:rPr>
        <w:t xml:space="preserve"> с учетом</w:t>
      </w:r>
      <w:r w:rsidR="00166B0E" w:rsidRPr="008D3BA2">
        <w:rPr>
          <w:lang w:val="ru-RU"/>
        </w:rPr>
        <w:t xml:space="preserve"> </w:t>
      </w:r>
      <w:r w:rsidR="008B701A" w:rsidRPr="008D3BA2">
        <w:rPr>
          <w:lang w:val="ru-RU"/>
        </w:rPr>
        <w:t xml:space="preserve">разработанной учреждениями ООН </w:t>
      </w:r>
      <w:r w:rsidR="00166B0E" w:rsidRPr="008D3BA2">
        <w:rPr>
          <w:lang w:val="ru-RU"/>
        </w:rPr>
        <w:t>Матриц</w:t>
      </w:r>
      <w:r w:rsidR="008B701A" w:rsidRPr="008D3BA2">
        <w:rPr>
          <w:lang w:val="ru-RU"/>
        </w:rPr>
        <w:t>ы</w:t>
      </w:r>
      <w:r w:rsidR="00166B0E" w:rsidRPr="008D3BA2">
        <w:rPr>
          <w:lang w:val="ru-RU"/>
        </w:rPr>
        <w:t xml:space="preserve"> ВВУИО-ЦУР</w:t>
      </w:r>
      <w:r w:rsidRPr="008D3BA2">
        <w:rPr>
          <w:lang w:val="ru-RU"/>
        </w:rPr>
        <w:t>.</w:t>
      </w:r>
      <w:r w:rsidR="00166B0E" w:rsidRPr="008D3BA2">
        <w:rPr>
          <w:lang w:val="ru-RU"/>
        </w:rPr>
        <w:t xml:space="preserve"> Для повышения </w:t>
      </w:r>
      <w:r w:rsidR="00166B0E" w:rsidRPr="008D3BA2">
        <w:rPr>
          <w:lang w:val="ru-RU"/>
        </w:rPr>
        <w:lastRenderedPageBreak/>
        <w:t xml:space="preserve">эффективности выполнения решений ВВУИО на региональном уровне региональным и зональным отделениям МСЭ рекомендуется продолжать координацию и сотрудничество на региональном уровне (с помощью Группы по ВВУИО) с региональными экономическими комиссиями ООН и </w:t>
      </w:r>
      <w:r w:rsidR="00166B0E" w:rsidRPr="008D3BA2">
        <w:rPr>
          <w:color w:val="000000"/>
          <w:lang w:val="ru-RU"/>
        </w:rPr>
        <w:t>Группой ООН по вопросам регионального развития, а также со всеми учреждениями ООН (в</w:t>
      </w:r>
      <w:r w:rsidR="006436B4" w:rsidRPr="008D3BA2">
        <w:rPr>
          <w:color w:val="000000"/>
          <w:lang w:val="ru-RU"/>
        </w:rPr>
        <w:t xml:space="preserve"> особенности с</w:t>
      </w:r>
      <w:r w:rsidR="00166B0E" w:rsidRPr="008D3BA2">
        <w:rPr>
          <w:color w:val="000000"/>
          <w:lang w:val="ru-RU"/>
        </w:rPr>
        <w:t xml:space="preserve"> содействующими организациями по направлениям деятельности ВВУИО), другими соответствующими региональными организациями, в частности, в области электросвязи/ИКТ, в целях согласования процессов ВВУИО и ЦУР и их осуществления в соответствии с </w:t>
      </w:r>
      <w:r w:rsidR="008704BF" w:rsidRPr="008D3BA2">
        <w:rPr>
          <w:color w:val="000000"/>
          <w:lang w:val="ru-RU"/>
        </w:rPr>
        <w:t xml:space="preserve">резолюцией </w:t>
      </w:r>
      <w:r w:rsidR="00166B0E" w:rsidRPr="008D3BA2">
        <w:rPr>
          <w:lang w:val="ru-RU"/>
        </w:rPr>
        <w:t xml:space="preserve">70/125 ГА ООН, </w:t>
      </w:r>
      <w:r w:rsidR="00166B0E" w:rsidRPr="008D3BA2">
        <w:rPr>
          <w:color w:val="000000"/>
          <w:lang w:val="ru-RU"/>
        </w:rPr>
        <w:t>развития партнерских отношений для реализации межучрежденческих проектов и проектов с участием многих заинтересованных сторон, достижения прогресса в реализации Направлений деятельности ВВУИО и ускорения достижения ЦУР, а также укрепления регионального вклада в Форум ВВУИО, награды ВВУИО и аналитическую базу ВВУИО.</w:t>
      </w:r>
    </w:p>
    <w:p w:rsidR="00AD0081" w:rsidRPr="008D3BA2" w:rsidRDefault="00AD0081" w:rsidP="0094532A">
      <w:pPr>
        <w:pStyle w:val="Heading1"/>
        <w:rPr>
          <w:lang w:val="ru-RU"/>
        </w:rPr>
      </w:pPr>
      <w:r w:rsidRPr="008D3BA2">
        <w:rPr>
          <w:lang w:val="ru-RU"/>
        </w:rPr>
        <w:t>4</w:t>
      </w:r>
      <w:r w:rsidRPr="008D3BA2">
        <w:rPr>
          <w:lang w:val="ru-RU"/>
        </w:rPr>
        <w:tab/>
      </w:r>
      <w:r w:rsidR="00B40FF5" w:rsidRPr="008D3BA2">
        <w:rPr>
          <w:lang w:val="ru-RU"/>
        </w:rPr>
        <w:t xml:space="preserve">Структура и </w:t>
      </w:r>
      <w:r w:rsidR="0094532A" w:rsidRPr="008D3BA2">
        <w:rPr>
          <w:lang w:val="ru-RU"/>
        </w:rPr>
        <w:t xml:space="preserve">уровень </w:t>
      </w:r>
      <w:r w:rsidR="00B40FF5" w:rsidRPr="008D3BA2">
        <w:rPr>
          <w:lang w:val="ru-RU"/>
        </w:rPr>
        <w:t>укомплектованност</w:t>
      </w:r>
      <w:r w:rsidR="0094532A" w:rsidRPr="008D3BA2">
        <w:rPr>
          <w:lang w:val="ru-RU"/>
        </w:rPr>
        <w:t>и</w:t>
      </w:r>
      <w:r w:rsidR="00B40FF5" w:rsidRPr="008D3BA2">
        <w:rPr>
          <w:lang w:val="ru-RU"/>
        </w:rPr>
        <w:t xml:space="preserve"> штатов</w:t>
      </w:r>
    </w:p>
    <w:p w:rsidR="00B40FF5" w:rsidRPr="008D3BA2" w:rsidRDefault="00AD0081" w:rsidP="0094532A">
      <w:pPr>
        <w:rPr>
          <w:lang w:val="ru-RU"/>
        </w:rPr>
      </w:pPr>
      <w:r w:rsidRPr="008D3BA2">
        <w:rPr>
          <w:lang w:val="ru-RU"/>
        </w:rPr>
        <w:t>4.1</w:t>
      </w:r>
      <w:r w:rsidRPr="008D3BA2">
        <w:rPr>
          <w:lang w:val="ru-RU"/>
        </w:rPr>
        <w:tab/>
      </w:r>
      <w:r w:rsidR="00B40FF5" w:rsidRPr="008D3BA2">
        <w:rPr>
          <w:rFonts w:asciiTheme="minorHAnsi" w:hAnsiTheme="minorHAnsi" w:cstheme="minorHAnsi"/>
          <w:szCs w:val="22"/>
          <w:lang w:val="ru-RU"/>
        </w:rPr>
        <w:t xml:space="preserve">В Приложениях 5 и 6 </w:t>
      </w:r>
      <w:r w:rsidR="00B40FF5" w:rsidRPr="008D3BA2">
        <w:rPr>
          <w:lang w:val="ru-RU"/>
        </w:rPr>
        <w:t>к Документу</w:t>
      </w:r>
      <w:r w:rsidRPr="008D3BA2">
        <w:rPr>
          <w:lang w:val="ru-RU"/>
        </w:rPr>
        <w:t xml:space="preserve"> </w:t>
      </w:r>
      <w:hyperlink r:id="rId18" w:history="1">
        <w:proofErr w:type="spellStart"/>
        <w:r w:rsidRPr="008D3BA2">
          <w:rPr>
            <w:rStyle w:val="Hyperlink"/>
            <w:lang w:val="ru-RU"/>
          </w:rPr>
          <w:t>C18</w:t>
        </w:r>
        <w:proofErr w:type="spellEnd"/>
        <w:r w:rsidRPr="008D3BA2">
          <w:rPr>
            <w:rStyle w:val="Hyperlink"/>
            <w:lang w:val="ru-RU"/>
          </w:rPr>
          <w:t>/</w:t>
        </w:r>
        <w:proofErr w:type="spellStart"/>
        <w:r w:rsidRPr="008D3BA2">
          <w:rPr>
            <w:rStyle w:val="Hyperlink"/>
            <w:lang w:val="ru-RU"/>
          </w:rPr>
          <w:t>INF</w:t>
        </w:r>
        <w:proofErr w:type="spellEnd"/>
        <w:r w:rsidRPr="008D3BA2">
          <w:rPr>
            <w:rStyle w:val="Hyperlink"/>
            <w:lang w:val="ru-RU"/>
          </w:rPr>
          <w:t>/6</w:t>
        </w:r>
      </w:hyperlink>
      <w:r w:rsidRPr="008D3BA2">
        <w:rPr>
          <w:lang w:val="ru-RU"/>
        </w:rPr>
        <w:t xml:space="preserve"> </w:t>
      </w:r>
      <w:r w:rsidR="00B40FF5" w:rsidRPr="008D3BA2">
        <w:rPr>
          <w:lang w:val="ru-RU"/>
        </w:rPr>
        <w:t>представлены уровни укомплектованности штатов региональных и зональных отде</w:t>
      </w:r>
      <w:r w:rsidR="009F35C9" w:rsidRPr="008D3BA2">
        <w:rPr>
          <w:lang w:val="ru-RU"/>
        </w:rPr>
        <w:t>лений по состоянию на конец 2017</w:t>
      </w:r>
      <w:r w:rsidR="00B40FF5" w:rsidRPr="008D3BA2">
        <w:rPr>
          <w:lang w:val="ru-RU"/>
        </w:rPr>
        <w:t xml:space="preserve"> года в разбивке по классам, регионам и отделениям</w:t>
      </w:r>
      <w:r w:rsidRPr="008D3BA2">
        <w:rPr>
          <w:lang w:val="ru-RU"/>
        </w:rPr>
        <w:t xml:space="preserve">. </w:t>
      </w:r>
      <w:r w:rsidR="00B40FF5" w:rsidRPr="008D3BA2">
        <w:rPr>
          <w:lang w:val="ru-RU"/>
        </w:rPr>
        <w:t xml:space="preserve">Структура БРЭ </w:t>
      </w:r>
      <w:r w:rsidR="009F35C9" w:rsidRPr="008D3BA2">
        <w:rPr>
          <w:lang w:val="ru-RU"/>
        </w:rPr>
        <w:t xml:space="preserve">по-прежнему </w:t>
      </w:r>
      <w:r w:rsidR="00B40FF5" w:rsidRPr="008D3BA2">
        <w:rPr>
          <w:lang w:val="ru-RU"/>
        </w:rPr>
        <w:t xml:space="preserve">обеспечивает прочную основу для </w:t>
      </w:r>
      <w:r w:rsidR="0094532A" w:rsidRPr="008D3BA2">
        <w:rPr>
          <w:lang w:val="ru-RU"/>
        </w:rPr>
        <w:t xml:space="preserve">организации </w:t>
      </w:r>
      <w:r w:rsidR="00B40FF5" w:rsidRPr="008D3BA2">
        <w:rPr>
          <w:lang w:val="ru-RU"/>
        </w:rPr>
        <w:t xml:space="preserve">горизонтальных связей между штаб-квартирой и отделениями на местах </w:t>
      </w:r>
      <w:r w:rsidR="0094532A" w:rsidRPr="008D3BA2">
        <w:rPr>
          <w:lang w:val="ru-RU"/>
        </w:rPr>
        <w:t xml:space="preserve">в целях </w:t>
      </w:r>
      <w:r w:rsidR="00B40FF5" w:rsidRPr="008D3BA2">
        <w:rPr>
          <w:lang w:val="ru-RU"/>
        </w:rPr>
        <w:t>реализации проектов</w:t>
      </w:r>
      <w:r w:rsidRPr="008D3BA2">
        <w:rPr>
          <w:lang w:val="ru-RU"/>
        </w:rPr>
        <w:t xml:space="preserve">. </w:t>
      </w:r>
      <w:r w:rsidR="00B40FF5" w:rsidRPr="008D3BA2">
        <w:rPr>
          <w:rFonts w:asciiTheme="minorHAnsi" w:hAnsiTheme="minorHAnsi" w:cstheme="minorHAnsi"/>
          <w:szCs w:val="22"/>
          <w:lang w:val="ru-RU"/>
        </w:rPr>
        <w:t>В с</w:t>
      </w:r>
      <w:r w:rsidR="00B40FF5" w:rsidRPr="008D3BA2">
        <w:rPr>
          <w:szCs w:val="22"/>
          <w:lang w:val="ru-RU"/>
        </w:rPr>
        <w:t>труктуре и уровне укомплектованности штатов различных региональных и зональных отделений учитываются рекомендации Объединенной инспекционной группы Организации Объединенных Наций о путях совершенствования регионального присутствия МСЭ, а также о необходимости более эффективного реагирования на ожидания членов</w:t>
      </w:r>
      <w:r w:rsidR="00B40FF5" w:rsidRPr="008D3BA2">
        <w:rPr>
          <w:rFonts w:cstheme="minorHAnsi"/>
          <w:szCs w:val="22"/>
          <w:lang w:val="ru-RU"/>
        </w:rPr>
        <w:t>.</w:t>
      </w:r>
    </w:p>
    <w:p w:rsidR="00B40FF5" w:rsidRPr="008D3BA2" w:rsidRDefault="00AD0081" w:rsidP="0094532A">
      <w:pPr>
        <w:rPr>
          <w:lang w:val="ru-RU"/>
        </w:rPr>
      </w:pPr>
      <w:r w:rsidRPr="008D3BA2">
        <w:rPr>
          <w:lang w:val="ru-RU"/>
        </w:rPr>
        <w:t>4.2</w:t>
      </w:r>
      <w:r w:rsidRPr="008D3BA2">
        <w:rPr>
          <w:lang w:val="ru-RU"/>
        </w:rPr>
        <w:tab/>
      </w:r>
      <w:r w:rsidR="00B40FF5" w:rsidRPr="008D3BA2">
        <w:rPr>
          <w:szCs w:val="22"/>
          <w:lang w:val="ru-RU"/>
        </w:rPr>
        <w:t xml:space="preserve">Директора региональных отделений </w:t>
      </w:r>
      <w:r w:rsidR="009F35C9" w:rsidRPr="008D3BA2">
        <w:rPr>
          <w:szCs w:val="22"/>
          <w:lang w:val="ru-RU"/>
        </w:rPr>
        <w:t xml:space="preserve">подотчетны </w:t>
      </w:r>
      <w:r w:rsidR="00B40FF5" w:rsidRPr="008D3BA2">
        <w:rPr>
          <w:szCs w:val="22"/>
          <w:lang w:val="ru-RU"/>
        </w:rPr>
        <w:t>непосредственно Директор</w:t>
      </w:r>
      <w:r w:rsidR="009F35C9" w:rsidRPr="008D3BA2">
        <w:rPr>
          <w:szCs w:val="22"/>
          <w:lang w:val="ru-RU"/>
        </w:rPr>
        <w:t>у</w:t>
      </w:r>
      <w:r w:rsidR="00B40FF5" w:rsidRPr="008D3BA2">
        <w:rPr>
          <w:szCs w:val="22"/>
          <w:lang w:val="ru-RU"/>
        </w:rPr>
        <w:t xml:space="preserve"> БРЭ. </w:t>
      </w:r>
      <w:r w:rsidR="0094532A" w:rsidRPr="008D3BA2">
        <w:rPr>
          <w:szCs w:val="22"/>
          <w:lang w:val="ru-RU"/>
        </w:rPr>
        <w:t xml:space="preserve">Они </w:t>
      </w:r>
      <w:r w:rsidR="00B40FF5" w:rsidRPr="008D3BA2">
        <w:rPr>
          <w:szCs w:val="22"/>
          <w:lang w:val="ru-RU"/>
        </w:rPr>
        <w:t>являются членами Комитета управления БРЭ (</w:t>
      </w:r>
      <w:proofErr w:type="spellStart"/>
      <w:r w:rsidR="00B40FF5" w:rsidRPr="008D3BA2">
        <w:rPr>
          <w:szCs w:val="22"/>
          <w:lang w:val="ru-RU"/>
        </w:rPr>
        <w:t>МанКом</w:t>
      </w:r>
      <w:proofErr w:type="spellEnd"/>
      <w:r w:rsidR="00B40FF5" w:rsidRPr="008D3BA2">
        <w:rPr>
          <w:szCs w:val="22"/>
          <w:lang w:val="ru-RU"/>
        </w:rPr>
        <w:t>) и в этом качестве принимают непосредственное участие в обсуждении ключевых стратегических и политических вопросов, затрагивающих деятельность БРЭ, включая подготовку бюджета и распределение ресурсов.</w:t>
      </w:r>
    </w:p>
    <w:p w:rsidR="00AD0081" w:rsidRPr="008D3BA2" w:rsidRDefault="00AD0081" w:rsidP="009F35C9">
      <w:pPr>
        <w:rPr>
          <w:lang w:val="ru-RU"/>
        </w:rPr>
      </w:pPr>
      <w:r w:rsidRPr="008D3BA2">
        <w:rPr>
          <w:lang w:val="ru-RU"/>
        </w:rPr>
        <w:t>4.3</w:t>
      </w:r>
      <w:r w:rsidRPr="008D3BA2">
        <w:rPr>
          <w:lang w:val="ru-RU"/>
        </w:rPr>
        <w:tab/>
      </w:r>
      <w:r w:rsidR="00B40FF5" w:rsidRPr="008D3BA2">
        <w:rPr>
          <w:lang w:val="ru-RU"/>
        </w:rPr>
        <w:t>Продолжает укрепляться потенциал региональных и зональных отделений в конкретных областях деятельности путем привлечения ассоциированных технических экспертов и вспомогательного персонала в рамках региональных инициатив и проектов</w:t>
      </w:r>
      <w:r w:rsidR="009F35C9" w:rsidRPr="008D3BA2">
        <w:rPr>
          <w:lang w:val="ru-RU"/>
        </w:rPr>
        <w:t xml:space="preserve"> с использованием сетей высококвалифицированных экспертов</w:t>
      </w:r>
      <w:r w:rsidRPr="008D3BA2">
        <w:rPr>
          <w:lang w:val="ru-RU"/>
        </w:rPr>
        <w:t>.</w:t>
      </w:r>
    </w:p>
    <w:p w:rsidR="00B40FF5" w:rsidRPr="008D3BA2" w:rsidRDefault="00AD0081" w:rsidP="0094532A">
      <w:pPr>
        <w:rPr>
          <w:lang w:val="ru-RU"/>
        </w:rPr>
      </w:pPr>
      <w:r w:rsidRPr="008D3BA2">
        <w:rPr>
          <w:lang w:val="ru-RU"/>
        </w:rPr>
        <w:t>4.4</w:t>
      </w:r>
      <w:r w:rsidRPr="008D3BA2">
        <w:rPr>
          <w:lang w:val="ru-RU"/>
        </w:rPr>
        <w:tab/>
      </w:r>
      <w:r w:rsidR="00B40FF5" w:rsidRPr="008D3BA2">
        <w:rPr>
          <w:lang w:val="ru-RU"/>
        </w:rPr>
        <w:t>На</w:t>
      </w:r>
      <w:r w:rsidR="0094532A" w:rsidRPr="008D3BA2">
        <w:rPr>
          <w:lang w:val="ru-RU"/>
        </w:rPr>
        <w:t xml:space="preserve">ряду с этим продолжаются усилия, направленные на </w:t>
      </w:r>
      <w:r w:rsidR="00E50178" w:rsidRPr="008D3BA2">
        <w:rPr>
          <w:lang w:val="ru-RU"/>
        </w:rPr>
        <w:t>поощрени</w:t>
      </w:r>
      <w:r w:rsidR="0094532A" w:rsidRPr="008D3BA2">
        <w:rPr>
          <w:lang w:val="ru-RU"/>
        </w:rPr>
        <w:t>е рассмотрения</w:t>
      </w:r>
      <w:r w:rsidR="00E50178" w:rsidRPr="008D3BA2">
        <w:rPr>
          <w:lang w:val="ru-RU"/>
        </w:rPr>
        <w:t xml:space="preserve"> </w:t>
      </w:r>
      <w:r w:rsidR="00B40FF5" w:rsidRPr="008D3BA2">
        <w:rPr>
          <w:lang w:val="ru-RU"/>
        </w:rPr>
        <w:t>Государств</w:t>
      </w:r>
      <w:r w:rsidR="0094532A" w:rsidRPr="008D3BA2">
        <w:rPr>
          <w:lang w:val="ru-RU"/>
        </w:rPr>
        <w:t>ами</w:t>
      </w:r>
      <w:r w:rsidR="00B40FF5" w:rsidRPr="008D3BA2">
        <w:rPr>
          <w:lang w:val="ru-RU"/>
        </w:rPr>
        <w:t>-Член</w:t>
      </w:r>
      <w:r w:rsidR="0094532A" w:rsidRPr="008D3BA2">
        <w:rPr>
          <w:lang w:val="ru-RU"/>
        </w:rPr>
        <w:t>ами</w:t>
      </w:r>
      <w:r w:rsidR="00E50178" w:rsidRPr="008D3BA2">
        <w:rPr>
          <w:lang w:val="ru-RU"/>
        </w:rPr>
        <w:t xml:space="preserve"> </w:t>
      </w:r>
      <w:r w:rsidR="00B40FF5" w:rsidRPr="008D3BA2">
        <w:rPr>
          <w:lang w:val="ru-RU"/>
        </w:rPr>
        <w:t>возможност</w:t>
      </w:r>
      <w:r w:rsidR="0094532A" w:rsidRPr="008D3BA2">
        <w:rPr>
          <w:lang w:val="ru-RU"/>
        </w:rPr>
        <w:t>и</w:t>
      </w:r>
      <w:r w:rsidR="00B40FF5" w:rsidRPr="008D3BA2">
        <w:rPr>
          <w:lang w:val="ru-RU"/>
        </w:rPr>
        <w:t xml:space="preserve"> откомандирования своих специалистов в региональные и зональные отделения МСЭ, в том числе </w:t>
      </w:r>
      <w:r w:rsidR="0094532A" w:rsidRPr="008D3BA2">
        <w:rPr>
          <w:lang w:val="ru-RU"/>
        </w:rPr>
        <w:t xml:space="preserve">в рамках </w:t>
      </w:r>
      <w:r w:rsidR="00B40FF5" w:rsidRPr="008D3BA2">
        <w:rPr>
          <w:lang w:val="ru-RU"/>
        </w:rPr>
        <w:t>участия в программе для младших сотрудников категории специалистов (</w:t>
      </w:r>
      <w:proofErr w:type="spellStart"/>
      <w:r w:rsidR="00B40FF5" w:rsidRPr="008D3BA2">
        <w:rPr>
          <w:lang w:val="ru-RU"/>
        </w:rPr>
        <w:t>JPO</w:t>
      </w:r>
      <w:proofErr w:type="spellEnd"/>
      <w:r w:rsidR="00B40FF5" w:rsidRPr="008D3BA2">
        <w:rPr>
          <w:lang w:val="ru-RU"/>
        </w:rPr>
        <w:t>) и программе Добровольцев Организации Объединенных Наций (</w:t>
      </w:r>
      <w:proofErr w:type="spellStart"/>
      <w:r w:rsidR="00B40FF5" w:rsidRPr="008D3BA2">
        <w:rPr>
          <w:lang w:val="ru-RU"/>
        </w:rPr>
        <w:t>ДООН</w:t>
      </w:r>
      <w:proofErr w:type="spellEnd"/>
      <w:r w:rsidR="00B40FF5" w:rsidRPr="008D3BA2">
        <w:rPr>
          <w:lang w:val="ru-RU"/>
        </w:rPr>
        <w:t>).</w:t>
      </w:r>
    </w:p>
    <w:p w:rsidR="00AD0081" w:rsidRPr="008D3BA2" w:rsidRDefault="00AD0081" w:rsidP="00792163">
      <w:pPr>
        <w:pStyle w:val="Heading1"/>
        <w:rPr>
          <w:lang w:val="ru-RU"/>
        </w:rPr>
      </w:pPr>
      <w:r w:rsidRPr="008D3BA2">
        <w:rPr>
          <w:lang w:val="ru-RU"/>
        </w:rPr>
        <w:t>5</w:t>
      </w:r>
      <w:r w:rsidRPr="008D3BA2">
        <w:rPr>
          <w:lang w:val="ru-RU"/>
        </w:rPr>
        <w:tab/>
      </w:r>
      <w:r w:rsidR="00792163" w:rsidRPr="008D3BA2">
        <w:rPr>
          <w:lang w:val="ru-RU"/>
        </w:rPr>
        <w:t>Поддержка деятельности, направленной на расширение прав и возможностей региональных и зональных отделений</w:t>
      </w:r>
    </w:p>
    <w:p w:rsidR="00792163" w:rsidRPr="008D3BA2" w:rsidRDefault="00AD0081" w:rsidP="00E50178">
      <w:pPr>
        <w:rPr>
          <w:lang w:val="ru-RU"/>
        </w:rPr>
      </w:pPr>
      <w:r w:rsidRPr="008D3BA2">
        <w:rPr>
          <w:lang w:val="ru-RU"/>
        </w:rPr>
        <w:t>5.1</w:t>
      </w:r>
      <w:r w:rsidRPr="008D3BA2">
        <w:rPr>
          <w:lang w:val="ru-RU"/>
        </w:rPr>
        <w:tab/>
      </w:r>
      <w:r w:rsidR="00E50178" w:rsidRPr="008D3BA2">
        <w:rPr>
          <w:rFonts w:eastAsia="Arial Unicode MS" w:cstheme="minorHAnsi"/>
          <w:szCs w:val="22"/>
          <w:lang w:val="ru-RU"/>
        </w:rPr>
        <w:t xml:space="preserve">Как указано в Документе </w:t>
      </w:r>
      <w:proofErr w:type="spellStart"/>
      <w:r w:rsidR="00E50178" w:rsidRPr="008D3BA2">
        <w:rPr>
          <w:rFonts w:eastAsia="Arial Unicode MS" w:cstheme="minorHAnsi"/>
          <w:szCs w:val="22"/>
          <w:lang w:val="ru-RU"/>
        </w:rPr>
        <w:t>С17</w:t>
      </w:r>
      <w:proofErr w:type="spellEnd"/>
      <w:r w:rsidR="00E50178" w:rsidRPr="008D3BA2">
        <w:rPr>
          <w:rFonts w:eastAsia="Arial Unicode MS" w:cstheme="minorHAnsi"/>
          <w:szCs w:val="22"/>
          <w:lang w:val="ru-RU"/>
        </w:rPr>
        <w:t>/25, представленном Совету 2017 года, в</w:t>
      </w:r>
      <w:r w:rsidR="00792163" w:rsidRPr="008D3BA2">
        <w:rPr>
          <w:rFonts w:eastAsia="Arial Unicode MS" w:cstheme="minorHAnsi"/>
          <w:szCs w:val="22"/>
          <w:lang w:val="ru-RU"/>
        </w:rPr>
        <w:t xml:space="preserve"> соответствии с рекомендацией внутреннего аудитора было разработано Руководство по управлению денежными средствами и финансовым вопросам для региональных/зональных отделений МСЭ, которое было направлено в региональные/зональные отделения.</w:t>
      </w:r>
    </w:p>
    <w:p w:rsidR="00792163" w:rsidRPr="008D3BA2" w:rsidRDefault="00AD0081" w:rsidP="00E50178">
      <w:pPr>
        <w:rPr>
          <w:lang w:val="ru-RU"/>
        </w:rPr>
      </w:pPr>
      <w:r w:rsidRPr="008D3BA2">
        <w:rPr>
          <w:lang w:val="ru-RU"/>
        </w:rPr>
        <w:t>5.2</w:t>
      </w:r>
      <w:r w:rsidRPr="008D3BA2">
        <w:rPr>
          <w:lang w:val="ru-RU"/>
        </w:rPr>
        <w:tab/>
      </w:r>
      <w:r w:rsidR="00792163" w:rsidRPr="008D3BA2">
        <w:rPr>
          <w:szCs w:val="22"/>
          <w:lang w:val="ru-RU"/>
        </w:rPr>
        <w:t xml:space="preserve">Региональным директорам </w:t>
      </w:r>
      <w:r w:rsidR="00E50178" w:rsidRPr="008D3BA2">
        <w:rPr>
          <w:szCs w:val="22"/>
          <w:lang w:val="ru-RU"/>
        </w:rPr>
        <w:t>по-прежнему делегируются</w:t>
      </w:r>
      <w:r w:rsidR="00792163" w:rsidRPr="008D3BA2">
        <w:rPr>
          <w:szCs w:val="22"/>
          <w:lang w:val="ru-RU"/>
        </w:rPr>
        <w:t xml:space="preserve"> более широкие полномочия не только в отношении проектов, но и в том, что касается выполнения Оперативного плана и реализации региональных инициатив, а именно</w:t>
      </w:r>
      <w:r w:rsidR="00792163" w:rsidRPr="008D3BA2">
        <w:rPr>
          <w:rFonts w:eastAsia="Arial Unicode MS" w:cstheme="minorHAnsi"/>
          <w:szCs w:val="22"/>
          <w:lang w:val="ru-RU"/>
        </w:rPr>
        <w:t>:</w:t>
      </w:r>
    </w:p>
    <w:p w:rsidR="00792163" w:rsidRPr="008D3BA2" w:rsidRDefault="00792163" w:rsidP="00792163">
      <w:pPr>
        <w:pStyle w:val="enumlev1"/>
        <w:rPr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  <w:t xml:space="preserve">подпись под </w:t>
      </w:r>
      <w:r w:rsidRPr="008D3BA2">
        <w:rPr>
          <w:color w:val="000000"/>
          <w:lang w:val="ru-RU"/>
        </w:rPr>
        <w:t>проектами</w:t>
      </w:r>
      <w:r w:rsidRPr="008D3BA2">
        <w:rPr>
          <w:lang w:val="ru-RU"/>
        </w:rPr>
        <w:t xml:space="preserve"> и соглашениями о сотрудничестве с бюджетом до 150 000 долл. США;</w:t>
      </w:r>
    </w:p>
    <w:p w:rsidR="00792163" w:rsidRPr="008D3BA2" w:rsidRDefault="00792163" w:rsidP="00F67C66">
      <w:pPr>
        <w:pStyle w:val="enumlev1"/>
        <w:rPr>
          <w:lang w:val="ru-RU"/>
        </w:rPr>
      </w:pPr>
      <w:r w:rsidRPr="008D3BA2">
        <w:rPr>
          <w:lang w:val="ru-RU"/>
        </w:rPr>
        <w:lastRenderedPageBreak/>
        <w:t>•</w:t>
      </w:r>
      <w:r w:rsidRPr="008D3BA2">
        <w:rPr>
          <w:lang w:val="ru-RU"/>
        </w:rPr>
        <w:tab/>
      </w:r>
      <w:r w:rsidR="00F67C66" w:rsidRPr="008D3BA2">
        <w:rPr>
          <w:lang w:val="ru-RU"/>
        </w:rPr>
        <w:t xml:space="preserve">оказание </w:t>
      </w:r>
      <w:r w:rsidRPr="008D3BA2">
        <w:rPr>
          <w:lang w:val="ru-RU"/>
        </w:rPr>
        <w:t>специальн</w:t>
      </w:r>
      <w:r w:rsidR="00F67C66" w:rsidRPr="008D3BA2">
        <w:rPr>
          <w:lang w:val="ru-RU"/>
        </w:rPr>
        <w:t>ой</w:t>
      </w:r>
      <w:r w:rsidRPr="008D3BA2">
        <w:rPr>
          <w:lang w:val="ru-RU"/>
        </w:rPr>
        <w:t xml:space="preserve"> </w:t>
      </w:r>
      <w:r w:rsidR="00F67C66" w:rsidRPr="008D3BA2">
        <w:rPr>
          <w:lang w:val="ru-RU"/>
        </w:rPr>
        <w:t>помощи</w:t>
      </w:r>
      <w:r w:rsidR="008603BF" w:rsidRPr="008D3BA2">
        <w:rPr>
          <w:lang w:val="ru-RU"/>
        </w:rPr>
        <w:t xml:space="preserve"> для принятия новых мер; </w:t>
      </w:r>
    </w:p>
    <w:p w:rsidR="00792163" w:rsidRPr="008D3BA2" w:rsidRDefault="00792163" w:rsidP="00F67C66">
      <w:pPr>
        <w:pStyle w:val="enumlev1"/>
        <w:rPr>
          <w:rFonts w:eastAsia="Arial Unicode MS" w:cstheme="minorHAnsi"/>
          <w:lang w:val="ru-RU"/>
        </w:rPr>
      </w:pPr>
      <w:r w:rsidRPr="008D3BA2">
        <w:rPr>
          <w:lang w:val="ru-RU"/>
        </w:rPr>
        <w:t>•</w:t>
      </w:r>
      <w:r w:rsidRPr="008D3BA2">
        <w:rPr>
          <w:lang w:val="ru-RU"/>
        </w:rPr>
        <w:tab/>
      </w:r>
      <w:r w:rsidR="00F67C66" w:rsidRPr="008D3BA2">
        <w:rPr>
          <w:lang w:val="ru-RU"/>
        </w:rPr>
        <w:t xml:space="preserve">подготовка </w:t>
      </w:r>
      <w:r w:rsidRPr="008D3BA2">
        <w:rPr>
          <w:lang w:val="ru-RU"/>
        </w:rPr>
        <w:t>Оперативн</w:t>
      </w:r>
      <w:r w:rsidR="00F67C66" w:rsidRPr="008D3BA2">
        <w:rPr>
          <w:lang w:val="ru-RU"/>
        </w:rPr>
        <w:t>ого</w:t>
      </w:r>
      <w:r w:rsidRPr="008D3BA2">
        <w:rPr>
          <w:lang w:val="ru-RU"/>
        </w:rPr>
        <w:t xml:space="preserve"> план</w:t>
      </w:r>
      <w:r w:rsidR="00F67C66" w:rsidRPr="008D3BA2">
        <w:rPr>
          <w:lang w:val="ru-RU"/>
        </w:rPr>
        <w:t>а</w:t>
      </w:r>
      <w:r w:rsidRPr="008D3BA2">
        <w:rPr>
          <w:lang w:val="ru-RU"/>
        </w:rPr>
        <w:t xml:space="preserve"> по распределению бюджета и управлению им.</w:t>
      </w:r>
    </w:p>
    <w:p w:rsidR="00792163" w:rsidRPr="008D3BA2" w:rsidRDefault="00AD0081" w:rsidP="00FD1604">
      <w:pPr>
        <w:rPr>
          <w:lang w:val="ru-RU"/>
        </w:rPr>
      </w:pPr>
      <w:r w:rsidRPr="008D3BA2">
        <w:rPr>
          <w:lang w:val="ru-RU"/>
        </w:rPr>
        <w:t>5.3</w:t>
      </w:r>
      <w:r w:rsidRPr="008D3BA2">
        <w:rPr>
          <w:lang w:val="ru-RU"/>
        </w:rPr>
        <w:tab/>
      </w:r>
      <w:r w:rsidR="00792163" w:rsidRPr="008D3BA2">
        <w:rPr>
          <w:lang w:val="ru-RU"/>
        </w:rPr>
        <w:t>Многие процессы были усовершенствованы, автоматизированы и стали доступными для региональных и зональных отделений через специализированный веб-портал, в том числе привлечение экспертов</w:t>
      </w:r>
      <w:r w:rsidR="00FD1604" w:rsidRPr="008D3BA2">
        <w:rPr>
          <w:lang w:val="ru-RU"/>
        </w:rPr>
        <w:t>, заявки на поездки,</w:t>
      </w:r>
      <w:r w:rsidR="00792163" w:rsidRPr="008D3BA2">
        <w:rPr>
          <w:lang w:val="ru-RU"/>
        </w:rPr>
        <w:t xml:space="preserve"> запросы на взятие обязательств по расходам</w:t>
      </w:r>
      <w:r w:rsidR="008603BF" w:rsidRPr="008D3BA2">
        <w:rPr>
          <w:lang w:val="ru-RU"/>
        </w:rPr>
        <w:t xml:space="preserve"> </w:t>
      </w:r>
      <w:r w:rsidR="008603BF" w:rsidRPr="008D3BA2">
        <w:rPr>
          <w:rFonts w:asciiTheme="minorHAnsi" w:hAnsiTheme="minorHAnsi" w:cstheme="minorHAnsi"/>
          <w:szCs w:val="24"/>
          <w:lang w:val="ru-RU"/>
        </w:rPr>
        <w:t>(</w:t>
      </w:r>
      <w:proofErr w:type="spellStart"/>
      <w:r w:rsidR="008603BF" w:rsidRPr="008D3BA2">
        <w:rPr>
          <w:rFonts w:asciiTheme="minorHAnsi" w:hAnsiTheme="minorHAnsi" w:cstheme="minorHAnsi"/>
          <w:szCs w:val="24"/>
          <w:lang w:val="ru-RU"/>
        </w:rPr>
        <w:t>SRM</w:t>
      </w:r>
      <w:proofErr w:type="spellEnd"/>
      <w:r w:rsidR="008603BF" w:rsidRPr="008D3BA2">
        <w:rPr>
          <w:rFonts w:asciiTheme="minorHAnsi" w:hAnsiTheme="minorHAnsi" w:cstheme="minorHAnsi"/>
          <w:szCs w:val="24"/>
          <w:lang w:val="ru-RU"/>
        </w:rPr>
        <w:t>)</w:t>
      </w:r>
      <w:r w:rsidR="00FD1604" w:rsidRPr="008D3BA2">
        <w:rPr>
          <w:rFonts w:asciiTheme="minorHAnsi" w:hAnsiTheme="minorHAnsi" w:cstheme="minorHAnsi"/>
          <w:szCs w:val="24"/>
          <w:lang w:val="ru-RU"/>
        </w:rPr>
        <w:t>,</w:t>
      </w:r>
      <w:r w:rsidR="00792163" w:rsidRPr="008D3BA2">
        <w:rPr>
          <w:lang w:val="ru-RU"/>
        </w:rPr>
        <w:t xml:space="preserve"> система плана действий/Оперативного плана (планирование, мониторинг, последующие действия)</w:t>
      </w:r>
      <w:r w:rsidR="00FD1604" w:rsidRPr="008D3BA2">
        <w:rPr>
          <w:lang w:val="ru-RU"/>
        </w:rPr>
        <w:t>,</w:t>
      </w:r>
      <w:r w:rsidR="00792163" w:rsidRPr="008D3BA2">
        <w:rPr>
          <w:lang w:val="ru-RU"/>
        </w:rPr>
        <w:t xml:space="preserve"> управление отношениями с поставщиками и координация мероприятий.</w:t>
      </w:r>
    </w:p>
    <w:p w:rsidR="00792163" w:rsidRPr="008D3BA2" w:rsidRDefault="00AD0081" w:rsidP="008603BF">
      <w:pPr>
        <w:rPr>
          <w:lang w:val="ru-RU"/>
        </w:rPr>
      </w:pPr>
      <w:r w:rsidRPr="008D3BA2">
        <w:rPr>
          <w:lang w:val="ru-RU"/>
        </w:rPr>
        <w:t>5.4</w:t>
      </w:r>
      <w:r w:rsidRPr="008D3BA2">
        <w:rPr>
          <w:lang w:val="ru-RU"/>
        </w:rPr>
        <w:tab/>
      </w:r>
      <w:r w:rsidR="008603BF" w:rsidRPr="008D3BA2">
        <w:rPr>
          <w:lang w:val="ru-RU"/>
        </w:rPr>
        <w:t xml:space="preserve">Продолжалось </w:t>
      </w:r>
      <w:r w:rsidR="00792163" w:rsidRPr="008D3BA2">
        <w:rPr>
          <w:lang w:val="ru-RU"/>
        </w:rPr>
        <w:t>расширен</w:t>
      </w:r>
      <w:r w:rsidR="008603BF" w:rsidRPr="008D3BA2">
        <w:rPr>
          <w:lang w:val="ru-RU"/>
        </w:rPr>
        <w:t>ие</w:t>
      </w:r>
      <w:r w:rsidR="00792163" w:rsidRPr="008D3BA2">
        <w:rPr>
          <w:lang w:val="ru-RU"/>
        </w:rPr>
        <w:t xml:space="preserve"> доступ</w:t>
      </w:r>
      <w:r w:rsidR="008603BF" w:rsidRPr="008D3BA2">
        <w:rPr>
          <w:lang w:val="ru-RU"/>
        </w:rPr>
        <w:t>а</w:t>
      </w:r>
      <w:r w:rsidR="00792163" w:rsidRPr="008D3BA2">
        <w:rPr>
          <w:lang w:val="ru-RU"/>
        </w:rPr>
        <w:t xml:space="preserve"> к информации о методах работы, в том числе об инструментах планирования мероприятий/проектов, мониторинга и представления отчетности, а также </w:t>
      </w:r>
      <w:r w:rsidR="008603BF" w:rsidRPr="008D3BA2">
        <w:rPr>
          <w:lang w:val="ru-RU"/>
        </w:rPr>
        <w:t xml:space="preserve">о </w:t>
      </w:r>
      <w:r w:rsidR="00792163" w:rsidRPr="008D3BA2">
        <w:rPr>
          <w:lang w:val="ru-RU"/>
        </w:rPr>
        <w:t>систем</w:t>
      </w:r>
      <w:r w:rsidR="008603BF" w:rsidRPr="008D3BA2">
        <w:rPr>
          <w:lang w:val="ru-RU"/>
        </w:rPr>
        <w:t>е</w:t>
      </w:r>
      <w:r w:rsidR="00792163" w:rsidRPr="008D3BA2">
        <w:rPr>
          <w:lang w:val="ru-RU"/>
        </w:rPr>
        <w:t xml:space="preserve"> Оперативного плана</w:t>
      </w:r>
      <w:r w:rsidR="008603BF" w:rsidRPr="008D3BA2">
        <w:rPr>
          <w:lang w:val="ru-RU"/>
        </w:rPr>
        <w:t xml:space="preserve"> (</w:t>
      </w:r>
      <w:proofErr w:type="spellStart"/>
      <w:r w:rsidR="008603BF" w:rsidRPr="008D3BA2">
        <w:rPr>
          <w:lang w:val="ru-RU"/>
        </w:rPr>
        <w:t>OPS</w:t>
      </w:r>
      <w:proofErr w:type="spellEnd"/>
      <w:r w:rsidR="008603BF" w:rsidRPr="008D3BA2">
        <w:rPr>
          <w:lang w:val="ru-RU"/>
        </w:rPr>
        <w:t>)</w:t>
      </w:r>
      <w:r w:rsidR="00792163" w:rsidRPr="008D3BA2">
        <w:rPr>
          <w:lang w:val="ru-RU"/>
        </w:rPr>
        <w:t xml:space="preserve">. Были предприняты значительные усилия для сведения к минимуму расходов на ИТ для всех шести региональных подготовительных собраний. Была проведена переоценка эксплуатационных и инфраструктурных требований </w:t>
      </w:r>
      <w:r w:rsidR="008603BF" w:rsidRPr="008D3BA2">
        <w:rPr>
          <w:lang w:val="ru-RU"/>
        </w:rPr>
        <w:t xml:space="preserve">для этих собраний </w:t>
      </w:r>
      <w:r w:rsidR="00792163" w:rsidRPr="008D3BA2">
        <w:rPr>
          <w:lang w:val="ru-RU"/>
        </w:rPr>
        <w:t xml:space="preserve">с целью кардинального сокращения </w:t>
      </w:r>
      <w:r w:rsidR="008603BF" w:rsidRPr="008D3BA2">
        <w:rPr>
          <w:lang w:val="ru-RU"/>
        </w:rPr>
        <w:t xml:space="preserve">объемов </w:t>
      </w:r>
      <w:r w:rsidR="00792163" w:rsidRPr="008D3BA2">
        <w:rPr>
          <w:lang w:val="ru-RU"/>
        </w:rPr>
        <w:t xml:space="preserve">поставляемого оборудования, </w:t>
      </w:r>
      <w:r w:rsidR="008603BF" w:rsidRPr="008D3BA2">
        <w:rPr>
          <w:lang w:val="ru-RU"/>
        </w:rPr>
        <w:t>при этом ИТ-поддержка БРЭ осуществлялась дистанционно</w:t>
      </w:r>
      <w:r w:rsidR="00792163" w:rsidRPr="008D3BA2">
        <w:rPr>
          <w:lang w:val="ru-RU"/>
        </w:rPr>
        <w:t xml:space="preserve"> из штаб-квартиры в Женеве.</w:t>
      </w:r>
    </w:p>
    <w:p w:rsidR="00792163" w:rsidRPr="008D3BA2" w:rsidRDefault="00AD0081" w:rsidP="008704BF">
      <w:pPr>
        <w:rPr>
          <w:lang w:val="ru-RU"/>
        </w:rPr>
      </w:pPr>
      <w:r w:rsidRPr="008D3BA2">
        <w:rPr>
          <w:lang w:val="ru-RU"/>
        </w:rPr>
        <w:t>5.5</w:t>
      </w:r>
      <w:r w:rsidRPr="008D3BA2">
        <w:rPr>
          <w:lang w:val="ru-RU"/>
        </w:rPr>
        <w:tab/>
      </w:r>
      <w:r w:rsidR="008603BF" w:rsidRPr="008D3BA2">
        <w:rPr>
          <w:lang w:val="ru-RU"/>
        </w:rPr>
        <w:t xml:space="preserve">Были достигнуты значительные успехи </w:t>
      </w:r>
      <w:r w:rsidR="00792163" w:rsidRPr="008D3BA2">
        <w:rPr>
          <w:lang w:val="ru-RU"/>
        </w:rPr>
        <w:t>в том, что касается возможности установления соединений и ИТ-оборудования для региональных и зональных отделений. Была утверждена и в 2017</w:t>
      </w:r>
      <w:r w:rsidR="008704BF">
        <w:rPr>
          <w:lang w:val="ru-RU"/>
        </w:rPr>
        <w:t> </w:t>
      </w:r>
      <w:r w:rsidR="00792163" w:rsidRPr="008D3BA2">
        <w:rPr>
          <w:lang w:val="ru-RU"/>
        </w:rPr>
        <w:t>году вступи</w:t>
      </w:r>
      <w:r w:rsidR="008603BF" w:rsidRPr="008D3BA2">
        <w:rPr>
          <w:lang w:val="ru-RU"/>
        </w:rPr>
        <w:t>ла</w:t>
      </w:r>
      <w:r w:rsidR="00792163" w:rsidRPr="008D3BA2">
        <w:rPr>
          <w:lang w:val="ru-RU"/>
        </w:rPr>
        <w:t xml:space="preserve"> в силу новая спецификация БРЭ в отношении ИТ</w:t>
      </w:r>
      <w:r w:rsidR="00792163" w:rsidRPr="008D3BA2">
        <w:rPr>
          <w:lang w:val="ru-RU"/>
        </w:rPr>
        <w:noBreakHyphen/>
        <w:t>оборудования и его срока службы, в которой приоритетное внимание уделено п</w:t>
      </w:r>
      <w:r w:rsidR="008603BF" w:rsidRPr="008D3BA2">
        <w:rPr>
          <w:lang w:val="ru-RU"/>
        </w:rPr>
        <w:t xml:space="preserve">отребностям отделений на местах, однако она </w:t>
      </w:r>
      <w:r w:rsidR="00FD1604" w:rsidRPr="008D3BA2">
        <w:rPr>
          <w:lang w:val="ru-RU"/>
        </w:rPr>
        <w:t>будет полезна и для всего</w:t>
      </w:r>
      <w:r w:rsidR="008603BF" w:rsidRPr="008D3BA2">
        <w:rPr>
          <w:lang w:val="ru-RU"/>
        </w:rPr>
        <w:t xml:space="preserve"> </w:t>
      </w:r>
      <w:r w:rsidR="00792163" w:rsidRPr="008D3BA2">
        <w:rPr>
          <w:lang w:val="ru-RU"/>
        </w:rPr>
        <w:t xml:space="preserve">БРЭ в целом. После запланированного истечения предельного срока службы </w:t>
      </w:r>
      <w:r w:rsidR="008603BF" w:rsidRPr="008D3BA2">
        <w:rPr>
          <w:lang w:val="ru-RU"/>
        </w:rPr>
        <w:t xml:space="preserve">некоторых видов </w:t>
      </w:r>
      <w:r w:rsidR="00792163" w:rsidRPr="008D3BA2">
        <w:rPr>
          <w:lang w:val="ru-RU"/>
        </w:rPr>
        <w:t xml:space="preserve">оборудования для подключения в региональных отделениях </w:t>
      </w:r>
      <w:r w:rsidR="008603BF" w:rsidRPr="008D3BA2">
        <w:rPr>
          <w:lang w:val="ru-RU"/>
        </w:rPr>
        <w:t xml:space="preserve">в 2017 году </w:t>
      </w:r>
      <w:r w:rsidR="00792163" w:rsidRPr="008D3BA2">
        <w:rPr>
          <w:lang w:val="ru-RU"/>
        </w:rPr>
        <w:t xml:space="preserve">было закуплено </w:t>
      </w:r>
      <w:r w:rsidR="008603BF" w:rsidRPr="008D3BA2">
        <w:rPr>
          <w:lang w:val="ru-RU"/>
        </w:rPr>
        <w:t xml:space="preserve">и установлено </w:t>
      </w:r>
      <w:r w:rsidR="00792163" w:rsidRPr="008D3BA2">
        <w:rPr>
          <w:lang w:val="ru-RU"/>
        </w:rPr>
        <w:t>новое оборудование</w:t>
      </w:r>
      <w:r w:rsidR="004C2F00" w:rsidRPr="008D3BA2">
        <w:rPr>
          <w:lang w:val="ru-RU"/>
        </w:rPr>
        <w:t xml:space="preserve"> для замены</w:t>
      </w:r>
      <w:r w:rsidR="00792163" w:rsidRPr="008D3BA2">
        <w:rPr>
          <w:lang w:val="ru-RU"/>
        </w:rPr>
        <w:t xml:space="preserve"> </w:t>
      </w:r>
      <w:r w:rsidR="008603BF" w:rsidRPr="008D3BA2">
        <w:rPr>
          <w:lang w:val="ru-RU"/>
        </w:rPr>
        <w:t>сразу</w:t>
      </w:r>
      <w:r w:rsidR="00792163" w:rsidRPr="008D3BA2">
        <w:rPr>
          <w:lang w:val="ru-RU"/>
        </w:rPr>
        <w:t xml:space="preserve"> нескольк</w:t>
      </w:r>
      <w:r w:rsidR="004C2F00" w:rsidRPr="008D3BA2">
        <w:rPr>
          <w:lang w:val="ru-RU"/>
        </w:rPr>
        <w:t>их</w:t>
      </w:r>
      <w:r w:rsidR="00792163" w:rsidRPr="008D3BA2">
        <w:rPr>
          <w:lang w:val="ru-RU"/>
        </w:rPr>
        <w:t xml:space="preserve"> систем во всех региональных отделениях</w:t>
      </w:r>
      <w:r w:rsidR="008603BF" w:rsidRPr="008D3BA2">
        <w:rPr>
          <w:lang w:val="ru-RU"/>
        </w:rPr>
        <w:t>. Благодаря этому оборудованию максимально эффективно используются потоки данных</w:t>
      </w:r>
      <w:r w:rsidR="00792163" w:rsidRPr="008D3BA2">
        <w:rPr>
          <w:lang w:val="ru-RU"/>
        </w:rPr>
        <w:t xml:space="preserve">, </w:t>
      </w:r>
      <w:r w:rsidR="008603BF" w:rsidRPr="008D3BA2">
        <w:rPr>
          <w:lang w:val="ru-RU"/>
        </w:rPr>
        <w:t xml:space="preserve">были </w:t>
      </w:r>
      <w:r w:rsidR="00792163" w:rsidRPr="008D3BA2">
        <w:rPr>
          <w:lang w:val="ru-RU"/>
        </w:rPr>
        <w:t>расшир</w:t>
      </w:r>
      <w:r w:rsidR="008603BF" w:rsidRPr="008D3BA2">
        <w:rPr>
          <w:lang w:val="ru-RU"/>
        </w:rPr>
        <w:t>ены</w:t>
      </w:r>
      <w:r w:rsidR="00792163" w:rsidRPr="008D3BA2">
        <w:rPr>
          <w:lang w:val="ru-RU"/>
        </w:rPr>
        <w:t xml:space="preserve"> возможности подключения </w:t>
      </w:r>
      <w:proofErr w:type="spellStart"/>
      <w:r w:rsidR="00792163" w:rsidRPr="008D3BA2">
        <w:rPr>
          <w:lang w:val="ru-RU"/>
        </w:rPr>
        <w:t>VOIP</w:t>
      </w:r>
      <w:proofErr w:type="spellEnd"/>
      <w:r w:rsidR="00792163" w:rsidRPr="008D3BA2">
        <w:rPr>
          <w:lang w:val="ru-RU"/>
        </w:rPr>
        <w:t xml:space="preserve"> между рег</w:t>
      </w:r>
      <w:r w:rsidR="008603BF" w:rsidRPr="008D3BA2">
        <w:rPr>
          <w:lang w:val="ru-RU"/>
        </w:rPr>
        <w:t>иональными отделениями и повысилась</w:t>
      </w:r>
      <w:r w:rsidR="00792163" w:rsidRPr="008D3BA2">
        <w:rPr>
          <w:lang w:val="ru-RU"/>
        </w:rPr>
        <w:t xml:space="preserve"> доступность услуг в отделении в Аддис-Абебе. БРЭ вместе с производителем терминалов </w:t>
      </w:r>
      <w:proofErr w:type="gramStart"/>
      <w:r w:rsidR="00792163" w:rsidRPr="008D3BA2">
        <w:rPr>
          <w:lang w:val="ru-RU"/>
        </w:rPr>
        <w:t>конференц-связи</w:t>
      </w:r>
      <w:proofErr w:type="gramEnd"/>
      <w:r w:rsidR="00792163" w:rsidRPr="008D3BA2">
        <w:rPr>
          <w:lang w:val="ru-RU"/>
        </w:rPr>
        <w:t xml:space="preserve"> </w:t>
      </w:r>
      <w:r w:rsidR="008603BF" w:rsidRPr="008D3BA2">
        <w:rPr>
          <w:lang w:val="ru-RU"/>
        </w:rPr>
        <w:t xml:space="preserve">продолжало </w:t>
      </w:r>
      <w:r w:rsidR="00792163" w:rsidRPr="008D3BA2">
        <w:rPr>
          <w:lang w:val="ru-RU"/>
        </w:rPr>
        <w:t>пилотн</w:t>
      </w:r>
      <w:r w:rsidR="00A42F55" w:rsidRPr="008D3BA2">
        <w:rPr>
          <w:lang w:val="ru-RU"/>
        </w:rPr>
        <w:t xml:space="preserve">ое тестирование </w:t>
      </w:r>
      <w:r w:rsidR="00792163" w:rsidRPr="008D3BA2">
        <w:rPr>
          <w:lang w:val="ru-RU"/>
        </w:rPr>
        <w:t xml:space="preserve">с целью расширения использования </w:t>
      </w:r>
      <w:r w:rsidR="008603BF" w:rsidRPr="008D3BA2">
        <w:rPr>
          <w:lang w:val="ru-RU"/>
        </w:rPr>
        <w:t xml:space="preserve">существующей внутренней программы </w:t>
      </w:r>
      <w:r w:rsidR="00792163" w:rsidRPr="008D3BA2">
        <w:rPr>
          <w:lang w:val="ru-RU"/>
        </w:rPr>
        <w:t>видеоконференц-связи с внешними пользователями без ущерба для безопасности и эффективности.</w:t>
      </w:r>
      <w:r w:rsidR="00B269FD" w:rsidRPr="008D3BA2">
        <w:rPr>
          <w:lang w:val="ru-RU"/>
        </w:rPr>
        <w:t xml:space="preserve"> </w:t>
      </w:r>
      <w:r w:rsidR="00BB5A23" w:rsidRPr="008D3BA2">
        <w:rPr>
          <w:lang w:val="ru-RU"/>
        </w:rPr>
        <w:t>Эта новая функция будет поставлена и установлена в штаб-квартире МСЭ в 2018 году</w:t>
      </w:r>
      <w:r w:rsidR="00B269FD" w:rsidRPr="008D3BA2">
        <w:rPr>
          <w:lang w:val="ru-RU"/>
        </w:rPr>
        <w:t>.</w:t>
      </w:r>
    </w:p>
    <w:p w:rsidR="00AD0081" w:rsidRPr="008D3BA2" w:rsidRDefault="00AD0081" w:rsidP="00A42F55">
      <w:pPr>
        <w:rPr>
          <w:b/>
          <w:bCs/>
          <w:lang w:val="ru-RU"/>
        </w:rPr>
      </w:pPr>
      <w:r w:rsidRPr="008D3BA2">
        <w:rPr>
          <w:lang w:val="ru-RU"/>
        </w:rPr>
        <w:t>5.6</w:t>
      </w:r>
      <w:r w:rsidRPr="008D3BA2">
        <w:rPr>
          <w:lang w:val="ru-RU"/>
        </w:rPr>
        <w:tab/>
      </w:r>
      <w:r w:rsidR="00792163" w:rsidRPr="008D3BA2">
        <w:rPr>
          <w:lang w:val="ru-RU"/>
        </w:rPr>
        <w:t xml:space="preserve">Региональные и зональные отделения должным образом информируются обо всех </w:t>
      </w:r>
      <w:r w:rsidR="00BB5A23" w:rsidRPr="008D3BA2">
        <w:rPr>
          <w:lang w:val="ru-RU"/>
        </w:rPr>
        <w:t xml:space="preserve">направляемых секретариатом </w:t>
      </w:r>
      <w:r w:rsidR="00792163" w:rsidRPr="008D3BA2">
        <w:rPr>
          <w:lang w:val="ru-RU"/>
        </w:rPr>
        <w:t>циркулярных письмах и корреспонденции, касающихся их регионов, в целях</w:t>
      </w:r>
      <w:r w:rsidR="00A42F55" w:rsidRPr="008D3BA2">
        <w:rPr>
          <w:lang w:val="ru-RU"/>
        </w:rPr>
        <w:t xml:space="preserve"> осуществления</w:t>
      </w:r>
      <w:r w:rsidR="00792163" w:rsidRPr="008D3BA2">
        <w:rPr>
          <w:lang w:val="ru-RU"/>
        </w:rPr>
        <w:t>, при необходимости, надлежащих последующих действий.</w:t>
      </w:r>
    </w:p>
    <w:p w:rsidR="00AD0081" w:rsidRPr="008D3BA2" w:rsidRDefault="00AD0081" w:rsidP="00AD0081">
      <w:pPr>
        <w:spacing w:before="720"/>
        <w:jc w:val="center"/>
        <w:rPr>
          <w:lang w:val="ru-RU"/>
        </w:rPr>
      </w:pPr>
      <w:r w:rsidRPr="008D3BA2">
        <w:rPr>
          <w:lang w:val="ru-RU"/>
        </w:rPr>
        <w:t>______________</w:t>
      </w:r>
    </w:p>
    <w:sectPr w:rsidR="00AD0081" w:rsidRPr="008D3BA2" w:rsidSect="009249BC">
      <w:headerReference w:type="default" r:id="rId19"/>
      <w:foot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959" w:rsidRDefault="00EE7959">
      <w:r>
        <w:separator/>
      </w:r>
    </w:p>
  </w:endnote>
  <w:endnote w:type="continuationSeparator" w:id="0">
    <w:p w:rsidR="00EE7959" w:rsidRDefault="00EE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59" w:rsidRPr="00FE7BF5" w:rsidRDefault="00EE7959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FE7BF5">
      <w:rPr>
        <w:lang w:val="fr-CH"/>
      </w:rPr>
      <w:instrText xml:space="preserve"> FILENAME \p  \* MERGEFORMAT </w:instrText>
    </w:r>
    <w:r>
      <w:fldChar w:fldCharType="separate"/>
    </w:r>
    <w:r w:rsidR="00F207A3">
      <w:rPr>
        <w:lang w:val="fr-CH"/>
      </w:rPr>
      <w:t>P:\RUS\SG\CONSEIL\C18\000\025R.docx</w:t>
    </w:r>
    <w:r>
      <w:rPr>
        <w:lang w:val="en-US"/>
      </w:rPr>
      <w:fldChar w:fldCharType="end"/>
    </w:r>
    <w:r w:rsidRPr="00FE7BF5">
      <w:rPr>
        <w:lang w:val="fr-CH"/>
      </w:rPr>
      <w:t xml:space="preserve"> (</w:t>
    </w:r>
    <w:r w:rsidR="00F207A3">
      <w:rPr>
        <w:lang w:val="ru-RU"/>
      </w:rPr>
      <w:t>425096</w:t>
    </w:r>
    <w:r w:rsidRPr="00FE7BF5">
      <w:rPr>
        <w:lang w:val="fr-CH"/>
      </w:rPr>
      <w:t>)</w:t>
    </w:r>
    <w:r w:rsidRPr="00FE7BF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07A3">
      <w:t>13.03.18</w:t>
    </w:r>
    <w:r>
      <w:fldChar w:fldCharType="end"/>
    </w:r>
    <w:r w:rsidRPr="00FE7BF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07A3">
      <w:t>13.03.18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59" w:rsidRDefault="00EE795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E7959" w:rsidRPr="00FE7BF5" w:rsidRDefault="008704BF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207A3" w:rsidRPr="00F207A3">
      <w:rPr>
        <w:lang w:val="fr-CH"/>
      </w:rPr>
      <w:t>P</w:t>
    </w:r>
    <w:r w:rsidR="00F207A3">
      <w:t>:\RUS\SG\CONSEIL\C18\000\025R.docx</w:t>
    </w:r>
    <w:r>
      <w:fldChar w:fldCharType="end"/>
    </w:r>
    <w:r w:rsidR="00EE7959" w:rsidRPr="00FE7BF5">
      <w:rPr>
        <w:lang w:val="fr-CH"/>
      </w:rPr>
      <w:t xml:space="preserve"> (</w:t>
    </w:r>
    <w:r w:rsidR="00F207A3">
      <w:rPr>
        <w:lang w:val="ru-RU"/>
      </w:rPr>
      <w:t>425096</w:t>
    </w:r>
    <w:r w:rsidR="00EE7959" w:rsidRPr="00FE7BF5">
      <w:rPr>
        <w:lang w:val="fr-CH"/>
      </w:rPr>
      <w:t>)</w:t>
    </w:r>
    <w:r w:rsidR="00EE7959" w:rsidRPr="00FE7BF5">
      <w:rPr>
        <w:lang w:val="fr-CH"/>
      </w:rPr>
      <w:tab/>
    </w:r>
    <w:r w:rsidR="00EE7959">
      <w:fldChar w:fldCharType="begin"/>
    </w:r>
    <w:r w:rsidR="00EE7959">
      <w:instrText xml:space="preserve"> SAVEDATE \@ DD.MM.YY </w:instrText>
    </w:r>
    <w:r w:rsidR="00EE7959">
      <w:fldChar w:fldCharType="separate"/>
    </w:r>
    <w:r w:rsidR="00F207A3">
      <w:t>13.03.18</w:t>
    </w:r>
    <w:r w:rsidR="00EE7959">
      <w:fldChar w:fldCharType="end"/>
    </w:r>
    <w:r w:rsidR="00EE7959" w:rsidRPr="00FE7BF5">
      <w:rPr>
        <w:lang w:val="fr-CH"/>
      </w:rPr>
      <w:tab/>
    </w:r>
    <w:r w:rsidR="00EE7959">
      <w:fldChar w:fldCharType="begin"/>
    </w:r>
    <w:r w:rsidR="00EE7959">
      <w:instrText xml:space="preserve"> PRINTDATE \@ DD.MM.YY </w:instrText>
    </w:r>
    <w:r w:rsidR="00EE7959">
      <w:fldChar w:fldCharType="separate"/>
    </w:r>
    <w:r w:rsidR="00F207A3">
      <w:t>13.03.18</w:t>
    </w:r>
    <w:r w:rsidR="00EE79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959" w:rsidRDefault="00EE7959">
      <w:r>
        <w:t>____________________</w:t>
      </w:r>
    </w:p>
  </w:footnote>
  <w:footnote w:type="continuationSeparator" w:id="0">
    <w:p w:rsidR="00EE7959" w:rsidRDefault="00EE7959">
      <w:r>
        <w:continuationSeparator/>
      </w:r>
    </w:p>
  </w:footnote>
  <w:footnote w:id="1">
    <w:p w:rsidR="00EE7959" w:rsidRPr="005F6A73" w:rsidRDefault="00EE7959" w:rsidP="00E62546">
      <w:pPr>
        <w:pStyle w:val="FootnoteText"/>
        <w:rPr>
          <w:lang w:val="ru-RU"/>
        </w:rPr>
      </w:pPr>
      <w:r w:rsidRPr="00BC127E">
        <w:rPr>
          <w:rStyle w:val="FootnoteReference"/>
          <w:lang w:val="ru-RU"/>
        </w:rPr>
        <w:t>1</w:t>
      </w:r>
      <w:r w:rsidRPr="00BC127E">
        <w:rPr>
          <w:lang w:val="ru-RU"/>
        </w:rPr>
        <w:t xml:space="preserve"> </w:t>
      </w:r>
      <w:r w:rsidRPr="00BC127E">
        <w:rPr>
          <w:lang w:val="ru-RU"/>
        </w:rPr>
        <w:tab/>
      </w:r>
      <w:r w:rsidR="00CB0072">
        <w:rPr>
          <w:lang w:val="ru-RU"/>
        </w:rPr>
        <w:t>В ожидании окончательного</w:t>
      </w:r>
      <w:r w:rsidR="00CB0072" w:rsidRPr="00BC127E">
        <w:rPr>
          <w:lang w:val="ru-RU"/>
        </w:rPr>
        <w:t xml:space="preserve"> </w:t>
      </w:r>
      <w:r w:rsidR="00CB0072">
        <w:rPr>
          <w:lang w:val="ru-RU"/>
        </w:rPr>
        <w:t>закрытия</w:t>
      </w:r>
      <w:r w:rsidR="00CB0072" w:rsidRPr="00BC127E">
        <w:rPr>
          <w:lang w:val="ru-RU"/>
        </w:rPr>
        <w:t xml:space="preserve"> </w:t>
      </w:r>
      <w:r w:rsidR="00CB0072">
        <w:rPr>
          <w:lang w:val="ru-RU"/>
        </w:rPr>
        <w:t xml:space="preserve">счетов </w:t>
      </w:r>
      <w:r>
        <w:rPr>
          <w:lang w:val="ru-RU"/>
        </w:rPr>
        <w:t>приводятся</w:t>
      </w:r>
      <w:r w:rsidRPr="00BC127E">
        <w:rPr>
          <w:lang w:val="ru-RU"/>
        </w:rPr>
        <w:t xml:space="preserve"> </w:t>
      </w:r>
      <w:r>
        <w:rPr>
          <w:lang w:val="ru-RU"/>
        </w:rPr>
        <w:t>предварительные</w:t>
      </w:r>
      <w:r w:rsidRPr="00BC127E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BC127E">
        <w:rPr>
          <w:lang w:val="ru-RU"/>
        </w:rPr>
        <w:t xml:space="preserve"> </w:t>
      </w:r>
      <w:r>
        <w:rPr>
          <w:lang w:val="ru-RU"/>
        </w:rPr>
        <w:t>данные</w:t>
      </w:r>
      <w:r w:rsidR="00CB0072" w:rsidRPr="00CB0072">
        <w:rPr>
          <w:lang w:val="ru-RU"/>
        </w:rPr>
        <w:t xml:space="preserve"> </w:t>
      </w:r>
      <w:r w:rsidR="00CB0072">
        <w:rPr>
          <w:lang w:val="ru-RU"/>
        </w:rPr>
        <w:t>за</w:t>
      </w:r>
      <w:r w:rsidR="00CB0072" w:rsidRPr="00BC127E">
        <w:rPr>
          <w:lang w:val="ru-RU"/>
        </w:rPr>
        <w:t xml:space="preserve"> 2017 </w:t>
      </w:r>
      <w:r w:rsidR="00CB0072">
        <w:rPr>
          <w:lang w:val="ru-RU"/>
        </w:rPr>
        <w:t>год</w:t>
      </w:r>
      <w:r w:rsidRPr="00BC127E">
        <w:rPr>
          <w:lang w:val="ru-RU"/>
        </w:rPr>
        <w:t xml:space="preserve">. </w:t>
      </w:r>
      <w:r>
        <w:rPr>
          <w:lang w:val="ru-RU"/>
        </w:rPr>
        <w:t xml:space="preserve">Данные по </w:t>
      </w:r>
      <w:r w:rsidR="00E62546">
        <w:rPr>
          <w:lang w:val="ru-RU"/>
        </w:rPr>
        <w:t xml:space="preserve">реализации </w:t>
      </w:r>
      <w:r>
        <w:rPr>
          <w:lang w:val="ru-RU"/>
        </w:rPr>
        <w:t>касаются средств, выделенных на осуществление действий/проектов</w:t>
      </w:r>
      <w:r w:rsidRPr="005F6A7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59" w:rsidRDefault="00EE795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704BF">
      <w:rPr>
        <w:noProof/>
      </w:rPr>
      <w:t>9</w:t>
    </w:r>
    <w:r>
      <w:rPr>
        <w:noProof/>
      </w:rPr>
      <w:fldChar w:fldCharType="end"/>
    </w:r>
  </w:p>
  <w:p w:rsidR="00EE7959" w:rsidRDefault="00F207A3" w:rsidP="00A01CF9">
    <w:pPr>
      <w:pStyle w:val="Header"/>
      <w:spacing w:after="480"/>
    </w:pPr>
    <w:proofErr w:type="spellStart"/>
    <w:r>
      <w:t>C18</w:t>
    </w:r>
    <w:proofErr w:type="spellEnd"/>
    <w:r>
      <w:t>/</w:t>
    </w:r>
    <w:r>
      <w:rPr>
        <w:lang w:val="ru-RU"/>
      </w:rPr>
      <w:t>25</w:t>
    </w:r>
    <w:r w:rsidR="00EE7959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1EF1"/>
    <w:multiLevelType w:val="hybridMultilevel"/>
    <w:tmpl w:val="5E0EC5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F27F60"/>
    <w:multiLevelType w:val="hybridMultilevel"/>
    <w:tmpl w:val="B8B2FA3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0E7C08"/>
    <w:multiLevelType w:val="hybridMultilevel"/>
    <w:tmpl w:val="3494A43C"/>
    <w:lvl w:ilvl="0" w:tplc="08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4">
    <w:nsid w:val="53314D90"/>
    <w:multiLevelType w:val="hybridMultilevel"/>
    <w:tmpl w:val="F87EB526"/>
    <w:lvl w:ilvl="0" w:tplc="309AEBD2">
      <w:start w:val="1"/>
      <w:numFmt w:val="bullet"/>
      <w:lvlText w:val=""/>
      <w:lvlJc w:val="left"/>
      <w:pPr>
        <w:ind w:left="1065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21BED"/>
    <w:rsid w:val="0002683B"/>
    <w:rsid w:val="000511B4"/>
    <w:rsid w:val="000569B4"/>
    <w:rsid w:val="00063B90"/>
    <w:rsid w:val="00080E82"/>
    <w:rsid w:val="0009749D"/>
    <w:rsid w:val="000979E5"/>
    <w:rsid w:val="000D2798"/>
    <w:rsid w:val="000E568E"/>
    <w:rsid w:val="000E5FEB"/>
    <w:rsid w:val="000E64D3"/>
    <w:rsid w:val="0014069C"/>
    <w:rsid w:val="0014734F"/>
    <w:rsid w:val="00156313"/>
    <w:rsid w:val="0015710D"/>
    <w:rsid w:val="00163A32"/>
    <w:rsid w:val="00166B0E"/>
    <w:rsid w:val="00192B41"/>
    <w:rsid w:val="001B2AA8"/>
    <w:rsid w:val="001B34CD"/>
    <w:rsid w:val="001B7B09"/>
    <w:rsid w:val="001D7242"/>
    <w:rsid w:val="001E6719"/>
    <w:rsid w:val="002025D2"/>
    <w:rsid w:val="00225348"/>
    <w:rsid w:val="00225368"/>
    <w:rsid w:val="00227FF0"/>
    <w:rsid w:val="00291EB6"/>
    <w:rsid w:val="002D2F57"/>
    <w:rsid w:val="002D48C5"/>
    <w:rsid w:val="00322BCB"/>
    <w:rsid w:val="00327BF7"/>
    <w:rsid w:val="00341BBC"/>
    <w:rsid w:val="00347ACA"/>
    <w:rsid w:val="003E7AF6"/>
    <w:rsid w:val="003F099E"/>
    <w:rsid w:val="003F235E"/>
    <w:rsid w:val="004023E0"/>
    <w:rsid w:val="00402652"/>
    <w:rsid w:val="00403DD8"/>
    <w:rsid w:val="004420F4"/>
    <w:rsid w:val="0045410B"/>
    <w:rsid w:val="0045686C"/>
    <w:rsid w:val="00461558"/>
    <w:rsid w:val="0048660E"/>
    <w:rsid w:val="004918C4"/>
    <w:rsid w:val="00497703"/>
    <w:rsid w:val="004A0374"/>
    <w:rsid w:val="004A2AB5"/>
    <w:rsid w:val="004A45B5"/>
    <w:rsid w:val="004C2F00"/>
    <w:rsid w:val="004C32B7"/>
    <w:rsid w:val="004D0129"/>
    <w:rsid w:val="005106A0"/>
    <w:rsid w:val="00517250"/>
    <w:rsid w:val="00517CF2"/>
    <w:rsid w:val="00597E9D"/>
    <w:rsid w:val="005A64D5"/>
    <w:rsid w:val="005F6A73"/>
    <w:rsid w:val="00601994"/>
    <w:rsid w:val="00627BBE"/>
    <w:rsid w:val="006436B4"/>
    <w:rsid w:val="00651374"/>
    <w:rsid w:val="006833CE"/>
    <w:rsid w:val="006A1CA6"/>
    <w:rsid w:val="006A4F07"/>
    <w:rsid w:val="006C5725"/>
    <w:rsid w:val="006E2D42"/>
    <w:rsid w:val="00703676"/>
    <w:rsid w:val="00707304"/>
    <w:rsid w:val="00711B81"/>
    <w:rsid w:val="00732269"/>
    <w:rsid w:val="00785ABD"/>
    <w:rsid w:val="00792163"/>
    <w:rsid w:val="007948DF"/>
    <w:rsid w:val="007A2DD4"/>
    <w:rsid w:val="007D38B5"/>
    <w:rsid w:val="007D6DF7"/>
    <w:rsid w:val="007E60E8"/>
    <w:rsid w:val="007E7EA0"/>
    <w:rsid w:val="008010EC"/>
    <w:rsid w:val="00807255"/>
    <w:rsid w:val="0081023E"/>
    <w:rsid w:val="008173AA"/>
    <w:rsid w:val="0083567F"/>
    <w:rsid w:val="00840A14"/>
    <w:rsid w:val="008603BF"/>
    <w:rsid w:val="008704BF"/>
    <w:rsid w:val="008B62B4"/>
    <w:rsid w:val="008B701A"/>
    <w:rsid w:val="008D2D7B"/>
    <w:rsid w:val="008D3BA2"/>
    <w:rsid w:val="008E0737"/>
    <w:rsid w:val="008F7C2C"/>
    <w:rsid w:val="00904CB5"/>
    <w:rsid w:val="00923F8D"/>
    <w:rsid w:val="009249BC"/>
    <w:rsid w:val="00940E96"/>
    <w:rsid w:val="00943C9B"/>
    <w:rsid w:val="0094532A"/>
    <w:rsid w:val="00947CDF"/>
    <w:rsid w:val="00965594"/>
    <w:rsid w:val="0098470A"/>
    <w:rsid w:val="009B0BAE"/>
    <w:rsid w:val="009C1C89"/>
    <w:rsid w:val="009C5DFB"/>
    <w:rsid w:val="009D3438"/>
    <w:rsid w:val="009E6719"/>
    <w:rsid w:val="009F3448"/>
    <w:rsid w:val="009F35C9"/>
    <w:rsid w:val="00A01CF9"/>
    <w:rsid w:val="00A057F8"/>
    <w:rsid w:val="00A10BAD"/>
    <w:rsid w:val="00A20778"/>
    <w:rsid w:val="00A22BBC"/>
    <w:rsid w:val="00A240A5"/>
    <w:rsid w:val="00A31A48"/>
    <w:rsid w:val="00A42F55"/>
    <w:rsid w:val="00A71773"/>
    <w:rsid w:val="00A76377"/>
    <w:rsid w:val="00AD0081"/>
    <w:rsid w:val="00AD603D"/>
    <w:rsid w:val="00AE2C85"/>
    <w:rsid w:val="00B12A37"/>
    <w:rsid w:val="00B269FD"/>
    <w:rsid w:val="00B40FF5"/>
    <w:rsid w:val="00B53441"/>
    <w:rsid w:val="00B612CE"/>
    <w:rsid w:val="00B62705"/>
    <w:rsid w:val="00B63EF2"/>
    <w:rsid w:val="00B808C4"/>
    <w:rsid w:val="00B939D8"/>
    <w:rsid w:val="00BA7D89"/>
    <w:rsid w:val="00BB5A23"/>
    <w:rsid w:val="00BC0B55"/>
    <w:rsid w:val="00BC0D39"/>
    <w:rsid w:val="00BC127E"/>
    <w:rsid w:val="00BC1DD1"/>
    <w:rsid w:val="00BC7BC0"/>
    <w:rsid w:val="00BD42DD"/>
    <w:rsid w:val="00BD57B7"/>
    <w:rsid w:val="00BE63E2"/>
    <w:rsid w:val="00C416AD"/>
    <w:rsid w:val="00C97D56"/>
    <w:rsid w:val="00CB0072"/>
    <w:rsid w:val="00CC3979"/>
    <w:rsid w:val="00CD1C14"/>
    <w:rsid w:val="00CD2009"/>
    <w:rsid w:val="00CF629C"/>
    <w:rsid w:val="00D120E6"/>
    <w:rsid w:val="00D30C3B"/>
    <w:rsid w:val="00D351F8"/>
    <w:rsid w:val="00D41D4F"/>
    <w:rsid w:val="00D64BFD"/>
    <w:rsid w:val="00D7108A"/>
    <w:rsid w:val="00D75502"/>
    <w:rsid w:val="00D92897"/>
    <w:rsid w:val="00D92EEA"/>
    <w:rsid w:val="00DA3906"/>
    <w:rsid w:val="00DA4A85"/>
    <w:rsid w:val="00DA5D4E"/>
    <w:rsid w:val="00DB0A93"/>
    <w:rsid w:val="00DD52F1"/>
    <w:rsid w:val="00E07D33"/>
    <w:rsid w:val="00E176BA"/>
    <w:rsid w:val="00E41DA7"/>
    <w:rsid w:val="00E423EC"/>
    <w:rsid w:val="00E465A1"/>
    <w:rsid w:val="00E50178"/>
    <w:rsid w:val="00E55121"/>
    <w:rsid w:val="00E55303"/>
    <w:rsid w:val="00E62546"/>
    <w:rsid w:val="00E87CA9"/>
    <w:rsid w:val="00EB4FCB"/>
    <w:rsid w:val="00EC6BC5"/>
    <w:rsid w:val="00EE7959"/>
    <w:rsid w:val="00F207A3"/>
    <w:rsid w:val="00F35898"/>
    <w:rsid w:val="00F5225B"/>
    <w:rsid w:val="00F6672F"/>
    <w:rsid w:val="00F67C66"/>
    <w:rsid w:val="00FC43A0"/>
    <w:rsid w:val="00FD1604"/>
    <w:rsid w:val="00FE5701"/>
    <w:rsid w:val="00FE7BF5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ing1Char">
    <w:name w:val="Heading 1 Char"/>
    <w:basedOn w:val="DefaultParagraphFont"/>
    <w:link w:val="Heading1"/>
    <w:rsid w:val="00943C9B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921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2163"/>
    <w:rPr>
      <w:rFonts w:asciiTheme="minorHAnsi" w:eastAsiaTheme="minorEastAsia" w:hAnsiTheme="minorHAnsi" w:cstheme="minorBid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INF-0006/en" TargetMode="External"/><Relationship Id="rId18" Type="http://schemas.openxmlformats.org/officeDocument/2006/relationships/hyperlink" Target="https://www.itu.int/md/S18-CL-INF-0006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25/en" TargetMode="External"/><Relationship Id="rId17" Type="http://schemas.openxmlformats.org/officeDocument/2006/relationships/hyperlink" Target="https://broadbandcalculator.o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TIES_Protected/PerfReport201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INF-001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D/Pages/OperationalPlansPerformanceReport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INF-0006/en" TargetMode="External"/><Relationship Id="rId14" Type="http://schemas.openxmlformats.org/officeDocument/2006/relationships/hyperlink" Target="http://www.itu.int/md/S17-CL-INF-0012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C2C4-45AC-459D-A2DF-4B911111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130</TotalTime>
  <Pages>10</Pages>
  <Words>4029</Words>
  <Characters>27906</Characters>
  <Application>Microsoft Office Word</Application>
  <DocSecurity>0</DocSecurity>
  <Lines>232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31872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Maloletkova, Svetlana</cp:lastModifiedBy>
  <cp:revision>7</cp:revision>
  <cp:lastPrinted>2018-03-13T16:40:00Z</cp:lastPrinted>
  <dcterms:created xsi:type="dcterms:W3CDTF">2018-03-13T16:41:00Z</dcterms:created>
  <dcterms:modified xsi:type="dcterms:W3CDTF">2018-03-14T13:51:00Z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