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2735DB" w:rsidRPr="00A9327A" w14:paraId="686E9A63" w14:textId="77777777" w:rsidTr="0046636A">
        <w:trPr>
          <w:cantSplit/>
        </w:trPr>
        <w:tc>
          <w:tcPr>
            <w:tcW w:w="6912" w:type="dxa"/>
          </w:tcPr>
          <w:p w14:paraId="5BAE8E91" w14:textId="77777777" w:rsidR="002735DB" w:rsidRPr="00A9327A" w:rsidRDefault="002735DB" w:rsidP="00080985">
            <w:pPr>
              <w:spacing w:before="360"/>
              <w:rPr>
                <w:lang w:val="fr-CH"/>
              </w:rPr>
            </w:pPr>
            <w:bookmarkStart w:id="0" w:name="dc06"/>
            <w:bookmarkEnd w:id="0"/>
            <w:r w:rsidRPr="00A9327A">
              <w:rPr>
                <w:b/>
                <w:bCs/>
                <w:sz w:val="30"/>
                <w:szCs w:val="30"/>
                <w:lang w:val="fr-CH"/>
              </w:rPr>
              <w:t>Conseil 201</w:t>
            </w:r>
            <w:r w:rsidR="0046636A" w:rsidRPr="00A9327A">
              <w:rPr>
                <w:b/>
                <w:bCs/>
                <w:sz w:val="30"/>
                <w:szCs w:val="30"/>
                <w:lang w:val="fr-CH"/>
              </w:rPr>
              <w:t>8</w:t>
            </w:r>
            <w:r w:rsidRPr="00A9327A">
              <w:rPr>
                <w:rFonts w:ascii="Verdana" w:hAnsi="Verdana"/>
                <w:b/>
                <w:bCs/>
                <w:sz w:val="26"/>
                <w:szCs w:val="26"/>
                <w:lang w:val="fr-CH"/>
              </w:rPr>
              <w:br/>
            </w:r>
            <w:r w:rsidR="0046636A" w:rsidRPr="00A9327A">
              <w:rPr>
                <w:b/>
                <w:bCs/>
                <w:szCs w:val="24"/>
                <w:lang w:val="fr-CH"/>
              </w:rPr>
              <w:t>Genève, 17</w:t>
            </w:r>
            <w:r w:rsidRPr="00A9327A">
              <w:rPr>
                <w:b/>
                <w:bCs/>
                <w:szCs w:val="24"/>
                <w:lang w:val="fr-CH"/>
              </w:rPr>
              <w:t>-2</w:t>
            </w:r>
            <w:r w:rsidR="0046636A" w:rsidRPr="00A9327A">
              <w:rPr>
                <w:b/>
                <w:bCs/>
                <w:szCs w:val="24"/>
                <w:lang w:val="fr-CH"/>
              </w:rPr>
              <w:t>7</w:t>
            </w:r>
            <w:r w:rsidRPr="00A9327A">
              <w:rPr>
                <w:b/>
                <w:bCs/>
                <w:szCs w:val="24"/>
                <w:lang w:val="fr-CH"/>
              </w:rPr>
              <w:t xml:space="preserve"> </w:t>
            </w:r>
            <w:r w:rsidR="0046636A" w:rsidRPr="00A9327A">
              <w:rPr>
                <w:b/>
                <w:bCs/>
                <w:szCs w:val="24"/>
                <w:lang w:val="fr-CH"/>
              </w:rPr>
              <w:t xml:space="preserve">avril </w:t>
            </w:r>
            <w:r w:rsidRPr="00A9327A">
              <w:rPr>
                <w:b/>
                <w:bCs/>
                <w:szCs w:val="24"/>
                <w:lang w:val="fr-CH"/>
              </w:rPr>
              <w:t>201</w:t>
            </w:r>
            <w:r w:rsidR="0046636A" w:rsidRPr="00A9327A">
              <w:rPr>
                <w:b/>
                <w:bCs/>
                <w:szCs w:val="24"/>
                <w:lang w:val="fr-CH"/>
              </w:rPr>
              <w:t>8</w:t>
            </w:r>
          </w:p>
        </w:tc>
        <w:tc>
          <w:tcPr>
            <w:tcW w:w="3261" w:type="dxa"/>
          </w:tcPr>
          <w:p w14:paraId="52A03DC5" w14:textId="77777777" w:rsidR="002735DB" w:rsidRPr="00A9327A" w:rsidRDefault="002735DB" w:rsidP="00080985">
            <w:pPr>
              <w:spacing w:before="0"/>
              <w:jc w:val="right"/>
              <w:rPr>
                <w:lang w:val="fr-CH"/>
              </w:rPr>
            </w:pPr>
            <w:bookmarkStart w:id="1" w:name="ditulogo"/>
            <w:bookmarkEnd w:id="1"/>
            <w:r w:rsidRPr="00A9327A">
              <w:rPr>
                <w:rFonts w:cstheme="minorHAnsi"/>
                <w:b/>
                <w:bCs/>
                <w:noProof/>
                <w:lang w:val="en-US" w:eastAsia="zh-CN"/>
              </w:rPr>
              <w:drawing>
                <wp:inline distT="0" distB="0" distL="0" distR="0" wp14:anchorId="66BA64F8" wp14:editId="17C073F5">
                  <wp:extent cx="1781175" cy="695325"/>
                  <wp:effectExtent l="0" t="0" r="9525" b="9525"/>
                  <wp:docPr id="1"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735DB" w:rsidRPr="00A9327A" w14:paraId="202A565F" w14:textId="77777777" w:rsidTr="0046636A">
        <w:trPr>
          <w:cantSplit/>
          <w:trHeight w:val="20"/>
        </w:trPr>
        <w:tc>
          <w:tcPr>
            <w:tcW w:w="6912" w:type="dxa"/>
            <w:tcBorders>
              <w:bottom w:val="single" w:sz="12" w:space="0" w:color="auto"/>
            </w:tcBorders>
            <w:vAlign w:val="center"/>
          </w:tcPr>
          <w:p w14:paraId="7625B069" w14:textId="77777777" w:rsidR="002735DB" w:rsidRPr="00A9327A" w:rsidRDefault="002735DB" w:rsidP="00080985">
            <w:pPr>
              <w:spacing w:before="0"/>
              <w:rPr>
                <w:b/>
                <w:bCs/>
                <w:sz w:val="26"/>
                <w:szCs w:val="26"/>
                <w:lang w:val="fr-CH"/>
              </w:rPr>
            </w:pPr>
          </w:p>
        </w:tc>
        <w:tc>
          <w:tcPr>
            <w:tcW w:w="3261" w:type="dxa"/>
            <w:tcBorders>
              <w:bottom w:val="single" w:sz="12" w:space="0" w:color="auto"/>
            </w:tcBorders>
          </w:tcPr>
          <w:p w14:paraId="1EEDB44B" w14:textId="77777777" w:rsidR="002735DB" w:rsidRPr="00A9327A" w:rsidRDefault="002735DB" w:rsidP="00080985">
            <w:pPr>
              <w:spacing w:before="0"/>
              <w:rPr>
                <w:b/>
                <w:bCs/>
                <w:lang w:val="fr-CH"/>
              </w:rPr>
            </w:pPr>
          </w:p>
        </w:tc>
      </w:tr>
      <w:tr w:rsidR="002735DB" w:rsidRPr="00A9327A" w14:paraId="523B4FAC" w14:textId="77777777" w:rsidTr="0046636A">
        <w:trPr>
          <w:cantSplit/>
          <w:trHeight w:val="20"/>
        </w:trPr>
        <w:tc>
          <w:tcPr>
            <w:tcW w:w="6912" w:type="dxa"/>
            <w:tcBorders>
              <w:top w:val="single" w:sz="12" w:space="0" w:color="auto"/>
            </w:tcBorders>
          </w:tcPr>
          <w:p w14:paraId="13404C09" w14:textId="77777777" w:rsidR="002735DB" w:rsidRPr="00A9327A" w:rsidRDefault="002735DB" w:rsidP="00080985">
            <w:pPr>
              <w:spacing w:before="0"/>
              <w:rPr>
                <w:smallCaps/>
                <w:lang w:val="fr-CH"/>
              </w:rPr>
            </w:pPr>
          </w:p>
        </w:tc>
        <w:tc>
          <w:tcPr>
            <w:tcW w:w="3261" w:type="dxa"/>
            <w:tcBorders>
              <w:top w:val="single" w:sz="12" w:space="0" w:color="auto"/>
            </w:tcBorders>
          </w:tcPr>
          <w:p w14:paraId="24B1C0B9" w14:textId="77777777" w:rsidR="002735DB" w:rsidRPr="00A9327A" w:rsidRDefault="002735DB" w:rsidP="00080985">
            <w:pPr>
              <w:spacing w:before="0"/>
              <w:rPr>
                <w:b/>
                <w:bCs/>
                <w:lang w:val="fr-CH"/>
              </w:rPr>
            </w:pPr>
          </w:p>
        </w:tc>
      </w:tr>
      <w:tr w:rsidR="002735DB" w:rsidRPr="00A9327A" w14:paraId="38B121B6" w14:textId="77777777" w:rsidTr="0046636A">
        <w:trPr>
          <w:cantSplit/>
          <w:trHeight w:val="20"/>
        </w:trPr>
        <w:tc>
          <w:tcPr>
            <w:tcW w:w="6912" w:type="dxa"/>
            <w:vMerge w:val="restart"/>
          </w:tcPr>
          <w:p w14:paraId="486C6ADA" w14:textId="77777777" w:rsidR="002735DB" w:rsidRPr="00A9327A" w:rsidRDefault="002735DB" w:rsidP="00080985">
            <w:pPr>
              <w:spacing w:before="0"/>
              <w:rPr>
                <w:rFonts w:cs="Times"/>
                <w:b/>
                <w:bCs/>
                <w:szCs w:val="24"/>
                <w:lang w:val="fr-CH"/>
              </w:rPr>
            </w:pPr>
            <w:bookmarkStart w:id="2" w:name="dnum" w:colFirst="1" w:colLast="1"/>
            <w:bookmarkStart w:id="3" w:name="dmeeting" w:colFirst="0" w:colLast="0"/>
            <w:r w:rsidRPr="00A9327A">
              <w:rPr>
                <w:rFonts w:cs="Times"/>
                <w:b/>
                <w:bCs/>
                <w:szCs w:val="24"/>
                <w:lang w:val="fr-CH"/>
              </w:rPr>
              <w:t>Point de l'ordre du jour: PL 3.</w:t>
            </w:r>
            <w:r w:rsidR="0046636A" w:rsidRPr="00A9327A">
              <w:rPr>
                <w:rFonts w:cs="Times"/>
                <w:b/>
                <w:bCs/>
                <w:szCs w:val="24"/>
                <w:lang w:val="fr-CH"/>
              </w:rPr>
              <w:t>3</w:t>
            </w:r>
          </w:p>
        </w:tc>
        <w:tc>
          <w:tcPr>
            <w:tcW w:w="3261" w:type="dxa"/>
          </w:tcPr>
          <w:p w14:paraId="024C0038" w14:textId="77777777" w:rsidR="002735DB" w:rsidRPr="00A9327A" w:rsidRDefault="0046636A" w:rsidP="00080985">
            <w:pPr>
              <w:spacing w:before="0"/>
              <w:rPr>
                <w:b/>
                <w:bCs/>
                <w:lang w:val="fr-CH"/>
              </w:rPr>
            </w:pPr>
            <w:r w:rsidRPr="00A9327A">
              <w:rPr>
                <w:b/>
                <w:bCs/>
                <w:lang w:val="fr-CH"/>
              </w:rPr>
              <w:t>Document C18</w:t>
            </w:r>
            <w:r w:rsidR="002735DB" w:rsidRPr="00A9327A">
              <w:rPr>
                <w:b/>
                <w:bCs/>
                <w:lang w:val="fr-CH"/>
              </w:rPr>
              <w:t>/25-F</w:t>
            </w:r>
          </w:p>
        </w:tc>
      </w:tr>
      <w:tr w:rsidR="002735DB" w:rsidRPr="00A9327A" w14:paraId="7D2095C3" w14:textId="77777777" w:rsidTr="0046636A">
        <w:trPr>
          <w:cantSplit/>
          <w:trHeight w:val="20"/>
        </w:trPr>
        <w:tc>
          <w:tcPr>
            <w:tcW w:w="6912" w:type="dxa"/>
            <w:vMerge/>
          </w:tcPr>
          <w:p w14:paraId="7E6713E4" w14:textId="77777777" w:rsidR="002735DB" w:rsidRPr="00A9327A" w:rsidRDefault="002735DB" w:rsidP="00080985">
            <w:pPr>
              <w:shd w:val="solid" w:color="FFFFFF" w:fill="FFFFFF"/>
              <w:spacing w:before="180"/>
              <w:rPr>
                <w:smallCaps/>
                <w:lang w:val="fr-CH"/>
              </w:rPr>
            </w:pPr>
            <w:bookmarkStart w:id="4" w:name="ddate" w:colFirst="1" w:colLast="1"/>
            <w:bookmarkEnd w:id="2"/>
            <w:bookmarkEnd w:id="3"/>
          </w:p>
        </w:tc>
        <w:tc>
          <w:tcPr>
            <w:tcW w:w="3261" w:type="dxa"/>
          </w:tcPr>
          <w:p w14:paraId="5372FB54" w14:textId="77777777" w:rsidR="002735DB" w:rsidRPr="00A9327A" w:rsidRDefault="0046636A" w:rsidP="00080985">
            <w:pPr>
              <w:spacing w:before="0"/>
              <w:rPr>
                <w:b/>
                <w:bCs/>
                <w:lang w:val="fr-CH"/>
              </w:rPr>
            </w:pPr>
            <w:r w:rsidRPr="00A9327A">
              <w:rPr>
                <w:b/>
                <w:bCs/>
                <w:lang w:val="fr-CH"/>
              </w:rPr>
              <w:t>8 février 2018</w:t>
            </w:r>
          </w:p>
        </w:tc>
      </w:tr>
      <w:tr w:rsidR="002735DB" w:rsidRPr="00A9327A" w14:paraId="3A2E162A" w14:textId="77777777" w:rsidTr="0046636A">
        <w:trPr>
          <w:cantSplit/>
          <w:trHeight w:val="20"/>
        </w:trPr>
        <w:tc>
          <w:tcPr>
            <w:tcW w:w="6912" w:type="dxa"/>
            <w:vMerge/>
          </w:tcPr>
          <w:p w14:paraId="661E4848" w14:textId="77777777" w:rsidR="002735DB" w:rsidRPr="00A9327A" w:rsidRDefault="002735DB" w:rsidP="00080985">
            <w:pPr>
              <w:shd w:val="solid" w:color="FFFFFF" w:fill="FFFFFF"/>
              <w:spacing w:before="180"/>
              <w:rPr>
                <w:smallCaps/>
                <w:lang w:val="fr-CH"/>
              </w:rPr>
            </w:pPr>
            <w:bookmarkStart w:id="5" w:name="dorlang" w:colFirst="1" w:colLast="1"/>
            <w:bookmarkEnd w:id="4"/>
          </w:p>
        </w:tc>
        <w:tc>
          <w:tcPr>
            <w:tcW w:w="3261" w:type="dxa"/>
          </w:tcPr>
          <w:p w14:paraId="32C7E878" w14:textId="77777777" w:rsidR="002735DB" w:rsidRPr="00A9327A" w:rsidRDefault="002735DB" w:rsidP="00080985">
            <w:pPr>
              <w:spacing w:before="0"/>
              <w:rPr>
                <w:b/>
                <w:bCs/>
                <w:lang w:val="fr-CH"/>
              </w:rPr>
            </w:pPr>
            <w:r w:rsidRPr="00A9327A">
              <w:rPr>
                <w:b/>
                <w:bCs/>
                <w:lang w:val="fr-CH"/>
              </w:rPr>
              <w:t>Original: anglais</w:t>
            </w:r>
          </w:p>
        </w:tc>
      </w:tr>
      <w:tr w:rsidR="002735DB" w:rsidRPr="00A9327A" w14:paraId="67E77CA1" w14:textId="77777777" w:rsidTr="0046636A">
        <w:trPr>
          <w:cantSplit/>
        </w:trPr>
        <w:tc>
          <w:tcPr>
            <w:tcW w:w="10173" w:type="dxa"/>
            <w:gridSpan w:val="2"/>
          </w:tcPr>
          <w:p w14:paraId="1515298B" w14:textId="77777777" w:rsidR="002735DB" w:rsidRPr="00A9327A" w:rsidRDefault="002735DB" w:rsidP="00080985">
            <w:pPr>
              <w:pStyle w:val="Source"/>
              <w:rPr>
                <w:lang w:val="fr-CH"/>
              </w:rPr>
            </w:pPr>
            <w:bookmarkStart w:id="6" w:name="dsource" w:colFirst="0" w:colLast="0"/>
            <w:bookmarkEnd w:id="5"/>
            <w:r w:rsidRPr="00A9327A">
              <w:rPr>
                <w:lang w:val="fr-CH"/>
              </w:rPr>
              <w:t>Rapport du Secrétaire général</w:t>
            </w:r>
          </w:p>
        </w:tc>
      </w:tr>
      <w:tr w:rsidR="002735DB" w:rsidRPr="00A9327A" w14:paraId="78406486" w14:textId="77777777" w:rsidTr="0046636A">
        <w:trPr>
          <w:cantSplit/>
        </w:trPr>
        <w:tc>
          <w:tcPr>
            <w:tcW w:w="10173" w:type="dxa"/>
            <w:gridSpan w:val="2"/>
          </w:tcPr>
          <w:p w14:paraId="36A5231A" w14:textId="633B72C9" w:rsidR="002735DB" w:rsidRPr="00A9327A" w:rsidRDefault="002735DB" w:rsidP="00080985">
            <w:pPr>
              <w:pStyle w:val="Title1"/>
              <w:rPr>
                <w:lang w:val="fr-CH"/>
              </w:rPr>
            </w:pPr>
            <w:bookmarkStart w:id="7" w:name="dtitle1" w:colFirst="0" w:colLast="0"/>
            <w:bookmarkEnd w:id="6"/>
            <w:r w:rsidRPr="00A9327A">
              <w:rPr>
                <w:lang w:val="fr-CH"/>
              </w:rPr>
              <w:t>renFORCEMENT DE LA PRéSENCE RéGIONALE</w:t>
            </w:r>
          </w:p>
        </w:tc>
      </w:tr>
      <w:bookmarkEnd w:id="7"/>
    </w:tbl>
    <w:p w14:paraId="595D5ED7" w14:textId="77777777" w:rsidR="002735DB" w:rsidRPr="00A9327A" w:rsidRDefault="002735DB" w:rsidP="00080985">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735DB" w:rsidRPr="00A9327A" w14:paraId="3F931855" w14:textId="77777777" w:rsidTr="0046636A">
        <w:trPr>
          <w:trHeight w:val="3372"/>
        </w:trPr>
        <w:tc>
          <w:tcPr>
            <w:tcW w:w="8080" w:type="dxa"/>
            <w:tcBorders>
              <w:top w:val="single" w:sz="12" w:space="0" w:color="auto"/>
              <w:left w:val="single" w:sz="12" w:space="0" w:color="auto"/>
              <w:bottom w:val="single" w:sz="12" w:space="0" w:color="auto"/>
              <w:right w:val="single" w:sz="12" w:space="0" w:color="auto"/>
            </w:tcBorders>
          </w:tcPr>
          <w:p w14:paraId="6E0C492D" w14:textId="77777777" w:rsidR="002735DB" w:rsidRPr="00A9327A" w:rsidRDefault="002735DB" w:rsidP="00080985">
            <w:pPr>
              <w:pStyle w:val="Headingb"/>
              <w:rPr>
                <w:lang w:val="fr-CH"/>
              </w:rPr>
            </w:pPr>
            <w:r w:rsidRPr="00A9327A">
              <w:rPr>
                <w:lang w:val="fr-CH"/>
              </w:rPr>
              <w:t>Résumé</w:t>
            </w:r>
          </w:p>
          <w:p w14:paraId="686032D7" w14:textId="70FECCA1" w:rsidR="002735DB" w:rsidRPr="00A9327A" w:rsidRDefault="002735DB" w:rsidP="00080985">
            <w:pPr>
              <w:rPr>
                <w:lang w:val="fr-CH"/>
              </w:rPr>
            </w:pPr>
            <w:r w:rsidRPr="00A9327A">
              <w:rPr>
                <w:lang w:val="fr-CH"/>
              </w:rPr>
              <w:t>Le présent document rend compte de la mise en oeuvre de la Résolution 25 (Rév. Busan, 2014) de la Conférence de plénipotentiaires.</w:t>
            </w:r>
            <w:r w:rsidRPr="00A9327A">
              <w:rPr>
                <w:b/>
                <w:lang w:val="fr-CH"/>
              </w:rPr>
              <w:t xml:space="preserve"> </w:t>
            </w:r>
            <w:r w:rsidRPr="00A9327A">
              <w:rPr>
                <w:lang w:val="fr-CH"/>
              </w:rPr>
              <w:t>On trouvera dans</w:t>
            </w:r>
            <w:r w:rsidRPr="00A9327A">
              <w:rPr>
                <w:bCs/>
                <w:lang w:val="fr-CH"/>
              </w:rPr>
              <w:t xml:space="preserve"> </w:t>
            </w:r>
            <w:r w:rsidRPr="00A9327A">
              <w:rPr>
                <w:lang w:val="fr-CH"/>
              </w:rPr>
              <w:t>le</w:t>
            </w:r>
            <w:r w:rsidR="008F1DFA" w:rsidRPr="00A9327A">
              <w:rPr>
                <w:bCs/>
                <w:lang w:val="fr-CH"/>
              </w:rPr>
              <w:t xml:space="preserve"> </w:t>
            </w:r>
            <w:hyperlink r:id="rId9" w:history="1">
              <w:r w:rsidR="00787358" w:rsidRPr="004B2621">
                <w:rPr>
                  <w:rStyle w:val="Hyperlink"/>
                </w:rPr>
                <w:t>Document C18/INF/6</w:t>
              </w:r>
            </w:hyperlink>
            <w:r w:rsidRPr="00A9327A">
              <w:rPr>
                <w:bCs/>
                <w:lang w:val="fr-CH"/>
              </w:rPr>
              <w:t xml:space="preserve"> six annexes se rapportant au présent document. </w:t>
            </w:r>
          </w:p>
          <w:p w14:paraId="4D8B46BC" w14:textId="77777777" w:rsidR="002735DB" w:rsidRPr="00A9327A" w:rsidRDefault="002735DB" w:rsidP="00080985">
            <w:pPr>
              <w:pStyle w:val="Headingb"/>
              <w:rPr>
                <w:lang w:val="fr-CH"/>
              </w:rPr>
            </w:pPr>
            <w:r w:rsidRPr="00A9327A">
              <w:rPr>
                <w:lang w:val="fr-CH"/>
              </w:rPr>
              <w:t>Suite à donner</w:t>
            </w:r>
          </w:p>
          <w:p w14:paraId="732571F6" w14:textId="77777777" w:rsidR="002735DB" w:rsidRPr="00A9327A" w:rsidRDefault="002735DB" w:rsidP="00080985">
            <w:pPr>
              <w:rPr>
                <w:lang w:val="fr-CH"/>
              </w:rPr>
            </w:pPr>
            <w:r w:rsidRPr="00A9327A">
              <w:rPr>
                <w:lang w:val="fr-CH"/>
              </w:rPr>
              <w:t xml:space="preserve">Le Conseil est invité à </w:t>
            </w:r>
            <w:r w:rsidRPr="00A9327A">
              <w:rPr>
                <w:b/>
                <w:bCs/>
                <w:lang w:val="fr-CH"/>
              </w:rPr>
              <w:t>prendre note</w:t>
            </w:r>
            <w:r w:rsidRPr="00A9327A">
              <w:rPr>
                <w:lang w:val="fr-CH"/>
              </w:rPr>
              <w:t xml:space="preserve"> du présent rapport.</w:t>
            </w:r>
          </w:p>
          <w:p w14:paraId="7E91D822" w14:textId="77777777" w:rsidR="002735DB" w:rsidRPr="00A9327A" w:rsidRDefault="002735DB" w:rsidP="00080985">
            <w:pPr>
              <w:pStyle w:val="Table"/>
              <w:keepNext w:val="0"/>
              <w:spacing w:before="0" w:after="0"/>
              <w:rPr>
                <w:rFonts w:ascii="Calibri" w:hAnsi="Calibri"/>
                <w:caps w:val="0"/>
                <w:lang w:val="fr-CH"/>
              </w:rPr>
            </w:pPr>
            <w:r w:rsidRPr="00A9327A">
              <w:rPr>
                <w:rFonts w:ascii="Calibri" w:hAnsi="Calibri"/>
                <w:caps w:val="0"/>
                <w:sz w:val="22"/>
                <w:lang w:val="fr-CH"/>
              </w:rPr>
              <w:t>____________</w:t>
            </w:r>
          </w:p>
          <w:p w14:paraId="3C1D949A" w14:textId="77777777" w:rsidR="002735DB" w:rsidRPr="00A9327A" w:rsidRDefault="002735DB" w:rsidP="00080985">
            <w:pPr>
              <w:pStyle w:val="Headingb"/>
              <w:rPr>
                <w:lang w:val="fr-CH"/>
              </w:rPr>
            </w:pPr>
            <w:r w:rsidRPr="00A9327A">
              <w:rPr>
                <w:lang w:val="fr-CH"/>
              </w:rPr>
              <w:t>Références</w:t>
            </w:r>
          </w:p>
          <w:p w14:paraId="55DAA259" w14:textId="71482B44" w:rsidR="002735DB" w:rsidRPr="00A9327A" w:rsidRDefault="000813F6" w:rsidP="00080985">
            <w:pPr>
              <w:spacing w:after="120"/>
              <w:rPr>
                <w:i/>
                <w:iCs/>
                <w:lang w:val="fr-CH"/>
              </w:rPr>
            </w:pPr>
            <w:hyperlink r:id="rId10" w:history="1">
              <w:r w:rsidR="002735DB" w:rsidRPr="00A9327A">
                <w:rPr>
                  <w:rStyle w:val="Hyperlink"/>
                  <w:rFonts w:asciiTheme="minorHAnsi" w:hAnsiTheme="minorHAnsi" w:cstheme="minorHAnsi"/>
                  <w:bCs/>
                  <w:i/>
                  <w:iCs/>
                  <w:szCs w:val="24"/>
                  <w:lang w:val="fr-CH"/>
                </w:rPr>
                <w:t>Résolution 25 (Rév. Busan, 2014)</w:t>
              </w:r>
            </w:hyperlink>
            <w:r w:rsidR="002735DB" w:rsidRPr="00A9327A">
              <w:rPr>
                <w:rFonts w:asciiTheme="minorHAnsi" w:hAnsiTheme="minorHAnsi"/>
                <w:i/>
                <w:iCs/>
                <w:szCs w:val="24"/>
                <w:lang w:val="fr-CH"/>
              </w:rPr>
              <w:t xml:space="preserve"> de la Conférence</w:t>
            </w:r>
            <w:r w:rsidR="0046636A" w:rsidRPr="00A9327A">
              <w:rPr>
                <w:rFonts w:asciiTheme="minorHAnsi" w:hAnsiTheme="minorHAnsi"/>
                <w:i/>
                <w:iCs/>
                <w:szCs w:val="24"/>
                <w:lang w:val="fr-CH"/>
              </w:rPr>
              <w:t xml:space="preserve"> de plénipotentiaires</w:t>
            </w:r>
            <w:r w:rsidR="00787358">
              <w:rPr>
                <w:rFonts w:asciiTheme="minorHAnsi" w:hAnsiTheme="minorHAnsi"/>
                <w:i/>
                <w:iCs/>
                <w:szCs w:val="24"/>
                <w:lang w:val="fr-CH"/>
              </w:rPr>
              <w:t>; D</w:t>
            </w:r>
            <w:r w:rsidR="0046636A" w:rsidRPr="00A9327A">
              <w:rPr>
                <w:rFonts w:asciiTheme="minorHAnsi" w:hAnsiTheme="minorHAnsi"/>
                <w:i/>
                <w:iCs/>
                <w:szCs w:val="24"/>
                <w:lang w:val="fr-CH"/>
              </w:rPr>
              <w:t>ocument</w:t>
            </w:r>
            <w:r w:rsidR="002735DB" w:rsidRPr="00A9327A">
              <w:rPr>
                <w:rFonts w:asciiTheme="minorHAnsi" w:hAnsiTheme="minorHAnsi"/>
                <w:i/>
                <w:iCs/>
                <w:szCs w:val="24"/>
                <w:lang w:val="fr-CH"/>
              </w:rPr>
              <w:t xml:space="preserve"> du Conseil </w:t>
            </w:r>
            <w:r w:rsidR="0046636A" w:rsidRPr="00A9327A">
              <w:rPr>
                <w:rFonts w:asciiTheme="minorHAnsi" w:hAnsiTheme="minorHAnsi"/>
                <w:i/>
                <w:iCs/>
                <w:szCs w:val="24"/>
                <w:lang w:val="fr-CH"/>
              </w:rPr>
              <w:t xml:space="preserve">2017 </w:t>
            </w:r>
            <w:hyperlink r:id="rId11" w:history="1">
              <w:r w:rsidR="002735DB" w:rsidRPr="00A9327A">
                <w:rPr>
                  <w:rStyle w:val="Hyperlink"/>
                  <w:i/>
                  <w:iCs/>
                  <w:lang w:val="fr-CH"/>
                </w:rPr>
                <w:t>C17/INF/12</w:t>
              </w:r>
            </w:hyperlink>
          </w:p>
        </w:tc>
      </w:tr>
    </w:tbl>
    <w:p w14:paraId="09195338" w14:textId="77777777" w:rsidR="002735DB" w:rsidRPr="00A9327A" w:rsidRDefault="002735DB" w:rsidP="00080985">
      <w:pPr>
        <w:pStyle w:val="Heading1"/>
        <w:rPr>
          <w:lang w:val="fr-CH"/>
        </w:rPr>
      </w:pPr>
      <w:r w:rsidRPr="00A9327A">
        <w:rPr>
          <w:lang w:val="fr-CH"/>
        </w:rPr>
        <w:t>1</w:t>
      </w:r>
      <w:r w:rsidRPr="00A9327A">
        <w:rPr>
          <w:lang w:val="fr-CH"/>
        </w:rPr>
        <w:tab/>
        <w:t>Rappel</w:t>
      </w:r>
    </w:p>
    <w:p w14:paraId="2B9A32C2" w14:textId="6A888F2D" w:rsidR="002735DB" w:rsidRPr="00A9327A" w:rsidRDefault="002735DB" w:rsidP="00080985">
      <w:pPr>
        <w:rPr>
          <w:lang w:val="fr-CH"/>
        </w:rPr>
      </w:pPr>
      <w:r w:rsidRPr="00A9327A">
        <w:rPr>
          <w:lang w:val="fr-CH"/>
        </w:rPr>
        <w:t>1.1</w:t>
      </w:r>
      <w:r w:rsidRPr="00A9327A">
        <w:rPr>
          <w:lang w:val="fr-CH"/>
        </w:rPr>
        <w:tab/>
      </w:r>
      <w:r w:rsidR="005F77FD" w:rsidRPr="00A9327A">
        <w:rPr>
          <w:lang w:val="fr-CH"/>
        </w:rPr>
        <w:t>L</w:t>
      </w:r>
      <w:r w:rsidR="0046636A" w:rsidRPr="00A9327A">
        <w:rPr>
          <w:lang w:val="fr-CH"/>
        </w:rPr>
        <w:t>a version révisée de la Résolution 25 relative au renforcement</w:t>
      </w:r>
      <w:r w:rsidRPr="00A9327A">
        <w:rPr>
          <w:lang w:val="fr-CH"/>
        </w:rPr>
        <w:t xml:space="preserve"> de la présence régionale</w:t>
      </w:r>
      <w:r w:rsidR="00787358">
        <w:rPr>
          <w:lang w:val="fr-CH"/>
        </w:rPr>
        <w:t>,</w:t>
      </w:r>
      <w:r w:rsidRPr="00A9327A">
        <w:rPr>
          <w:lang w:val="fr-CH"/>
        </w:rPr>
        <w:t xml:space="preserve"> </w:t>
      </w:r>
      <w:r w:rsidR="0046636A" w:rsidRPr="00A9327A">
        <w:rPr>
          <w:lang w:val="fr-CH"/>
        </w:rPr>
        <w:t>approuvée lors de l</w:t>
      </w:r>
      <w:r w:rsidRPr="00A9327A">
        <w:rPr>
          <w:lang w:val="fr-CH"/>
        </w:rPr>
        <w:t>a Conférence de plénipotentiaires de 2014 (PP-14)</w:t>
      </w:r>
      <w:r w:rsidR="0046636A" w:rsidRPr="00A9327A">
        <w:rPr>
          <w:lang w:val="fr-CH"/>
        </w:rPr>
        <w:t>,</w:t>
      </w:r>
      <w:r w:rsidR="005F77FD" w:rsidRPr="00A9327A">
        <w:rPr>
          <w:lang w:val="fr-CH"/>
        </w:rPr>
        <w:t xml:space="preserve"> souligne</w:t>
      </w:r>
      <w:r w:rsidR="0046636A" w:rsidRPr="00A9327A">
        <w:rPr>
          <w:lang w:val="fr-CH"/>
        </w:rPr>
        <w:t xml:space="preserve"> l'importance du rôle des bureaux régionaux et des bureaux de zone dans l'élaboration et la mise en oeuvre du plan stratégique, ainsi qu'en vue de répondre aux diverses attentes des membres de l'UIT. </w:t>
      </w:r>
      <w:r w:rsidR="00787358">
        <w:rPr>
          <w:lang w:val="fr-CH"/>
        </w:rPr>
        <w:t xml:space="preserve">Par cette Résolution, </w:t>
      </w:r>
      <w:r w:rsidR="005F77FD" w:rsidRPr="00A9327A">
        <w:rPr>
          <w:lang w:val="fr-CH"/>
        </w:rPr>
        <w:t xml:space="preserve">le Secrétaire général de l'UIT </w:t>
      </w:r>
      <w:r w:rsidR="00787358">
        <w:rPr>
          <w:lang w:val="fr-CH"/>
        </w:rPr>
        <w:t xml:space="preserve">est chargé </w:t>
      </w:r>
      <w:r w:rsidR="005F77FD" w:rsidRPr="00A9327A">
        <w:rPr>
          <w:lang w:val="fr-CH"/>
        </w:rPr>
        <w:t xml:space="preserve">de soumettre chaque année au Conseil un rapport sur la présence régionale. Le présent document propose une version mise à jour du document similaire soumis au Conseil à sa session de 2017 </w:t>
      </w:r>
      <w:r w:rsidR="005F77FD" w:rsidRPr="00A9327A">
        <w:rPr>
          <w:rFonts w:eastAsia="Arial Unicode MS" w:cstheme="minorHAnsi"/>
          <w:szCs w:val="24"/>
          <w:lang w:val="fr-CH"/>
        </w:rPr>
        <w:t>(</w:t>
      </w:r>
      <w:hyperlink r:id="rId12" w:history="1">
        <w:r w:rsidR="00775567">
          <w:rPr>
            <w:rStyle w:val="Hyperlink"/>
            <w:rFonts w:eastAsia="Arial Unicode MS" w:cstheme="minorHAnsi"/>
            <w:szCs w:val="24"/>
            <w:lang w:val="fr-CH"/>
          </w:rPr>
          <w:t>D</w:t>
        </w:r>
        <w:r w:rsidR="005F77FD" w:rsidRPr="00A9327A">
          <w:rPr>
            <w:rStyle w:val="Hyperlink"/>
            <w:rFonts w:eastAsia="Arial Unicode MS" w:cstheme="minorHAnsi"/>
            <w:szCs w:val="24"/>
            <w:lang w:val="fr-CH"/>
          </w:rPr>
          <w:t>ocument C17/25</w:t>
        </w:r>
      </w:hyperlink>
      <w:r w:rsidR="005F77FD" w:rsidRPr="00A9327A">
        <w:rPr>
          <w:rFonts w:eastAsia="Arial Unicode MS" w:cstheme="minorHAnsi"/>
          <w:szCs w:val="24"/>
          <w:lang w:val="fr-CH"/>
        </w:rPr>
        <w:t xml:space="preserve">), tenant compte </w:t>
      </w:r>
      <w:r w:rsidR="00787358">
        <w:rPr>
          <w:rFonts w:eastAsia="Arial Unicode MS" w:cstheme="minorHAnsi"/>
          <w:szCs w:val="24"/>
          <w:lang w:val="fr-CH"/>
        </w:rPr>
        <w:t>de l'évolution enregistrée</w:t>
      </w:r>
      <w:r w:rsidR="005F77FD" w:rsidRPr="00A9327A">
        <w:rPr>
          <w:rFonts w:eastAsia="Arial Unicode MS" w:cstheme="minorHAnsi"/>
          <w:szCs w:val="24"/>
          <w:lang w:val="fr-CH"/>
        </w:rPr>
        <w:t xml:space="preserve"> et des activités réalisé</w:t>
      </w:r>
      <w:r w:rsidR="00787358">
        <w:rPr>
          <w:rFonts w:eastAsia="Arial Unicode MS" w:cstheme="minorHAnsi"/>
          <w:szCs w:val="24"/>
          <w:lang w:val="fr-CH"/>
        </w:rPr>
        <w:t>e</w:t>
      </w:r>
      <w:r w:rsidR="005F77FD" w:rsidRPr="00A9327A">
        <w:rPr>
          <w:rFonts w:eastAsia="Arial Unicode MS" w:cstheme="minorHAnsi"/>
          <w:szCs w:val="24"/>
          <w:lang w:val="fr-CH"/>
        </w:rPr>
        <w:t>s en 2017.</w:t>
      </w:r>
    </w:p>
    <w:p w14:paraId="559A04C8" w14:textId="42F688CC" w:rsidR="005F77FD" w:rsidRPr="00A9327A" w:rsidRDefault="002735DB" w:rsidP="00080985">
      <w:pPr>
        <w:rPr>
          <w:color w:val="000000"/>
          <w:lang w:val="fr-CH"/>
        </w:rPr>
      </w:pPr>
      <w:r w:rsidRPr="00A9327A">
        <w:rPr>
          <w:lang w:val="fr-CH"/>
        </w:rPr>
        <w:t>1</w:t>
      </w:r>
      <w:r w:rsidR="005F77FD" w:rsidRPr="00A9327A">
        <w:rPr>
          <w:lang w:val="fr-CH"/>
        </w:rPr>
        <w:t>.2</w:t>
      </w:r>
      <w:r w:rsidRPr="00A9327A">
        <w:rPr>
          <w:lang w:val="fr-CH"/>
        </w:rPr>
        <w:tab/>
      </w:r>
      <w:r w:rsidR="005F77FD" w:rsidRPr="00A9327A">
        <w:rPr>
          <w:lang w:val="fr-CH"/>
        </w:rPr>
        <w:t xml:space="preserve">Des efforts supplémentaires ont été déployés au cours de l'année 2017 pour renforcer la présence régionale de l'UIT par le biais d'un ensemble de mesures visant à permettre à l'Union d'être plus réactive aux besoins particuliers des régions et de </w:t>
      </w:r>
      <w:r w:rsidR="005F77FD" w:rsidRPr="00A9327A">
        <w:rPr>
          <w:color w:val="000000"/>
          <w:lang w:val="fr-CH"/>
        </w:rPr>
        <w:t xml:space="preserve">fournir efficacement et dans les meilleurs délais des résultats </w:t>
      </w:r>
      <w:r w:rsidR="00787358">
        <w:rPr>
          <w:color w:val="000000"/>
          <w:lang w:val="fr-CH"/>
        </w:rPr>
        <w:t xml:space="preserve">et des services </w:t>
      </w:r>
      <w:r w:rsidR="005F77FD" w:rsidRPr="00A9327A">
        <w:rPr>
          <w:color w:val="000000"/>
          <w:lang w:val="fr-CH"/>
        </w:rPr>
        <w:t>de qualité au</w:t>
      </w:r>
      <w:r w:rsidR="00787358">
        <w:rPr>
          <w:color w:val="000000"/>
          <w:lang w:val="fr-CH"/>
        </w:rPr>
        <w:t>x</w:t>
      </w:r>
      <w:r w:rsidR="005F77FD" w:rsidRPr="00A9327A">
        <w:rPr>
          <w:color w:val="000000"/>
          <w:lang w:val="fr-CH"/>
        </w:rPr>
        <w:t xml:space="preserve"> niveau</w:t>
      </w:r>
      <w:r w:rsidR="00787358">
        <w:rPr>
          <w:color w:val="000000"/>
          <w:lang w:val="fr-CH"/>
        </w:rPr>
        <w:t>x</w:t>
      </w:r>
      <w:r w:rsidR="005F77FD" w:rsidRPr="00A9327A">
        <w:rPr>
          <w:color w:val="000000"/>
          <w:lang w:val="fr-CH"/>
        </w:rPr>
        <w:t xml:space="preserve"> </w:t>
      </w:r>
      <w:r w:rsidR="00787358">
        <w:rPr>
          <w:color w:val="000000"/>
          <w:lang w:val="fr-CH"/>
        </w:rPr>
        <w:t>national et</w:t>
      </w:r>
      <w:r w:rsidR="005F77FD" w:rsidRPr="00A9327A">
        <w:rPr>
          <w:color w:val="000000"/>
          <w:lang w:val="fr-CH"/>
        </w:rPr>
        <w:t xml:space="preserve"> régional</w:t>
      </w:r>
      <w:r w:rsidR="00280EA4" w:rsidRPr="00A9327A">
        <w:rPr>
          <w:color w:val="000000"/>
          <w:lang w:val="fr-CH"/>
        </w:rPr>
        <w:t>.</w:t>
      </w:r>
    </w:p>
    <w:p w14:paraId="03750892" w14:textId="77777777" w:rsidR="0006566D" w:rsidRDefault="0006566D" w:rsidP="00080985">
      <w:pPr>
        <w:rPr>
          <w:lang w:val="fr-CH"/>
        </w:rPr>
      </w:pPr>
      <w:r>
        <w:rPr>
          <w:lang w:val="fr-CH"/>
        </w:rPr>
        <w:br w:type="page"/>
      </w:r>
    </w:p>
    <w:p w14:paraId="10B6515D" w14:textId="54A61B60" w:rsidR="002735DB" w:rsidRPr="00A9327A" w:rsidRDefault="00280EA4" w:rsidP="00080985">
      <w:pPr>
        <w:rPr>
          <w:rFonts w:eastAsia="Arial Unicode MS" w:cstheme="minorHAnsi"/>
          <w:szCs w:val="24"/>
          <w:lang w:val="fr-CH"/>
        </w:rPr>
      </w:pPr>
      <w:r w:rsidRPr="00A9327A">
        <w:rPr>
          <w:lang w:val="fr-CH"/>
        </w:rPr>
        <w:lastRenderedPageBreak/>
        <w:t>1.3</w:t>
      </w:r>
      <w:r w:rsidRPr="00A9327A">
        <w:rPr>
          <w:lang w:val="fr-CH"/>
        </w:rPr>
        <w:tab/>
        <w:t>Le présent rapport offre des renseignements sur la mise en oeuvre du plan</w:t>
      </w:r>
      <w:bookmarkStart w:id="8" w:name="_GoBack"/>
      <w:bookmarkEnd w:id="8"/>
      <w:r w:rsidRPr="00A9327A">
        <w:rPr>
          <w:lang w:val="fr-CH"/>
        </w:rPr>
        <w:t xml:space="preserve"> d'action et des initiatives régionales. On y trouve aussi des renseignements </w:t>
      </w:r>
      <w:r w:rsidR="00787358">
        <w:rPr>
          <w:lang w:val="fr-CH"/>
        </w:rPr>
        <w:t>détaillés</w:t>
      </w:r>
      <w:r w:rsidRPr="00A9327A">
        <w:rPr>
          <w:lang w:val="fr-CH"/>
        </w:rPr>
        <w:t xml:space="preserve"> sur la mise en oeuvre du budget 2017, qu'il s'agisse du budget ordinaire ou des sources </w:t>
      </w:r>
      <w:r w:rsidR="00787358">
        <w:rPr>
          <w:lang w:val="fr-CH"/>
        </w:rPr>
        <w:t>de financement extrabudgétaires, ainsi que des renseignements actualisés</w:t>
      </w:r>
      <w:r w:rsidRPr="00A9327A">
        <w:rPr>
          <w:lang w:val="fr-CH"/>
        </w:rPr>
        <w:t xml:space="preserve"> sur les effectifs des différents bureaux régionaux et bureaux de zone</w:t>
      </w:r>
      <w:r w:rsidRPr="00A9327A">
        <w:rPr>
          <w:rFonts w:eastAsia="Arial Unicode MS" w:cstheme="minorHAnsi"/>
          <w:szCs w:val="24"/>
          <w:lang w:val="fr-CH"/>
        </w:rPr>
        <w:t xml:space="preserve"> et d'autres renseignements d'ordre opérationnel, portant par exemple sur les bourses, les experts et les missions accomplies par des experts internes. Le présent document est complété par le </w:t>
      </w:r>
      <w:hyperlink r:id="rId13" w:history="1">
        <w:r w:rsidRPr="00787358">
          <w:rPr>
            <w:rStyle w:val="Hyperlink"/>
            <w:rFonts w:eastAsia="Arial Unicode MS" w:cstheme="minorHAnsi"/>
            <w:szCs w:val="24"/>
            <w:lang w:val="fr-CH"/>
          </w:rPr>
          <w:t xml:space="preserve">Document </w:t>
        </w:r>
        <w:r w:rsidR="00787358" w:rsidRPr="00787358">
          <w:rPr>
            <w:rStyle w:val="Hyperlink"/>
            <w:rFonts w:eastAsia="Arial Unicode MS" w:cstheme="minorHAnsi"/>
            <w:szCs w:val="24"/>
            <w:lang w:val="fr-CH"/>
          </w:rPr>
          <w:t xml:space="preserve">d'information </w:t>
        </w:r>
        <w:r w:rsidRPr="00787358">
          <w:rPr>
            <w:rStyle w:val="Hyperlink"/>
            <w:rFonts w:eastAsia="Arial Unicode MS" w:cstheme="minorHAnsi"/>
            <w:szCs w:val="24"/>
            <w:lang w:val="fr-CH"/>
          </w:rPr>
          <w:t>C18/INF/6</w:t>
        </w:r>
      </w:hyperlink>
      <w:r w:rsidRPr="00A9327A">
        <w:rPr>
          <w:rFonts w:eastAsia="Arial Unicode MS" w:cstheme="minorHAnsi"/>
          <w:szCs w:val="24"/>
          <w:lang w:val="fr-CH"/>
        </w:rPr>
        <w:t>, qui contient les annexes suivantes:</w:t>
      </w:r>
    </w:p>
    <w:p w14:paraId="3D5C150F" w14:textId="39AB382F" w:rsidR="002735DB" w:rsidRPr="00080985" w:rsidRDefault="00787358" w:rsidP="00080985">
      <w:pPr>
        <w:pStyle w:val="enumlev1"/>
      </w:pPr>
      <w:r w:rsidRPr="00080985">
        <w:t>•</w:t>
      </w:r>
      <w:r w:rsidRPr="00080985">
        <w:tab/>
      </w:r>
      <w:r w:rsidR="002735DB" w:rsidRPr="00080985">
        <w:t>Annexe 1</w:t>
      </w:r>
      <w:r w:rsidR="002735DB" w:rsidRPr="00080985">
        <w:tab/>
        <w:t>Résumé du niveau de mise en oeuvre du plan opérationn</w:t>
      </w:r>
      <w:r w:rsidR="00280EA4" w:rsidRPr="00080985">
        <w:t>el ainsi que des projets en 2017</w:t>
      </w:r>
      <w:r w:rsidR="002735DB" w:rsidRPr="00080985">
        <w:t xml:space="preserve"> et résumé des dépenses des bureaux régionaux et des bureaux de zone en </w:t>
      </w:r>
      <w:r w:rsidR="00280EA4" w:rsidRPr="00080985">
        <w:t>2017</w:t>
      </w:r>
    </w:p>
    <w:p w14:paraId="10A0A3BD" w14:textId="7E77D5DE" w:rsidR="002735DB" w:rsidRPr="00080985" w:rsidRDefault="00787358" w:rsidP="00080985">
      <w:pPr>
        <w:pStyle w:val="enumlev1"/>
      </w:pPr>
      <w:r w:rsidRPr="00080985">
        <w:t>•</w:t>
      </w:r>
      <w:r w:rsidRPr="00080985">
        <w:tab/>
      </w:r>
      <w:r w:rsidR="002735DB" w:rsidRPr="00080985">
        <w:t>Annexe 2</w:t>
      </w:r>
      <w:r w:rsidR="002735DB" w:rsidRPr="00080985">
        <w:tab/>
        <w:t>Niveau de mise en oeu</w:t>
      </w:r>
      <w:r w:rsidR="00280EA4" w:rsidRPr="00080985">
        <w:t>vre du plan opérationnel en 2017</w:t>
      </w:r>
      <w:r w:rsidR="002735DB" w:rsidRPr="00080985">
        <w:t>, par région et par objectif</w:t>
      </w:r>
    </w:p>
    <w:p w14:paraId="7DB6417A" w14:textId="46A5E4FE" w:rsidR="002735DB" w:rsidRPr="00080985" w:rsidRDefault="00787358" w:rsidP="00080985">
      <w:pPr>
        <w:pStyle w:val="enumlev1"/>
      </w:pPr>
      <w:r w:rsidRPr="00080985">
        <w:t>•</w:t>
      </w:r>
      <w:r w:rsidRPr="00080985">
        <w:tab/>
      </w:r>
      <w:r w:rsidR="002735DB" w:rsidRPr="00080985">
        <w:t>Annexe 3</w:t>
      </w:r>
      <w:r w:rsidR="002735DB" w:rsidRPr="00080985">
        <w:tab/>
        <w:t>Ventilation des dépenses des bureaux régionau</w:t>
      </w:r>
      <w:r w:rsidRPr="00080985">
        <w:t>x et des bureaux de zone en </w:t>
      </w:r>
      <w:r w:rsidR="00280EA4" w:rsidRPr="00080985">
        <w:t>2017</w:t>
      </w:r>
      <w:r w:rsidR="002735DB" w:rsidRPr="00080985">
        <w:t>, par catégorie de dépense</w:t>
      </w:r>
    </w:p>
    <w:p w14:paraId="53FAF1E3" w14:textId="07DE945C" w:rsidR="002735DB" w:rsidRPr="00080985" w:rsidRDefault="00787358" w:rsidP="00080985">
      <w:pPr>
        <w:pStyle w:val="enumlev1"/>
      </w:pPr>
      <w:r w:rsidRPr="00080985">
        <w:t>•</w:t>
      </w:r>
      <w:r w:rsidRPr="00080985">
        <w:tab/>
      </w:r>
      <w:r w:rsidR="002735DB" w:rsidRPr="00080985">
        <w:t>Annexe 4</w:t>
      </w:r>
      <w:r w:rsidR="002735DB" w:rsidRPr="00080985">
        <w:tab/>
        <w:t>Bourses accor</w:t>
      </w:r>
      <w:r w:rsidR="00280EA4" w:rsidRPr="00080985">
        <w:t>dées et experts recrutés en 2017</w:t>
      </w:r>
    </w:p>
    <w:p w14:paraId="5D1E6203" w14:textId="00EE3224" w:rsidR="002735DB" w:rsidRPr="00080985" w:rsidRDefault="00787358" w:rsidP="00080985">
      <w:pPr>
        <w:pStyle w:val="enumlev1"/>
      </w:pPr>
      <w:r w:rsidRPr="00080985">
        <w:t>•</w:t>
      </w:r>
      <w:r w:rsidRPr="00080985">
        <w:tab/>
      </w:r>
      <w:r w:rsidR="002735DB" w:rsidRPr="00080985">
        <w:t>Annexe 5</w:t>
      </w:r>
      <w:r w:rsidR="002735DB" w:rsidRPr="00080985">
        <w:tab/>
        <w:t>Résumé des effectifs par bureau régional et bureau de zone</w:t>
      </w:r>
    </w:p>
    <w:p w14:paraId="71A2F10B" w14:textId="4D0642B4" w:rsidR="002735DB" w:rsidRPr="00787358" w:rsidRDefault="00787358" w:rsidP="00080985">
      <w:pPr>
        <w:pStyle w:val="enumlev1"/>
      </w:pPr>
      <w:r w:rsidRPr="00080985">
        <w:t>•</w:t>
      </w:r>
      <w:r w:rsidRPr="00080985">
        <w:tab/>
      </w:r>
      <w:r w:rsidR="002735DB" w:rsidRPr="00080985">
        <w:t>Annexe 6</w:t>
      </w:r>
      <w:r w:rsidR="002735DB" w:rsidRPr="00080985">
        <w:tab/>
        <w:t>Ventilation des</w:t>
      </w:r>
      <w:r w:rsidR="002735DB" w:rsidRPr="00787358">
        <w:t xml:space="preserve"> effectifs par bureau régional et bureau de zone</w:t>
      </w:r>
    </w:p>
    <w:p w14:paraId="130618AD" w14:textId="6F931FE0" w:rsidR="00280EA4" w:rsidRPr="00A9327A" w:rsidRDefault="00280EA4" w:rsidP="00080985">
      <w:pPr>
        <w:pStyle w:val="enumlev1"/>
        <w:tabs>
          <w:tab w:val="clear" w:pos="1134"/>
          <w:tab w:val="left" w:pos="1276"/>
        </w:tabs>
        <w:ind w:left="0" w:firstLine="0"/>
        <w:rPr>
          <w:color w:val="000000"/>
          <w:lang w:val="fr-CH"/>
        </w:rPr>
      </w:pPr>
      <w:r w:rsidRPr="00A9327A">
        <w:rPr>
          <w:lang w:val="fr-CH"/>
        </w:rPr>
        <w:t>1.4</w:t>
      </w:r>
      <w:r w:rsidRPr="00A9327A">
        <w:rPr>
          <w:lang w:val="fr-CH"/>
        </w:rPr>
        <w:tab/>
      </w:r>
      <w:r w:rsidR="00787358">
        <w:rPr>
          <w:lang w:val="fr-CH"/>
        </w:rPr>
        <w:t>Il</w:t>
      </w:r>
      <w:r w:rsidR="00F70064" w:rsidRPr="00A9327A">
        <w:rPr>
          <w:lang w:val="fr-CH"/>
        </w:rPr>
        <w:t xml:space="preserve"> est </w:t>
      </w:r>
      <w:r w:rsidR="00787358">
        <w:rPr>
          <w:lang w:val="fr-CH"/>
        </w:rPr>
        <w:t xml:space="preserve">en outre </w:t>
      </w:r>
      <w:r w:rsidR="00F70064" w:rsidRPr="00A9327A">
        <w:rPr>
          <w:lang w:val="fr-CH"/>
        </w:rPr>
        <w:t xml:space="preserve">demandé, dans l'annexe de la Résolution 25 de la PP-14, d'organiser </w:t>
      </w:r>
      <w:r w:rsidR="00CD210C" w:rsidRPr="00A9327A">
        <w:rPr>
          <w:lang w:val="fr-CH"/>
        </w:rPr>
        <w:t xml:space="preserve">une fois tous les quatre ans </w:t>
      </w:r>
      <w:r w:rsidR="00F70064" w:rsidRPr="00A9327A">
        <w:rPr>
          <w:lang w:val="fr-CH"/>
        </w:rPr>
        <w:t xml:space="preserve">une enquête de satisfaction </w:t>
      </w:r>
      <w:r w:rsidR="00CD210C" w:rsidRPr="00A9327A">
        <w:rPr>
          <w:lang w:val="fr-CH"/>
        </w:rPr>
        <w:t>concernant la présence régionale de l'UIT adressée aux</w:t>
      </w:r>
      <w:r w:rsidR="00F70064" w:rsidRPr="00A9327A">
        <w:rPr>
          <w:lang w:val="fr-CH"/>
        </w:rPr>
        <w:t xml:space="preserve"> Etats Membres, </w:t>
      </w:r>
      <w:r w:rsidR="00CD210C" w:rsidRPr="00A9327A">
        <w:rPr>
          <w:lang w:val="fr-CH"/>
        </w:rPr>
        <w:t xml:space="preserve">aux </w:t>
      </w:r>
      <w:r w:rsidR="00F70064" w:rsidRPr="00A9327A">
        <w:rPr>
          <w:lang w:val="fr-CH"/>
        </w:rPr>
        <w:t xml:space="preserve">Membres de Secteur et </w:t>
      </w:r>
      <w:r w:rsidR="00CD210C" w:rsidRPr="00A9327A">
        <w:rPr>
          <w:lang w:val="fr-CH"/>
        </w:rPr>
        <w:t>aux organisations régionales de télécommunication. Conformément à l'annexe de la Résolution 25, "</w:t>
      </w:r>
      <w:r w:rsidR="00CD210C" w:rsidRPr="00A9327A">
        <w:rPr>
          <w:color w:val="000000"/>
          <w:lang w:val="fr-CH"/>
        </w:rPr>
        <w:t>le Conseil devrait alors examiner la suite à donner en vue de faire rapport à la Conférence de plénipotentiaires de 2018 sur la question".</w:t>
      </w:r>
    </w:p>
    <w:p w14:paraId="6BED6B0E" w14:textId="0E369256" w:rsidR="00CD210C" w:rsidRPr="00A9327A" w:rsidRDefault="00CD210C" w:rsidP="00080985">
      <w:pPr>
        <w:pStyle w:val="enumlev1"/>
        <w:tabs>
          <w:tab w:val="clear" w:pos="1134"/>
          <w:tab w:val="left" w:pos="1276"/>
        </w:tabs>
        <w:ind w:left="0" w:firstLine="0"/>
        <w:rPr>
          <w:lang w:val="fr-CH"/>
        </w:rPr>
      </w:pPr>
      <w:r w:rsidRPr="00A9327A">
        <w:rPr>
          <w:color w:val="000000"/>
          <w:lang w:val="fr-CH"/>
        </w:rPr>
        <w:t>1.5</w:t>
      </w:r>
      <w:r w:rsidRPr="00A9327A">
        <w:rPr>
          <w:color w:val="000000"/>
          <w:lang w:val="fr-CH"/>
        </w:rPr>
        <w:tab/>
        <w:t xml:space="preserve">Il est rappelé qu'une </w:t>
      </w:r>
      <w:r w:rsidR="00787358">
        <w:rPr>
          <w:color w:val="000000"/>
          <w:lang w:val="fr-CH"/>
        </w:rPr>
        <w:t>enquête</w:t>
      </w:r>
      <w:r w:rsidRPr="00A9327A">
        <w:rPr>
          <w:color w:val="000000"/>
          <w:lang w:val="fr-CH"/>
        </w:rPr>
        <w:t xml:space="preserve"> de ce type </w:t>
      </w:r>
      <w:r w:rsidR="00787358">
        <w:rPr>
          <w:color w:val="000000"/>
          <w:lang w:val="fr-CH"/>
        </w:rPr>
        <w:t>a</w:t>
      </w:r>
      <w:r w:rsidRPr="00A9327A">
        <w:rPr>
          <w:color w:val="000000"/>
          <w:lang w:val="fr-CH"/>
        </w:rPr>
        <w:t xml:space="preserve"> été réalisée en 2016</w:t>
      </w:r>
      <w:r w:rsidR="00787358">
        <w:rPr>
          <w:color w:val="000000"/>
          <w:lang w:val="fr-CH"/>
        </w:rPr>
        <w:t>; ses résultats et un rapport à </w:t>
      </w:r>
      <w:r w:rsidRPr="00A9327A">
        <w:rPr>
          <w:color w:val="000000"/>
          <w:lang w:val="fr-CH"/>
        </w:rPr>
        <w:t xml:space="preserve">ce sujet </w:t>
      </w:r>
      <w:r w:rsidR="00787358">
        <w:rPr>
          <w:color w:val="000000"/>
          <w:lang w:val="fr-CH"/>
        </w:rPr>
        <w:t>ont</w:t>
      </w:r>
      <w:r w:rsidRPr="00A9327A">
        <w:rPr>
          <w:color w:val="000000"/>
          <w:lang w:val="fr-CH"/>
        </w:rPr>
        <w:t xml:space="preserve"> été présentés au Conseil à sa session de 2017 (</w:t>
      </w:r>
      <w:hyperlink r:id="rId14" w:history="1">
        <w:r w:rsidR="00787358">
          <w:rPr>
            <w:rStyle w:val="Hyperlink"/>
            <w:szCs w:val="24"/>
            <w:lang w:val="fr-CH"/>
          </w:rPr>
          <w:t>Document C</w:t>
        </w:r>
        <w:r w:rsidRPr="00A9327A">
          <w:rPr>
            <w:rStyle w:val="Hyperlink"/>
            <w:szCs w:val="24"/>
            <w:lang w:val="fr-CH"/>
          </w:rPr>
          <w:t>17/INF/12</w:t>
        </w:r>
      </w:hyperlink>
      <w:r w:rsidRPr="00787358">
        <w:rPr>
          <w:rStyle w:val="Hyperlink"/>
          <w:color w:val="auto"/>
          <w:szCs w:val="24"/>
          <w:u w:val="none"/>
          <w:lang w:val="fr-CH"/>
        </w:rPr>
        <w:t>)</w:t>
      </w:r>
      <w:r w:rsidRPr="00A9327A">
        <w:rPr>
          <w:rStyle w:val="Hyperlink"/>
          <w:color w:val="auto"/>
          <w:szCs w:val="24"/>
          <w:u w:val="none"/>
          <w:lang w:val="fr-CH"/>
        </w:rPr>
        <w:t xml:space="preserve">. A </w:t>
      </w:r>
      <w:r w:rsidR="00787358">
        <w:rPr>
          <w:rStyle w:val="Hyperlink"/>
          <w:color w:val="auto"/>
          <w:szCs w:val="24"/>
          <w:u w:val="none"/>
          <w:lang w:val="fr-CH"/>
        </w:rPr>
        <w:t>cette même</w:t>
      </w:r>
      <w:r w:rsidRPr="00A9327A">
        <w:rPr>
          <w:rStyle w:val="Hyperlink"/>
          <w:color w:val="auto"/>
          <w:szCs w:val="24"/>
          <w:u w:val="none"/>
          <w:lang w:val="fr-CH"/>
        </w:rPr>
        <w:t xml:space="preserve"> session, le Conseil a pris note du document C17/25 (Renforcement de la présence régionale), qui fait référence à l'enquête de satisfaction décrite dans le Document C17/INF/22. </w:t>
      </w:r>
      <w:r w:rsidR="00A16FC3" w:rsidRPr="00A9327A">
        <w:rPr>
          <w:color w:val="000000"/>
          <w:lang w:val="fr-CH"/>
        </w:rPr>
        <w:t>L'UIT a reçu 129 réponses</w:t>
      </w:r>
      <w:r w:rsidR="00787358">
        <w:rPr>
          <w:color w:val="000000"/>
          <w:lang w:val="fr-CH"/>
        </w:rPr>
        <w:t>, dont</w:t>
      </w:r>
      <w:r w:rsidR="00A16FC3" w:rsidRPr="00A9327A">
        <w:rPr>
          <w:color w:val="000000"/>
          <w:lang w:val="fr-CH"/>
        </w:rPr>
        <w:t xml:space="preserve"> 88 émanant d'Etats Membres et 41 émanant de Membres de Secteur, d'Associés, d'organisations régionales et d'organisations internationales. Globalement, les résultats sont en général satisfaisants pour toutes les questions posées dans le cadre de l'enquête. </w:t>
      </w:r>
      <w:r w:rsidR="003E2C07" w:rsidRPr="00A9327A">
        <w:rPr>
          <w:color w:val="000000"/>
          <w:lang w:val="fr-CH"/>
        </w:rPr>
        <w:t>Les participants à l'enquête, dans leur très grande majorité, ont indiqué que l'emplacement des bureaux régionaux et des bureaux de zone était approprié et qu'ils connaissaient les activités de l'UIT, y compris les activités régionales. Les participants, dans leur majorité, ont également indiqué qu'ils jugeaient approprié le niveau des effectifs des bureaux régionaux et des bureaux de zone.</w:t>
      </w:r>
    </w:p>
    <w:p w14:paraId="0E30D97F" w14:textId="77777777" w:rsidR="002735DB" w:rsidRPr="00A9327A" w:rsidRDefault="002735DB" w:rsidP="00080985">
      <w:pPr>
        <w:pStyle w:val="Heading1"/>
        <w:rPr>
          <w:lang w:val="fr-CH"/>
        </w:rPr>
      </w:pPr>
      <w:r w:rsidRPr="00A9327A">
        <w:rPr>
          <w:lang w:val="fr-CH"/>
        </w:rPr>
        <w:t>2</w:t>
      </w:r>
      <w:r w:rsidRPr="00A9327A">
        <w:rPr>
          <w:lang w:val="fr-CH"/>
        </w:rPr>
        <w:tab/>
        <w:t>Résultats obtenus au niveau régional (plan opérationnel, initiatives régionales et projets)</w:t>
      </w:r>
    </w:p>
    <w:p w14:paraId="47C01FEA" w14:textId="051C2876" w:rsidR="002735DB" w:rsidRPr="00A9327A" w:rsidRDefault="002735DB" w:rsidP="00BD7CEE">
      <w:pPr>
        <w:rPr>
          <w:lang w:val="fr-CH"/>
        </w:rPr>
      </w:pPr>
      <w:r w:rsidRPr="00A9327A">
        <w:rPr>
          <w:lang w:val="fr-CH"/>
        </w:rPr>
        <w:t>2.1</w:t>
      </w:r>
      <w:r w:rsidRPr="00A9327A">
        <w:rPr>
          <w:lang w:val="fr-CH"/>
        </w:rPr>
        <w:tab/>
        <w:t>La mise en oeuvre des initiatives régionales et l'exécution des programmes, des projets et des activités sont conduites sur le terrain sous la direction des bureaux régionaux et des bureaux de zone. Les principaux résultats obtenus sont communiqués régulièrement au GCDT et au Conseil. Ces résultats figurent aussi dans les rapports trimestriels qui ont été mis en place par le Bureau en 2013, en vue de donner des précisions sur la mise en oeuvre des plans stratégique, financier et opérationnel, y compris au niveau régional.</w:t>
      </w:r>
      <w:r w:rsidR="00BD7CEE">
        <w:rPr>
          <w:lang w:val="fr-CH"/>
        </w:rPr>
        <w:t xml:space="preserve"> </w:t>
      </w:r>
      <w:r w:rsidRPr="00A9327A">
        <w:rPr>
          <w:lang w:val="fr-CH"/>
        </w:rPr>
        <w:t xml:space="preserve">Les rapports </w:t>
      </w:r>
      <w:r w:rsidR="00BD7CEE">
        <w:rPr>
          <w:lang w:val="fr-CH"/>
        </w:rPr>
        <w:t>trimestriels sont disponibles à </w:t>
      </w:r>
      <w:r w:rsidRPr="00A9327A">
        <w:rPr>
          <w:lang w:val="fr-CH"/>
        </w:rPr>
        <w:t>l'adresse suivante:</w:t>
      </w:r>
      <w:r w:rsidRPr="00A9327A">
        <w:rPr>
          <w:rFonts w:asciiTheme="minorHAnsi" w:hAnsiTheme="minorHAnsi"/>
          <w:lang w:val="fr-CH"/>
        </w:rPr>
        <w:t xml:space="preserve"> </w:t>
      </w:r>
      <w:hyperlink r:id="rId15" w:history="1">
        <w:r w:rsidR="00384A1B" w:rsidRPr="00A9327A">
          <w:rPr>
            <w:rStyle w:val="Hyperlink"/>
            <w:rFonts w:asciiTheme="minorHAnsi" w:hAnsiTheme="minorHAnsi"/>
            <w:lang w:val="fr-CH"/>
          </w:rPr>
          <w:t>http://www.itu.int/en/ITU</w:t>
        </w:r>
        <w:r w:rsidR="00384A1B" w:rsidRPr="00A9327A">
          <w:rPr>
            <w:rStyle w:val="Hyperlink"/>
            <w:rFonts w:asciiTheme="minorHAnsi" w:hAnsiTheme="minorHAnsi"/>
            <w:lang w:val="fr-CH"/>
          </w:rPr>
          <w:noBreakHyphen/>
          <w:t>D/Pages/OperationalPlansPerformanceReports.aspx</w:t>
        </w:r>
      </w:hyperlink>
      <w:r w:rsidRPr="004D1EDC">
        <w:rPr>
          <w:rStyle w:val="Hyperlink"/>
          <w:rFonts w:asciiTheme="minorHAnsi" w:hAnsiTheme="minorHAnsi"/>
          <w:color w:val="auto"/>
          <w:u w:val="none"/>
          <w:lang w:val="fr-CH"/>
        </w:rPr>
        <w:t>.</w:t>
      </w:r>
    </w:p>
    <w:p w14:paraId="309521B6" w14:textId="77777777" w:rsidR="002735DB" w:rsidRPr="00A9327A" w:rsidRDefault="002735DB" w:rsidP="00080985">
      <w:pPr>
        <w:rPr>
          <w:lang w:val="fr-CH"/>
        </w:rPr>
      </w:pPr>
      <w:r w:rsidRPr="00A9327A">
        <w:rPr>
          <w:lang w:val="fr-CH"/>
        </w:rPr>
        <w:t>2.2</w:t>
      </w:r>
      <w:r w:rsidRPr="00A9327A">
        <w:rPr>
          <w:lang w:val="fr-CH"/>
        </w:rPr>
        <w:tab/>
        <w:t>Le rapport</w:t>
      </w:r>
      <w:r w:rsidR="003E2C07" w:rsidRPr="00A9327A">
        <w:rPr>
          <w:lang w:val="fr-CH"/>
        </w:rPr>
        <w:t xml:space="preserve"> d'activité de l'UIT-D pour 2017</w:t>
      </w:r>
      <w:r w:rsidRPr="00A9327A">
        <w:rPr>
          <w:lang w:val="fr-CH"/>
        </w:rPr>
        <w:t xml:space="preserve"> présente de manière détaillée la contribution des bureaux régionaux et des bureaux de zone à la mise en oeuvre des plans stratégique et opérationn</w:t>
      </w:r>
      <w:r w:rsidR="003E2C07" w:rsidRPr="00A9327A">
        <w:rPr>
          <w:lang w:val="fr-CH"/>
        </w:rPr>
        <w:t>el de l'UIT-D pour 2017</w:t>
      </w:r>
      <w:r w:rsidRPr="00A9327A">
        <w:rPr>
          <w:lang w:val="fr-CH"/>
        </w:rPr>
        <w:t xml:space="preserve">. Le rapport d'activité est accessible à l'adresse suivante: </w:t>
      </w:r>
      <w:hyperlink r:id="rId16" w:history="1">
        <w:r w:rsidR="003E2C07" w:rsidRPr="00A9327A">
          <w:rPr>
            <w:rStyle w:val="Hyperlink"/>
            <w:lang w:val="fr-CH"/>
          </w:rPr>
          <w:t>https://www.itu.int/en/ITU-D/TIES_Protected/PerfReport2017.pdf</w:t>
        </w:r>
      </w:hyperlink>
      <w:r w:rsidRPr="00A9327A">
        <w:rPr>
          <w:lang w:val="fr-CH"/>
        </w:rPr>
        <w:t>.</w:t>
      </w:r>
    </w:p>
    <w:p w14:paraId="643B1B75" w14:textId="2B705E5E" w:rsidR="001F49EA" w:rsidRPr="00A9327A" w:rsidRDefault="003E2C07" w:rsidP="00080985">
      <w:pPr>
        <w:rPr>
          <w:lang w:val="fr-CH"/>
        </w:rPr>
      </w:pPr>
      <w:r w:rsidRPr="00A9327A">
        <w:rPr>
          <w:lang w:val="fr-CH"/>
        </w:rPr>
        <w:t>2.3</w:t>
      </w:r>
      <w:r w:rsidRPr="00A9327A">
        <w:rPr>
          <w:lang w:val="fr-CH"/>
        </w:rPr>
        <w:tab/>
        <w:t>En 2017</w:t>
      </w:r>
      <w:r w:rsidR="002735DB" w:rsidRPr="00A9327A">
        <w:rPr>
          <w:lang w:val="fr-CH"/>
        </w:rPr>
        <w:t xml:space="preserve">, la mise en oeuvre du plan opérationnel </w:t>
      </w:r>
      <w:r w:rsidRPr="00A9327A">
        <w:rPr>
          <w:lang w:val="fr-CH"/>
        </w:rPr>
        <w:t>du BDT (budget ordinaire) s'est traduite par 239</w:t>
      </w:r>
      <w:r w:rsidR="002735DB" w:rsidRPr="00A9327A">
        <w:rPr>
          <w:lang w:val="fr-CH"/>
        </w:rPr>
        <w:t> mesures pour un niveau total d'exécution de 2</w:t>
      </w:r>
      <w:r w:rsidR="0006566D">
        <w:rPr>
          <w:lang w:val="fr-CH"/>
        </w:rPr>
        <w:t xml:space="preserve">,4 millions </w:t>
      </w:r>
      <w:r w:rsidR="002735DB" w:rsidRPr="00A9327A">
        <w:rPr>
          <w:lang w:val="fr-CH"/>
        </w:rPr>
        <w:t>CHF</w:t>
      </w:r>
      <w:r w:rsidRPr="00A9327A">
        <w:rPr>
          <w:lang w:val="fr-CH"/>
        </w:rPr>
        <w:t xml:space="preserve"> (Tableau 1)</w:t>
      </w:r>
      <w:r w:rsidR="002735DB" w:rsidRPr="00A9327A">
        <w:rPr>
          <w:lang w:val="fr-CH"/>
        </w:rPr>
        <w:t xml:space="preserve">. Le niveau de mise en oeuvre des projets de coopération technique a représenté </w:t>
      </w:r>
      <w:r w:rsidRPr="00A9327A">
        <w:rPr>
          <w:lang w:val="fr-CH"/>
        </w:rPr>
        <w:t xml:space="preserve">9,4 millions </w:t>
      </w:r>
      <w:r w:rsidR="00D82FF3" w:rsidRPr="00A9327A">
        <w:rPr>
          <w:lang w:val="fr-CH"/>
        </w:rPr>
        <w:t>USD</w:t>
      </w:r>
      <w:r w:rsidR="0006566D">
        <w:rPr>
          <w:lang w:val="fr-CH"/>
        </w:rPr>
        <w:t xml:space="preserve"> pour </w:t>
      </w:r>
      <w:r w:rsidRPr="00A9327A">
        <w:rPr>
          <w:lang w:val="fr-CH"/>
        </w:rPr>
        <w:t>48</w:t>
      </w:r>
      <w:r w:rsidR="002735DB" w:rsidRPr="00A9327A">
        <w:rPr>
          <w:lang w:val="fr-CH"/>
        </w:rPr>
        <w:t> projets</w:t>
      </w:r>
      <w:r w:rsidRPr="00A9327A">
        <w:rPr>
          <w:lang w:val="fr-CH"/>
        </w:rPr>
        <w:t xml:space="preserve"> (Tableau 2)</w:t>
      </w:r>
      <w:r w:rsidRPr="0006566D">
        <w:rPr>
          <w:rStyle w:val="FootnoteReference"/>
          <w:sz w:val="18"/>
          <w:szCs w:val="18"/>
          <w:lang w:val="fr-CH"/>
        </w:rPr>
        <w:footnoteReference w:id="1"/>
      </w:r>
      <w:r w:rsidR="002735DB" w:rsidRPr="00A9327A">
        <w:rPr>
          <w:lang w:val="fr-CH"/>
        </w:rPr>
        <w:t>.</w:t>
      </w:r>
    </w:p>
    <w:p w14:paraId="4A993743" w14:textId="36D35921" w:rsidR="001F49EA" w:rsidRDefault="001F49EA" w:rsidP="00080985">
      <w:pPr>
        <w:tabs>
          <w:tab w:val="clear" w:pos="567"/>
          <w:tab w:val="clear" w:pos="1134"/>
          <w:tab w:val="clear" w:pos="1701"/>
          <w:tab w:val="clear" w:pos="2268"/>
          <w:tab w:val="clear" w:pos="2835"/>
        </w:tabs>
        <w:spacing w:before="360" w:after="240"/>
        <w:jc w:val="center"/>
        <w:rPr>
          <w:i/>
          <w:iCs/>
          <w:lang w:val="fr-CH"/>
        </w:rPr>
      </w:pPr>
      <w:r w:rsidRPr="00A9327A">
        <w:rPr>
          <w:b/>
          <w:bCs/>
          <w:lang w:val="fr-CH"/>
        </w:rPr>
        <w:t>Tableau 1</w:t>
      </w:r>
      <w:r w:rsidR="0006566D">
        <w:rPr>
          <w:b/>
          <w:bCs/>
          <w:lang w:val="fr-CH"/>
        </w:rPr>
        <w:t xml:space="preserve"> – Mise en oeuvre du Plan opérationnel du BDT en 2017</w:t>
      </w:r>
      <w:r w:rsidRPr="00A9327A">
        <w:rPr>
          <w:b/>
          <w:bCs/>
          <w:lang w:val="fr-CH"/>
        </w:rPr>
        <w:br/>
      </w:r>
      <w:r w:rsidRPr="00A9327A">
        <w:rPr>
          <w:i/>
          <w:iCs/>
          <w:lang w:val="fr-CH"/>
        </w:rPr>
        <w:t>(montant</w:t>
      </w:r>
      <w:r w:rsidR="0006566D">
        <w:rPr>
          <w:i/>
          <w:iCs/>
          <w:lang w:val="fr-CH"/>
        </w:rPr>
        <w:t>s</w:t>
      </w:r>
      <w:r w:rsidRPr="00A9327A">
        <w:rPr>
          <w:i/>
          <w:iCs/>
          <w:lang w:val="fr-CH"/>
        </w:rPr>
        <w:t xml:space="preserve"> en milliers de francs suisses (CHF))</w:t>
      </w:r>
    </w:p>
    <w:tbl>
      <w:tblPr>
        <w:tblStyle w:val="TableGrid"/>
        <w:tblW w:w="0" w:type="auto"/>
        <w:jc w:val="center"/>
        <w:tblLook w:val="04A0" w:firstRow="1" w:lastRow="0" w:firstColumn="1" w:lastColumn="0" w:noHBand="0" w:noVBand="1"/>
      </w:tblPr>
      <w:tblGrid>
        <w:gridCol w:w="1126"/>
        <w:gridCol w:w="857"/>
        <w:gridCol w:w="845"/>
        <w:gridCol w:w="857"/>
        <w:gridCol w:w="844"/>
        <w:gridCol w:w="856"/>
        <w:gridCol w:w="844"/>
        <w:gridCol w:w="856"/>
        <w:gridCol w:w="844"/>
        <w:gridCol w:w="856"/>
        <w:gridCol w:w="844"/>
      </w:tblGrid>
      <w:tr w:rsidR="0006566D" w:rsidRPr="00BA227C" w14:paraId="00D21BC6" w14:textId="346E6BF0" w:rsidTr="00BD7CEE">
        <w:trPr>
          <w:jc w:val="center"/>
        </w:trPr>
        <w:tc>
          <w:tcPr>
            <w:tcW w:w="1165" w:type="dxa"/>
            <w:vMerge w:val="restart"/>
            <w:vAlign w:val="center"/>
          </w:tcPr>
          <w:p w14:paraId="7EB32A5B" w14:textId="202BFA58" w:rsidR="0006566D" w:rsidRPr="00BA227C" w:rsidRDefault="0006566D" w:rsidP="00080985">
            <w:pPr>
              <w:rPr>
                <w:i/>
                <w:iCs/>
                <w:sz w:val="14"/>
                <w:szCs w:val="14"/>
                <w:lang w:val="fr-CH"/>
              </w:rPr>
            </w:pPr>
            <w:r w:rsidRPr="00BA227C">
              <w:rPr>
                <w:i/>
                <w:iCs/>
                <w:sz w:val="14"/>
                <w:szCs w:val="14"/>
                <w:lang w:val="fr-CH"/>
              </w:rPr>
              <w:t>Région</w:t>
            </w:r>
          </w:p>
        </w:tc>
        <w:tc>
          <w:tcPr>
            <w:tcW w:w="1752" w:type="dxa"/>
            <w:gridSpan w:val="2"/>
          </w:tcPr>
          <w:p w14:paraId="005619A3" w14:textId="573300F1" w:rsidR="0006566D" w:rsidRPr="00F361B2" w:rsidRDefault="0006566D" w:rsidP="00080985">
            <w:pPr>
              <w:pStyle w:val="Tablehead"/>
              <w:rPr>
                <w:i/>
                <w:iCs/>
                <w:sz w:val="16"/>
                <w:szCs w:val="16"/>
                <w:lang w:val="fr-CH"/>
              </w:rPr>
            </w:pPr>
            <w:r w:rsidRPr="00F361B2">
              <w:rPr>
                <w:i/>
                <w:iCs/>
                <w:sz w:val="16"/>
                <w:szCs w:val="16"/>
                <w:lang w:val="fr-CH"/>
              </w:rPr>
              <w:t>Objectif 2</w:t>
            </w:r>
          </w:p>
        </w:tc>
        <w:tc>
          <w:tcPr>
            <w:tcW w:w="1751" w:type="dxa"/>
            <w:gridSpan w:val="2"/>
          </w:tcPr>
          <w:p w14:paraId="7633304E" w14:textId="28D10891" w:rsidR="0006566D" w:rsidRPr="00F361B2" w:rsidRDefault="0006566D" w:rsidP="00080985">
            <w:pPr>
              <w:pStyle w:val="Tablehead"/>
              <w:rPr>
                <w:i/>
                <w:iCs/>
                <w:sz w:val="16"/>
                <w:szCs w:val="16"/>
                <w:lang w:val="fr-CH"/>
              </w:rPr>
            </w:pPr>
            <w:r w:rsidRPr="00F361B2">
              <w:rPr>
                <w:i/>
                <w:iCs/>
                <w:sz w:val="16"/>
                <w:szCs w:val="16"/>
                <w:lang w:val="fr-CH"/>
              </w:rPr>
              <w:t>Objectif 3</w:t>
            </w:r>
          </w:p>
        </w:tc>
        <w:tc>
          <w:tcPr>
            <w:tcW w:w="1750" w:type="dxa"/>
            <w:gridSpan w:val="2"/>
          </w:tcPr>
          <w:p w14:paraId="06CE01E0" w14:textId="6FCF4433" w:rsidR="0006566D" w:rsidRPr="00F361B2" w:rsidRDefault="0006566D" w:rsidP="00080985">
            <w:pPr>
              <w:pStyle w:val="Tablehead"/>
              <w:rPr>
                <w:i/>
                <w:iCs/>
                <w:sz w:val="16"/>
                <w:szCs w:val="16"/>
                <w:lang w:val="fr-CH"/>
              </w:rPr>
            </w:pPr>
            <w:r w:rsidRPr="00F361B2">
              <w:rPr>
                <w:i/>
                <w:iCs/>
                <w:sz w:val="16"/>
                <w:szCs w:val="16"/>
                <w:lang w:val="fr-CH"/>
              </w:rPr>
              <w:t>Objectif 4</w:t>
            </w:r>
          </w:p>
        </w:tc>
        <w:tc>
          <w:tcPr>
            <w:tcW w:w="1750" w:type="dxa"/>
            <w:gridSpan w:val="2"/>
          </w:tcPr>
          <w:p w14:paraId="07D4CB42" w14:textId="0BD71C5C" w:rsidR="0006566D" w:rsidRPr="00F361B2" w:rsidRDefault="0006566D" w:rsidP="00080985">
            <w:pPr>
              <w:pStyle w:val="Tablehead"/>
              <w:rPr>
                <w:i/>
                <w:iCs/>
                <w:sz w:val="16"/>
                <w:szCs w:val="16"/>
                <w:lang w:val="fr-CH"/>
              </w:rPr>
            </w:pPr>
            <w:r w:rsidRPr="00F361B2">
              <w:rPr>
                <w:i/>
                <w:iCs/>
                <w:sz w:val="16"/>
                <w:szCs w:val="16"/>
                <w:lang w:val="fr-CH"/>
              </w:rPr>
              <w:t>Objectif 5</w:t>
            </w:r>
          </w:p>
        </w:tc>
        <w:tc>
          <w:tcPr>
            <w:tcW w:w="1750" w:type="dxa"/>
            <w:gridSpan w:val="2"/>
          </w:tcPr>
          <w:p w14:paraId="0B2F94E8" w14:textId="56679D5C" w:rsidR="0006566D" w:rsidRPr="00F361B2" w:rsidRDefault="0006566D" w:rsidP="00080985">
            <w:pPr>
              <w:pStyle w:val="Tablehead"/>
              <w:rPr>
                <w:i/>
                <w:iCs/>
                <w:sz w:val="16"/>
                <w:szCs w:val="16"/>
                <w:lang w:val="fr-CH"/>
              </w:rPr>
            </w:pPr>
            <w:r w:rsidRPr="00F361B2">
              <w:rPr>
                <w:i/>
                <w:iCs/>
                <w:sz w:val="16"/>
                <w:szCs w:val="16"/>
                <w:lang w:val="fr-CH"/>
              </w:rPr>
              <w:t>TOTAL</w:t>
            </w:r>
          </w:p>
        </w:tc>
      </w:tr>
      <w:tr w:rsidR="00BA227C" w:rsidRPr="00BA227C" w14:paraId="339BC95E" w14:textId="77777777" w:rsidTr="00BD7CEE">
        <w:trPr>
          <w:jc w:val="center"/>
        </w:trPr>
        <w:tc>
          <w:tcPr>
            <w:tcW w:w="1165" w:type="dxa"/>
            <w:vMerge/>
            <w:tcBorders>
              <w:bottom w:val="single" w:sz="4" w:space="0" w:color="auto"/>
            </w:tcBorders>
          </w:tcPr>
          <w:p w14:paraId="7B8F61B9" w14:textId="77777777" w:rsidR="0006566D" w:rsidRPr="00BA227C" w:rsidRDefault="0006566D" w:rsidP="00080985">
            <w:pPr>
              <w:rPr>
                <w:sz w:val="14"/>
                <w:szCs w:val="14"/>
                <w:lang w:val="fr-CH"/>
              </w:rPr>
            </w:pPr>
          </w:p>
        </w:tc>
        <w:tc>
          <w:tcPr>
            <w:tcW w:w="876" w:type="dxa"/>
            <w:tcBorders>
              <w:bottom w:val="single" w:sz="4" w:space="0" w:color="auto"/>
            </w:tcBorders>
          </w:tcPr>
          <w:p w14:paraId="46A4DDD5" w14:textId="522FCEEC" w:rsidR="0006566D" w:rsidRPr="00BA227C" w:rsidRDefault="0006566D" w:rsidP="00080985">
            <w:pPr>
              <w:jc w:val="center"/>
              <w:rPr>
                <w:i/>
                <w:iCs/>
                <w:sz w:val="14"/>
                <w:szCs w:val="14"/>
                <w:lang w:val="fr-CH"/>
              </w:rPr>
            </w:pPr>
            <w:r w:rsidRPr="00BA227C">
              <w:rPr>
                <w:i/>
                <w:iCs/>
                <w:sz w:val="14"/>
                <w:szCs w:val="14"/>
                <w:lang w:val="fr-CH"/>
              </w:rPr>
              <w:t>Nombre d'actions</w:t>
            </w:r>
          </w:p>
        </w:tc>
        <w:tc>
          <w:tcPr>
            <w:tcW w:w="876" w:type="dxa"/>
            <w:tcBorders>
              <w:bottom w:val="single" w:sz="4" w:space="0" w:color="auto"/>
            </w:tcBorders>
          </w:tcPr>
          <w:p w14:paraId="3DDF1650" w14:textId="5089A74B" w:rsidR="0006566D" w:rsidRPr="00BA227C" w:rsidRDefault="0006566D" w:rsidP="00080985">
            <w:pPr>
              <w:jc w:val="center"/>
              <w:rPr>
                <w:i/>
                <w:iCs/>
                <w:sz w:val="14"/>
                <w:szCs w:val="14"/>
                <w:lang w:val="fr-CH"/>
              </w:rPr>
            </w:pPr>
            <w:r w:rsidRPr="00BA227C">
              <w:rPr>
                <w:i/>
                <w:iCs/>
                <w:sz w:val="14"/>
                <w:szCs w:val="14"/>
                <w:lang w:val="fr-CH"/>
              </w:rPr>
              <w:t xml:space="preserve">Niveau de mise en oeuvre </w:t>
            </w:r>
            <w:r w:rsidR="00BA227C">
              <w:rPr>
                <w:i/>
                <w:iCs/>
                <w:sz w:val="14"/>
                <w:szCs w:val="14"/>
                <w:lang w:val="fr-CH"/>
              </w:rPr>
              <w:br/>
            </w:r>
            <w:r w:rsidRPr="00BA227C">
              <w:rPr>
                <w:i/>
                <w:iCs/>
                <w:sz w:val="14"/>
                <w:szCs w:val="14"/>
                <w:lang w:val="fr-CH"/>
              </w:rPr>
              <w:t>(en milliers de CHF)</w:t>
            </w:r>
          </w:p>
        </w:tc>
        <w:tc>
          <w:tcPr>
            <w:tcW w:w="876" w:type="dxa"/>
            <w:tcBorders>
              <w:bottom w:val="single" w:sz="4" w:space="0" w:color="auto"/>
            </w:tcBorders>
          </w:tcPr>
          <w:p w14:paraId="3267BE0D" w14:textId="3B9E5834" w:rsidR="0006566D" w:rsidRPr="00BA227C" w:rsidRDefault="0006566D" w:rsidP="00080985">
            <w:pPr>
              <w:jc w:val="center"/>
              <w:rPr>
                <w:i/>
                <w:iCs/>
                <w:sz w:val="14"/>
                <w:szCs w:val="14"/>
                <w:lang w:val="fr-CH"/>
              </w:rPr>
            </w:pPr>
            <w:r w:rsidRPr="00BA227C">
              <w:rPr>
                <w:i/>
                <w:iCs/>
                <w:sz w:val="14"/>
                <w:szCs w:val="14"/>
                <w:lang w:val="fr-CH"/>
              </w:rPr>
              <w:t>Nombre d'actions</w:t>
            </w:r>
          </w:p>
        </w:tc>
        <w:tc>
          <w:tcPr>
            <w:tcW w:w="875" w:type="dxa"/>
            <w:tcBorders>
              <w:bottom w:val="single" w:sz="4" w:space="0" w:color="auto"/>
            </w:tcBorders>
          </w:tcPr>
          <w:p w14:paraId="50F2BB09" w14:textId="4BE3B845" w:rsidR="0006566D" w:rsidRPr="00BA227C" w:rsidRDefault="0006566D" w:rsidP="00080985">
            <w:pPr>
              <w:jc w:val="center"/>
              <w:rPr>
                <w:i/>
                <w:iCs/>
                <w:sz w:val="14"/>
                <w:szCs w:val="14"/>
                <w:lang w:val="fr-CH"/>
              </w:rPr>
            </w:pPr>
            <w:r w:rsidRPr="00BA227C">
              <w:rPr>
                <w:i/>
                <w:iCs/>
                <w:sz w:val="14"/>
                <w:szCs w:val="14"/>
                <w:lang w:val="fr-CH"/>
              </w:rPr>
              <w:t xml:space="preserve">Niveau de mise en oeuvre </w:t>
            </w:r>
            <w:r w:rsidR="00BA227C">
              <w:rPr>
                <w:i/>
                <w:iCs/>
                <w:sz w:val="14"/>
                <w:szCs w:val="14"/>
                <w:lang w:val="fr-CH"/>
              </w:rPr>
              <w:br/>
            </w:r>
            <w:r w:rsidRPr="00BA227C">
              <w:rPr>
                <w:i/>
                <w:iCs/>
                <w:sz w:val="14"/>
                <w:szCs w:val="14"/>
                <w:lang w:val="fr-CH"/>
              </w:rPr>
              <w:t>(en milliers de CHF)</w:t>
            </w:r>
          </w:p>
        </w:tc>
        <w:tc>
          <w:tcPr>
            <w:tcW w:w="875" w:type="dxa"/>
            <w:tcBorders>
              <w:bottom w:val="single" w:sz="4" w:space="0" w:color="auto"/>
            </w:tcBorders>
          </w:tcPr>
          <w:p w14:paraId="0AFE1899" w14:textId="44AA867A" w:rsidR="0006566D" w:rsidRPr="00BA227C" w:rsidRDefault="0006566D" w:rsidP="00080985">
            <w:pPr>
              <w:jc w:val="center"/>
              <w:rPr>
                <w:i/>
                <w:iCs/>
                <w:sz w:val="14"/>
                <w:szCs w:val="14"/>
                <w:lang w:val="fr-CH"/>
              </w:rPr>
            </w:pPr>
            <w:r w:rsidRPr="00BA227C">
              <w:rPr>
                <w:i/>
                <w:iCs/>
                <w:sz w:val="14"/>
                <w:szCs w:val="14"/>
                <w:lang w:val="fr-CH"/>
              </w:rPr>
              <w:t>Nombre d'actions</w:t>
            </w:r>
          </w:p>
        </w:tc>
        <w:tc>
          <w:tcPr>
            <w:tcW w:w="875" w:type="dxa"/>
            <w:tcBorders>
              <w:bottom w:val="single" w:sz="4" w:space="0" w:color="auto"/>
            </w:tcBorders>
          </w:tcPr>
          <w:p w14:paraId="51024E44" w14:textId="7A21089A" w:rsidR="0006566D" w:rsidRPr="00BA227C" w:rsidRDefault="0006566D" w:rsidP="00080985">
            <w:pPr>
              <w:jc w:val="center"/>
              <w:rPr>
                <w:i/>
                <w:iCs/>
                <w:sz w:val="14"/>
                <w:szCs w:val="14"/>
                <w:lang w:val="fr-CH"/>
              </w:rPr>
            </w:pPr>
            <w:r w:rsidRPr="00BA227C">
              <w:rPr>
                <w:i/>
                <w:iCs/>
                <w:sz w:val="14"/>
                <w:szCs w:val="14"/>
                <w:lang w:val="fr-CH"/>
              </w:rPr>
              <w:t xml:space="preserve">Niveau de mise en oeuvre </w:t>
            </w:r>
            <w:r w:rsidR="00BA227C">
              <w:rPr>
                <w:i/>
                <w:iCs/>
                <w:sz w:val="14"/>
                <w:szCs w:val="14"/>
                <w:lang w:val="fr-CH"/>
              </w:rPr>
              <w:br/>
            </w:r>
            <w:r w:rsidRPr="00BA227C">
              <w:rPr>
                <w:i/>
                <w:iCs/>
                <w:sz w:val="14"/>
                <w:szCs w:val="14"/>
                <w:lang w:val="fr-CH"/>
              </w:rPr>
              <w:t>(en milliers de CHF)</w:t>
            </w:r>
          </w:p>
        </w:tc>
        <w:tc>
          <w:tcPr>
            <w:tcW w:w="875" w:type="dxa"/>
            <w:tcBorders>
              <w:bottom w:val="single" w:sz="4" w:space="0" w:color="auto"/>
            </w:tcBorders>
          </w:tcPr>
          <w:p w14:paraId="608178BE" w14:textId="5CF5CA04" w:rsidR="0006566D" w:rsidRPr="00BA227C" w:rsidRDefault="0006566D" w:rsidP="00080985">
            <w:pPr>
              <w:jc w:val="center"/>
              <w:rPr>
                <w:i/>
                <w:iCs/>
                <w:sz w:val="14"/>
                <w:szCs w:val="14"/>
                <w:lang w:val="fr-CH"/>
              </w:rPr>
            </w:pPr>
            <w:r w:rsidRPr="00BA227C">
              <w:rPr>
                <w:i/>
                <w:iCs/>
                <w:sz w:val="14"/>
                <w:szCs w:val="14"/>
                <w:lang w:val="fr-CH"/>
              </w:rPr>
              <w:t>Nombre d'actions</w:t>
            </w:r>
          </w:p>
        </w:tc>
        <w:tc>
          <w:tcPr>
            <w:tcW w:w="875" w:type="dxa"/>
            <w:tcBorders>
              <w:bottom w:val="single" w:sz="4" w:space="0" w:color="auto"/>
            </w:tcBorders>
          </w:tcPr>
          <w:p w14:paraId="6201FC65" w14:textId="6053FE78" w:rsidR="0006566D" w:rsidRPr="00BA227C" w:rsidRDefault="0006566D" w:rsidP="00080985">
            <w:pPr>
              <w:jc w:val="center"/>
              <w:rPr>
                <w:i/>
                <w:iCs/>
                <w:sz w:val="14"/>
                <w:szCs w:val="14"/>
                <w:lang w:val="fr-CH"/>
              </w:rPr>
            </w:pPr>
            <w:r w:rsidRPr="00BA227C">
              <w:rPr>
                <w:i/>
                <w:iCs/>
                <w:sz w:val="14"/>
                <w:szCs w:val="14"/>
                <w:lang w:val="fr-CH"/>
              </w:rPr>
              <w:t xml:space="preserve">Niveau de mise en oeuvre </w:t>
            </w:r>
            <w:r w:rsidR="00BA227C">
              <w:rPr>
                <w:i/>
                <w:iCs/>
                <w:sz w:val="14"/>
                <w:szCs w:val="14"/>
                <w:lang w:val="fr-CH"/>
              </w:rPr>
              <w:br/>
            </w:r>
            <w:r w:rsidRPr="00BA227C">
              <w:rPr>
                <w:i/>
                <w:iCs/>
                <w:sz w:val="14"/>
                <w:szCs w:val="14"/>
                <w:lang w:val="fr-CH"/>
              </w:rPr>
              <w:t>(en milliers de CHF)</w:t>
            </w:r>
          </w:p>
        </w:tc>
        <w:tc>
          <w:tcPr>
            <w:tcW w:w="875" w:type="dxa"/>
            <w:tcBorders>
              <w:bottom w:val="single" w:sz="4" w:space="0" w:color="auto"/>
            </w:tcBorders>
          </w:tcPr>
          <w:p w14:paraId="013C93B3" w14:textId="5C53D12B" w:rsidR="0006566D" w:rsidRPr="00BA227C" w:rsidRDefault="0006566D" w:rsidP="00080985">
            <w:pPr>
              <w:jc w:val="center"/>
              <w:rPr>
                <w:i/>
                <w:iCs/>
                <w:sz w:val="14"/>
                <w:szCs w:val="14"/>
                <w:lang w:val="fr-CH"/>
              </w:rPr>
            </w:pPr>
            <w:r w:rsidRPr="00BA227C">
              <w:rPr>
                <w:i/>
                <w:iCs/>
                <w:sz w:val="14"/>
                <w:szCs w:val="14"/>
                <w:lang w:val="fr-CH"/>
              </w:rPr>
              <w:t>Nombre d'actions</w:t>
            </w:r>
          </w:p>
        </w:tc>
        <w:tc>
          <w:tcPr>
            <w:tcW w:w="875" w:type="dxa"/>
            <w:tcBorders>
              <w:bottom w:val="single" w:sz="4" w:space="0" w:color="auto"/>
            </w:tcBorders>
          </w:tcPr>
          <w:p w14:paraId="0BFAE7D0" w14:textId="11562B9F" w:rsidR="0006566D" w:rsidRPr="00BA227C" w:rsidRDefault="0006566D" w:rsidP="00080985">
            <w:pPr>
              <w:jc w:val="center"/>
              <w:rPr>
                <w:i/>
                <w:iCs/>
                <w:sz w:val="14"/>
                <w:szCs w:val="14"/>
                <w:lang w:val="fr-CH"/>
              </w:rPr>
            </w:pPr>
            <w:r w:rsidRPr="00BA227C">
              <w:rPr>
                <w:i/>
                <w:iCs/>
                <w:sz w:val="14"/>
                <w:szCs w:val="14"/>
                <w:lang w:val="fr-CH"/>
              </w:rPr>
              <w:t xml:space="preserve">Niveau de mise en oeuvre </w:t>
            </w:r>
            <w:r w:rsidR="00BA227C">
              <w:rPr>
                <w:i/>
                <w:iCs/>
                <w:sz w:val="14"/>
                <w:szCs w:val="14"/>
                <w:lang w:val="fr-CH"/>
              </w:rPr>
              <w:br/>
            </w:r>
            <w:r w:rsidRPr="00BA227C">
              <w:rPr>
                <w:i/>
                <w:iCs/>
                <w:sz w:val="14"/>
                <w:szCs w:val="14"/>
                <w:lang w:val="fr-CH"/>
              </w:rPr>
              <w:t>(en milliers de CHF)</w:t>
            </w:r>
          </w:p>
        </w:tc>
      </w:tr>
      <w:tr w:rsidR="0006566D" w:rsidRPr="00BA227C" w14:paraId="19F21D38" w14:textId="77777777" w:rsidTr="00BD7CEE">
        <w:trPr>
          <w:jc w:val="center"/>
        </w:trPr>
        <w:tc>
          <w:tcPr>
            <w:tcW w:w="1165" w:type="dxa"/>
            <w:tcBorders>
              <w:top w:val="single" w:sz="4" w:space="0" w:color="auto"/>
              <w:left w:val="nil"/>
              <w:bottom w:val="nil"/>
              <w:right w:val="nil"/>
            </w:tcBorders>
          </w:tcPr>
          <w:p w14:paraId="6E817E29" w14:textId="7857B186" w:rsidR="0006566D" w:rsidRPr="00BA227C" w:rsidRDefault="0006566D" w:rsidP="00080985">
            <w:pPr>
              <w:rPr>
                <w:b/>
                <w:bCs/>
                <w:sz w:val="14"/>
                <w:szCs w:val="14"/>
                <w:lang w:val="fr-CH"/>
              </w:rPr>
            </w:pPr>
            <w:r w:rsidRPr="00BA227C">
              <w:rPr>
                <w:b/>
                <w:bCs/>
                <w:sz w:val="14"/>
                <w:szCs w:val="14"/>
                <w:lang w:val="fr-CH"/>
              </w:rPr>
              <w:t>Afrique</w:t>
            </w:r>
          </w:p>
        </w:tc>
        <w:tc>
          <w:tcPr>
            <w:tcW w:w="876" w:type="dxa"/>
            <w:tcBorders>
              <w:top w:val="single" w:sz="4" w:space="0" w:color="auto"/>
              <w:left w:val="nil"/>
              <w:bottom w:val="nil"/>
              <w:right w:val="nil"/>
            </w:tcBorders>
          </w:tcPr>
          <w:p w14:paraId="78D1CF12" w14:textId="57426D1F" w:rsidR="0006566D" w:rsidRPr="00BA227C" w:rsidRDefault="0006566D" w:rsidP="00080985">
            <w:pPr>
              <w:jc w:val="right"/>
              <w:rPr>
                <w:sz w:val="14"/>
                <w:szCs w:val="14"/>
                <w:lang w:val="fr-CH"/>
              </w:rPr>
            </w:pPr>
            <w:r w:rsidRPr="00BA227C">
              <w:rPr>
                <w:sz w:val="14"/>
                <w:szCs w:val="14"/>
                <w:lang w:val="fr-CH"/>
              </w:rPr>
              <w:t>25</w:t>
            </w:r>
          </w:p>
        </w:tc>
        <w:tc>
          <w:tcPr>
            <w:tcW w:w="876" w:type="dxa"/>
            <w:tcBorders>
              <w:top w:val="single" w:sz="4" w:space="0" w:color="auto"/>
              <w:left w:val="nil"/>
              <w:bottom w:val="nil"/>
              <w:right w:val="nil"/>
            </w:tcBorders>
          </w:tcPr>
          <w:p w14:paraId="2401E033" w14:textId="2A611973" w:rsidR="0006566D" w:rsidRPr="00BA227C" w:rsidRDefault="0006566D" w:rsidP="00080985">
            <w:pPr>
              <w:jc w:val="right"/>
              <w:rPr>
                <w:sz w:val="14"/>
                <w:szCs w:val="14"/>
                <w:lang w:val="fr-CH"/>
              </w:rPr>
            </w:pPr>
            <w:r w:rsidRPr="00BA227C">
              <w:rPr>
                <w:sz w:val="14"/>
                <w:szCs w:val="14"/>
                <w:lang w:val="fr-CH"/>
              </w:rPr>
              <w:t>331</w:t>
            </w:r>
          </w:p>
        </w:tc>
        <w:tc>
          <w:tcPr>
            <w:tcW w:w="876" w:type="dxa"/>
            <w:tcBorders>
              <w:top w:val="single" w:sz="4" w:space="0" w:color="auto"/>
              <w:left w:val="nil"/>
              <w:bottom w:val="nil"/>
              <w:right w:val="nil"/>
            </w:tcBorders>
          </w:tcPr>
          <w:p w14:paraId="7702C556" w14:textId="6A1A2CC9" w:rsidR="0006566D" w:rsidRPr="00BA227C" w:rsidRDefault="0006566D" w:rsidP="00080985">
            <w:pPr>
              <w:jc w:val="right"/>
              <w:rPr>
                <w:sz w:val="14"/>
                <w:szCs w:val="14"/>
                <w:lang w:val="fr-CH"/>
              </w:rPr>
            </w:pPr>
            <w:r w:rsidRPr="00BA227C">
              <w:rPr>
                <w:sz w:val="14"/>
                <w:szCs w:val="14"/>
                <w:lang w:val="fr-CH"/>
              </w:rPr>
              <w:t>10</w:t>
            </w:r>
          </w:p>
        </w:tc>
        <w:tc>
          <w:tcPr>
            <w:tcW w:w="875" w:type="dxa"/>
            <w:tcBorders>
              <w:top w:val="single" w:sz="4" w:space="0" w:color="auto"/>
              <w:left w:val="nil"/>
              <w:bottom w:val="nil"/>
              <w:right w:val="nil"/>
            </w:tcBorders>
          </w:tcPr>
          <w:p w14:paraId="40597904" w14:textId="09351D53" w:rsidR="0006566D" w:rsidRPr="00BA227C" w:rsidRDefault="0006566D" w:rsidP="00080985">
            <w:pPr>
              <w:jc w:val="right"/>
              <w:rPr>
                <w:sz w:val="14"/>
                <w:szCs w:val="14"/>
                <w:lang w:val="fr-CH"/>
              </w:rPr>
            </w:pPr>
            <w:r w:rsidRPr="00BA227C">
              <w:rPr>
                <w:sz w:val="14"/>
                <w:szCs w:val="14"/>
                <w:lang w:val="fr-CH"/>
              </w:rPr>
              <w:t>124</w:t>
            </w:r>
          </w:p>
        </w:tc>
        <w:tc>
          <w:tcPr>
            <w:tcW w:w="875" w:type="dxa"/>
            <w:tcBorders>
              <w:top w:val="single" w:sz="4" w:space="0" w:color="auto"/>
              <w:left w:val="nil"/>
              <w:bottom w:val="nil"/>
              <w:right w:val="nil"/>
            </w:tcBorders>
          </w:tcPr>
          <w:p w14:paraId="43846332" w14:textId="55B2A7C2" w:rsidR="0006566D" w:rsidRPr="00BA227C" w:rsidRDefault="0006566D" w:rsidP="00080985">
            <w:pPr>
              <w:jc w:val="right"/>
              <w:rPr>
                <w:sz w:val="14"/>
                <w:szCs w:val="14"/>
                <w:lang w:val="fr-CH"/>
              </w:rPr>
            </w:pPr>
            <w:r w:rsidRPr="00BA227C">
              <w:rPr>
                <w:sz w:val="14"/>
                <w:szCs w:val="14"/>
                <w:lang w:val="fr-CH"/>
              </w:rPr>
              <w:t>13</w:t>
            </w:r>
          </w:p>
        </w:tc>
        <w:tc>
          <w:tcPr>
            <w:tcW w:w="875" w:type="dxa"/>
            <w:tcBorders>
              <w:top w:val="single" w:sz="4" w:space="0" w:color="auto"/>
              <w:left w:val="nil"/>
              <w:bottom w:val="nil"/>
              <w:right w:val="nil"/>
            </w:tcBorders>
          </w:tcPr>
          <w:p w14:paraId="48DE5FB6" w14:textId="41DA9691" w:rsidR="0006566D" w:rsidRPr="00BA227C" w:rsidRDefault="0006566D" w:rsidP="00080985">
            <w:pPr>
              <w:jc w:val="right"/>
              <w:rPr>
                <w:sz w:val="14"/>
                <w:szCs w:val="14"/>
                <w:lang w:val="fr-CH"/>
              </w:rPr>
            </w:pPr>
            <w:r w:rsidRPr="00BA227C">
              <w:rPr>
                <w:sz w:val="14"/>
                <w:szCs w:val="14"/>
                <w:lang w:val="fr-CH"/>
              </w:rPr>
              <w:t>142</w:t>
            </w:r>
          </w:p>
        </w:tc>
        <w:tc>
          <w:tcPr>
            <w:tcW w:w="875" w:type="dxa"/>
            <w:tcBorders>
              <w:top w:val="single" w:sz="4" w:space="0" w:color="auto"/>
              <w:left w:val="nil"/>
              <w:bottom w:val="nil"/>
              <w:right w:val="nil"/>
            </w:tcBorders>
          </w:tcPr>
          <w:p w14:paraId="160AAE33" w14:textId="77777777" w:rsidR="0006566D" w:rsidRPr="00BA227C" w:rsidRDefault="0006566D" w:rsidP="00080985">
            <w:pPr>
              <w:jc w:val="right"/>
              <w:rPr>
                <w:sz w:val="14"/>
                <w:szCs w:val="14"/>
                <w:lang w:val="fr-CH"/>
              </w:rPr>
            </w:pPr>
          </w:p>
        </w:tc>
        <w:tc>
          <w:tcPr>
            <w:tcW w:w="875" w:type="dxa"/>
            <w:tcBorders>
              <w:top w:val="single" w:sz="4" w:space="0" w:color="auto"/>
              <w:left w:val="nil"/>
              <w:bottom w:val="nil"/>
              <w:right w:val="nil"/>
            </w:tcBorders>
          </w:tcPr>
          <w:p w14:paraId="32C98F47" w14:textId="77777777" w:rsidR="0006566D" w:rsidRPr="00BA227C" w:rsidRDefault="0006566D" w:rsidP="00080985">
            <w:pPr>
              <w:jc w:val="right"/>
              <w:rPr>
                <w:sz w:val="14"/>
                <w:szCs w:val="14"/>
                <w:lang w:val="fr-CH"/>
              </w:rPr>
            </w:pPr>
          </w:p>
        </w:tc>
        <w:tc>
          <w:tcPr>
            <w:tcW w:w="875" w:type="dxa"/>
            <w:tcBorders>
              <w:top w:val="single" w:sz="4" w:space="0" w:color="auto"/>
              <w:left w:val="nil"/>
              <w:bottom w:val="nil"/>
              <w:right w:val="nil"/>
            </w:tcBorders>
          </w:tcPr>
          <w:p w14:paraId="798A6BD5" w14:textId="79CF1163" w:rsidR="0006566D" w:rsidRPr="00BA227C" w:rsidRDefault="0006566D" w:rsidP="00080985">
            <w:pPr>
              <w:jc w:val="right"/>
              <w:rPr>
                <w:b/>
                <w:bCs/>
                <w:sz w:val="14"/>
                <w:szCs w:val="14"/>
                <w:lang w:val="fr-CH"/>
              </w:rPr>
            </w:pPr>
            <w:r w:rsidRPr="00BA227C">
              <w:rPr>
                <w:b/>
                <w:bCs/>
                <w:sz w:val="14"/>
                <w:szCs w:val="14"/>
                <w:lang w:val="fr-CH"/>
              </w:rPr>
              <w:t>48</w:t>
            </w:r>
          </w:p>
        </w:tc>
        <w:tc>
          <w:tcPr>
            <w:tcW w:w="875" w:type="dxa"/>
            <w:tcBorders>
              <w:top w:val="single" w:sz="4" w:space="0" w:color="auto"/>
              <w:left w:val="nil"/>
              <w:bottom w:val="nil"/>
              <w:right w:val="nil"/>
            </w:tcBorders>
          </w:tcPr>
          <w:p w14:paraId="4E57D0CD" w14:textId="17DB0591" w:rsidR="0006566D" w:rsidRPr="00BA227C" w:rsidRDefault="0006566D" w:rsidP="00080985">
            <w:pPr>
              <w:jc w:val="right"/>
              <w:rPr>
                <w:b/>
                <w:bCs/>
                <w:sz w:val="14"/>
                <w:szCs w:val="14"/>
                <w:lang w:val="fr-CH"/>
              </w:rPr>
            </w:pPr>
            <w:r w:rsidRPr="00BA227C">
              <w:rPr>
                <w:b/>
                <w:bCs/>
                <w:sz w:val="14"/>
                <w:szCs w:val="14"/>
                <w:lang w:val="fr-CH"/>
              </w:rPr>
              <w:t>597</w:t>
            </w:r>
          </w:p>
        </w:tc>
      </w:tr>
      <w:tr w:rsidR="0006566D" w:rsidRPr="00BA227C" w14:paraId="5745639A" w14:textId="77777777" w:rsidTr="00BD7CEE">
        <w:trPr>
          <w:jc w:val="center"/>
        </w:trPr>
        <w:tc>
          <w:tcPr>
            <w:tcW w:w="1165" w:type="dxa"/>
            <w:tcBorders>
              <w:top w:val="nil"/>
              <w:left w:val="nil"/>
              <w:bottom w:val="nil"/>
              <w:right w:val="nil"/>
            </w:tcBorders>
          </w:tcPr>
          <w:p w14:paraId="1C218E61" w14:textId="1C0AE829" w:rsidR="0006566D" w:rsidRPr="00BA227C" w:rsidRDefault="0006566D" w:rsidP="00080985">
            <w:pPr>
              <w:rPr>
                <w:b/>
                <w:bCs/>
                <w:sz w:val="14"/>
                <w:szCs w:val="14"/>
                <w:lang w:val="fr-CH"/>
              </w:rPr>
            </w:pPr>
            <w:r w:rsidRPr="00BA227C">
              <w:rPr>
                <w:b/>
                <w:bCs/>
                <w:sz w:val="14"/>
                <w:szCs w:val="14"/>
                <w:lang w:val="fr-CH"/>
              </w:rPr>
              <w:t>Amériques</w:t>
            </w:r>
          </w:p>
        </w:tc>
        <w:tc>
          <w:tcPr>
            <w:tcW w:w="876" w:type="dxa"/>
            <w:tcBorders>
              <w:top w:val="nil"/>
              <w:left w:val="nil"/>
              <w:bottom w:val="nil"/>
              <w:right w:val="nil"/>
            </w:tcBorders>
          </w:tcPr>
          <w:p w14:paraId="4E5FD6D6" w14:textId="53C9C453" w:rsidR="0006566D" w:rsidRPr="00BA227C" w:rsidRDefault="0006566D" w:rsidP="00080985">
            <w:pPr>
              <w:jc w:val="right"/>
              <w:rPr>
                <w:sz w:val="14"/>
                <w:szCs w:val="14"/>
                <w:lang w:val="fr-CH"/>
              </w:rPr>
            </w:pPr>
            <w:r w:rsidRPr="00BA227C">
              <w:rPr>
                <w:sz w:val="14"/>
                <w:szCs w:val="14"/>
                <w:lang w:val="fr-CH"/>
              </w:rPr>
              <w:t>14</w:t>
            </w:r>
          </w:p>
        </w:tc>
        <w:tc>
          <w:tcPr>
            <w:tcW w:w="876" w:type="dxa"/>
            <w:tcBorders>
              <w:top w:val="nil"/>
              <w:left w:val="nil"/>
              <w:bottom w:val="nil"/>
              <w:right w:val="nil"/>
            </w:tcBorders>
          </w:tcPr>
          <w:p w14:paraId="4DC1A10A" w14:textId="142EA284" w:rsidR="0006566D" w:rsidRPr="00BA227C" w:rsidRDefault="0006566D" w:rsidP="00080985">
            <w:pPr>
              <w:jc w:val="right"/>
              <w:rPr>
                <w:sz w:val="14"/>
                <w:szCs w:val="14"/>
                <w:lang w:val="fr-CH"/>
              </w:rPr>
            </w:pPr>
            <w:r w:rsidRPr="00BA227C">
              <w:rPr>
                <w:sz w:val="14"/>
                <w:szCs w:val="14"/>
                <w:lang w:val="fr-CH"/>
              </w:rPr>
              <w:t>238</w:t>
            </w:r>
          </w:p>
        </w:tc>
        <w:tc>
          <w:tcPr>
            <w:tcW w:w="876" w:type="dxa"/>
            <w:tcBorders>
              <w:top w:val="nil"/>
              <w:left w:val="nil"/>
              <w:bottom w:val="nil"/>
              <w:right w:val="nil"/>
            </w:tcBorders>
          </w:tcPr>
          <w:p w14:paraId="184BD98C" w14:textId="14B8660E" w:rsidR="0006566D" w:rsidRPr="00BA227C" w:rsidRDefault="0006566D" w:rsidP="00080985">
            <w:pPr>
              <w:jc w:val="right"/>
              <w:rPr>
                <w:sz w:val="14"/>
                <w:szCs w:val="14"/>
                <w:lang w:val="fr-CH"/>
              </w:rPr>
            </w:pPr>
            <w:r w:rsidRPr="00BA227C">
              <w:rPr>
                <w:sz w:val="14"/>
                <w:szCs w:val="14"/>
                <w:lang w:val="fr-CH"/>
              </w:rPr>
              <w:t>4</w:t>
            </w:r>
          </w:p>
        </w:tc>
        <w:tc>
          <w:tcPr>
            <w:tcW w:w="875" w:type="dxa"/>
            <w:tcBorders>
              <w:top w:val="nil"/>
              <w:left w:val="nil"/>
              <w:bottom w:val="nil"/>
              <w:right w:val="nil"/>
            </w:tcBorders>
          </w:tcPr>
          <w:p w14:paraId="30E58C54" w14:textId="1131807A" w:rsidR="0006566D" w:rsidRPr="00BA227C" w:rsidRDefault="0006566D" w:rsidP="00080985">
            <w:pPr>
              <w:jc w:val="right"/>
              <w:rPr>
                <w:sz w:val="14"/>
                <w:szCs w:val="14"/>
                <w:lang w:val="fr-CH"/>
              </w:rPr>
            </w:pPr>
            <w:r w:rsidRPr="00BA227C">
              <w:rPr>
                <w:sz w:val="14"/>
                <w:szCs w:val="14"/>
                <w:lang w:val="fr-CH"/>
              </w:rPr>
              <w:t>104</w:t>
            </w:r>
          </w:p>
        </w:tc>
        <w:tc>
          <w:tcPr>
            <w:tcW w:w="875" w:type="dxa"/>
            <w:tcBorders>
              <w:top w:val="nil"/>
              <w:left w:val="nil"/>
              <w:bottom w:val="nil"/>
              <w:right w:val="nil"/>
            </w:tcBorders>
          </w:tcPr>
          <w:p w14:paraId="71453C64" w14:textId="1FB575FF" w:rsidR="0006566D" w:rsidRPr="00BA227C" w:rsidRDefault="0006566D" w:rsidP="00080985">
            <w:pPr>
              <w:jc w:val="right"/>
              <w:rPr>
                <w:sz w:val="14"/>
                <w:szCs w:val="14"/>
                <w:lang w:val="fr-CH"/>
              </w:rPr>
            </w:pPr>
            <w:r w:rsidRPr="00BA227C">
              <w:rPr>
                <w:sz w:val="14"/>
                <w:szCs w:val="14"/>
                <w:lang w:val="fr-CH"/>
              </w:rPr>
              <w:t>10</w:t>
            </w:r>
          </w:p>
        </w:tc>
        <w:tc>
          <w:tcPr>
            <w:tcW w:w="875" w:type="dxa"/>
            <w:tcBorders>
              <w:top w:val="nil"/>
              <w:left w:val="nil"/>
              <w:bottom w:val="nil"/>
              <w:right w:val="nil"/>
            </w:tcBorders>
          </w:tcPr>
          <w:p w14:paraId="082ACC48" w14:textId="1483C206" w:rsidR="0006566D" w:rsidRPr="00BA227C" w:rsidRDefault="0006566D" w:rsidP="00080985">
            <w:pPr>
              <w:jc w:val="right"/>
              <w:rPr>
                <w:sz w:val="14"/>
                <w:szCs w:val="14"/>
                <w:lang w:val="fr-CH"/>
              </w:rPr>
            </w:pPr>
            <w:r w:rsidRPr="00BA227C">
              <w:rPr>
                <w:sz w:val="14"/>
                <w:szCs w:val="14"/>
                <w:lang w:val="fr-CH"/>
              </w:rPr>
              <w:t>194</w:t>
            </w:r>
          </w:p>
        </w:tc>
        <w:tc>
          <w:tcPr>
            <w:tcW w:w="875" w:type="dxa"/>
            <w:tcBorders>
              <w:top w:val="nil"/>
              <w:left w:val="nil"/>
              <w:bottom w:val="nil"/>
              <w:right w:val="nil"/>
            </w:tcBorders>
          </w:tcPr>
          <w:p w14:paraId="6CEB94AF" w14:textId="1A21A510" w:rsidR="0006566D" w:rsidRPr="00BA227C" w:rsidRDefault="00BA227C" w:rsidP="00080985">
            <w:pPr>
              <w:jc w:val="right"/>
              <w:rPr>
                <w:sz w:val="14"/>
                <w:szCs w:val="14"/>
                <w:lang w:val="fr-CH"/>
              </w:rPr>
            </w:pPr>
            <w:r w:rsidRPr="00BA227C">
              <w:rPr>
                <w:sz w:val="14"/>
                <w:szCs w:val="14"/>
                <w:lang w:val="fr-CH"/>
              </w:rPr>
              <w:t>4</w:t>
            </w:r>
          </w:p>
        </w:tc>
        <w:tc>
          <w:tcPr>
            <w:tcW w:w="875" w:type="dxa"/>
            <w:tcBorders>
              <w:top w:val="nil"/>
              <w:left w:val="nil"/>
              <w:bottom w:val="nil"/>
              <w:right w:val="nil"/>
            </w:tcBorders>
          </w:tcPr>
          <w:p w14:paraId="24B3F610" w14:textId="37C01A45" w:rsidR="0006566D" w:rsidRPr="00BA227C" w:rsidRDefault="00BA227C" w:rsidP="00080985">
            <w:pPr>
              <w:jc w:val="right"/>
              <w:rPr>
                <w:sz w:val="14"/>
                <w:szCs w:val="14"/>
                <w:lang w:val="fr-CH"/>
              </w:rPr>
            </w:pPr>
            <w:r w:rsidRPr="00BA227C">
              <w:rPr>
                <w:sz w:val="14"/>
                <w:szCs w:val="14"/>
                <w:lang w:val="fr-CH"/>
              </w:rPr>
              <w:t>113</w:t>
            </w:r>
          </w:p>
        </w:tc>
        <w:tc>
          <w:tcPr>
            <w:tcW w:w="875" w:type="dxa"/>
            <w:tcBorders>
              <w:top w:val="nil"/>
              <w:left w:val="nil"/>
              <w:bottom w:val="nil"/>
              <w:right w:val="nil"/>
            </w:tcBorders>
          </w:tcPr>
          <w:p w14:paraId="26F37A4A" w14:textId="0D999C78" w:rsidR="0006566D" w:rsidRPr="00BA227C" w:rsidRDefault="00BA227C" w:rsidP="00080985">
            <w:pPr>
              <w:jc w:val="right"/>
              <w:rPr>
                <w:b/>
                <w:bCs/>
                <w:sz w:val="14"/>
                <w:szCs w:val="14"/>
                <w:lang w:val="fr-CH"/>
              </w:rPr>
            </w:pPr>
            <w:r w:rsidRPr="00BA227C">
              <w:rPr>
                <w:b/>
                <w:bCs/>
                <w:sz w:val="14"/>
                <w:szCs w:val="14"/>
                <w:lang w:val="fr-CH"/>
              </w:rPr>
              <w:t>32</w:t>
            </w:r>
          </w:p>
        </w:tc>
        <w:tc>
          <w:tcPr>
            <w:tcW w:w="875" w:type="dxa"/>
            <w:tcBorders>
              <w:top w:val="nil"/>
              <w:left w:val="nil"/>
              <w:bottom w:val="nil"/>
              <w:right w:val="nil"/>
            </w:tcBorders>
          </w:tcPr>
          <w:p w14:paraId="65A71E61" w14:textId="168AF37C" w:rsidR="0006566D" w:rsidRPr="00BA227C" w:rsidRDefault="00BA227C" w:rsidP="00080985">
            <w:pPr>
              <w:jc w:val="right"/>
              <w:rPr>
                <w:b/>
                <w:bCs/>
                <w:sz w:val="14"/>
                <w:szCs w:val="14"/>
                <w:lang w:val="fr-CH"/>
              </w:rPr>
            </w:pPr>
            <w:r w:rsidRPr="00BA227C">
              <w:rPr>
                <w:b/>
                <w:bCs/>
                <w:sz w:val="14"/>
                <w:szCs w:val="14"/>
                <w:lang w:val="fr-CH"/>
              </w:rPr>
              <w:t>649</w:t>
            </w:r>
          </w:p>
        </w:tc>
      </w:tr>
      <w:tr w:rsidR="0006566D" w:rsidRPr="00BA227C" w14:paraId="48BFF289" w14:textId="77777777" w:rsidTr="00BD7CEE">
        <w:trPr>
          <w:jc w:val="center"/>
        </w:trPr>
        <w:tc>
          <w:tcPr>
            <w:tcW w:w="1165" w:type="dxa"/>
            <w:tcBorders>
              <w:top w:val="nil"/>
              <w:left w:val="nil"/>
              <w:bottom w:val="nil"/>
              <w:right w:val="nil"/>
            </w:tcBorders>
          </w:tcPr>
          <w:p w14:paraId="3050CCB8" w14:textId="69791EDF" w:rsidR="0006566D" w:rsidRPr="00BA227C" w:rsidRDefault="0006566D" w:rsidP="00080985">
            <w:pPr>
              <w:rPr>
                <w:b/>
                <w:bCs/>
                <w:sz w:val="14"/>
                <w:szCs w:val="14"/>
                <w:lang w:val="fr-CH"/>
              </w:rPr>
            </w:pPr>
            <w:r w:rsidRPr="00BA227C">
              <w:rPr>
                <w:b/>
                <w:bCs/>
                <w:sz w:val="14"/>
                <w:szCs w:val="14"/>
                <w:lang w:val="fr-CH"/>
              </w:rPr>
              <w:t>Etats arabes</w:t>
            </w:r>
          </w:p>
        </w:tc>
        <w:tc>
          <w:tcPr>
            <w:tcW w:w="876" w:type="dxa"/>
            <w:tcBorders>
              <w:top w:val="nil"/>
              <w:left w:val="nil"/>
              <w:bottom w:val="nil"/>
              <w:right w:val="nil"/>
            </w:tcBorders>
          </w:tcPr>
          <w:p w14:paraId="26CA87B6" w14:textId="7E7D7BE4" w:rsidR="0006566D" w:rsidRPr="00BA227C" w:rsidRDefault="0006566D" w:rsidP="00080985">
            <w:pPr>
              <w:jc w:val="right"/>
              <w:rPr>
                <w:sz w:val="14"/>
                <w:szCs w:val="14"/>
                <w:lang w:val="fr-CH"/>
              </w:rPr>
            </w:pPr>
            <w:r w:rsidRPr="00BA227C">
              <w:rPr>
                <w:sz w:val="14"/>
                <w:szCs w:val="14"/>
                <w:lang w:val="fr-CH"/>
              </w:rPr>
              <w:t>12</w:t>
            </w:r>
          </w:p>
        </w:tc>
        <w:tc>
          <w:tcPr>
            <w:tcW w:w="876" w:type="dxa"/>
            <w:tcBorders>
              <w:top w:val="nil"/>
              <w:left w:val="nil"/>
              <w:bottom w:val="nil"/>
              <w:right w:val="nil"/>
            </w:tcBorders>
          </w:tcPr>
          <w:p w14:paraId="42C514ED" w14:textId="5C1D702D" w:rsidR="0006566D" w:rsidRPr="00BA227C" w:rsidRDefault="0006566D" w:rsidP="00080985">
            <w:pPr>
              <w:jc w:val="right"/>
              <w:rPr>
                <w:sz w:val="14"/>
                <w:szCs w:val="14"/>
                <w:lang w:val="fr-CH"/>
              </w:rPr>
            </w:pPr>
            <w:r w:rsidRPr="00BA227C">
              <w:rPr>
                <w:sz w:val="14"/>
                <w:szCs w:val="14"/>
                <w:lang w:val="fr-CH"/>
              </w:rPr>
              <w:t>188</w:t>
            </w:r>
          </w:p>
        </w:tc>
        <w:tc>
          <w:tcPr>
            <w:tcW w:w="876" w:type="dxa"/>
            <w:tcBorders>
              <w:top w:val="nil"/>
              <w:left w:val="nil"/>
              <w:bottom w:val="nil"/>
              <w:right w:val="nil"/>
            </w:tcBorders>
          </w:tcPr>
          <w:p w14:paraId="1DC0B0B3" w14:textId="012FD519" w:rsidR="0006566D" w:rsidRPr="00BA227C" w:rsidRDefault="0006566D" w:rsidP="00080985">
            <w:pPr>
              <w:jc w:val="right"/>
              <w:rPr>
                <w:sz w:val="14"/>
                <w:szCs w:val="14"/>
                <w:lang w:val="fr-CH"/>
              </w:rPr>
            </w:pPr>
            <w:r w:rsidRPr="00BA227C">
              <w:rPr>
                <w:sz w:val="14"/>
                <w:szCs w:val="14"/>
                <w:lang w:val="fr-CH"/>
              </w:rPr>
              <w:t>8</w:t>
            </w:r>
          </w:p>
        </w:tc>
        <w:tc>
          <w:tcPr>
            <w:tcW w:w="875" w:type="dxa"/>
            <w:tcBorders>
              <w:top w:val="nil"/>
              <w:left w:val="nil"/>
              <w:bottom w:val="nil"/>
              <w:right w:val="nil"/>
            </w:tcBorders>
          </w:tcPr>
          <w:p w14:paraId="04478C63" w14:textId="331A765D" w:rsidR="0006566D" w:rsidRPr="00BA227C" w:rsidRDefault="0006566D" w:rsidP="00080985">
            <w:pPr>
              <w:jc w:val="right"/>
              <w:rPr>
                <w:sz w:val="14"/>
                <w:szCs w:val="14"/>
                <w:lang w:val="fr-CH"/>
              </w:rPr>
            </w:pPr>
            <w:r w:rsidRPr="00BA227C">
              <w:rPr>
                <w:sz w:val="14"/>
                <w:szCs w:val="14"/>
                <w:lang w:val="fr-CH"/>
              </w:rPr>
              <w:t>56</w:t>
            </w:r>
          </w:p>
        </w:tc>
        <w:tc>
          <w:tcPr>
            <w:tcW w:w="875" w:type="dxa"/>
            <w:tcBorders>
              <w:top w:val="nil"/>
              <w:left w:val="nil"/>
              <w:bottom w:val="nil"/>
              <w:right w:val="nil"/>
            </w:tcBorders>
          </w:tcPr>
          <w:p w14:paraId="47E15EC6" w14:textId="0F7C6E43" w:rsidR="0006566D" w:rsidRPr="00BA227C" w:rsidRDefault="0006566D" w:rsidP="00080985">
            <w:pPr>
              <w:jc w:val="right"/>
              <w:rPr>
                <w:sz w:val="14"/>
                <w:szCs w:val="14"/>
                <w:lang w:val="fr-CH"/>
              </w:rPr>
            </w:pPr>
            <w:r w:rsidRPr="00BA227C">
              <w:rPr>
                <w:sz w:val="14"/>
                <w:szCs w:val="14"/>
                <w:lang w:val="fr-CH"/>
              </w:rPr>
              <w:t>8</w:t>
            </w:r>
          </w:p>
        </w:tc>
        <w:tc>
          <w:tcPr>
            <w:tcW w:w="875" w:type="dxa"/>
            <w:tcBorders>
              <w:top w:val="nil"/>
              <w:left w:val="nil"/>
              <w:bottom w:val="nil"/>
              <w:right w:val="nil"/>
            </w:tcBorders>
          </w:tcPr>
          <w:p w14:paraId="2BFD9D3C" w14:textId="16066859" w:rsidR="0006566D" w:rsidRPr="00BA227C" w:rsidRDefault="0006566D" w:rsidP="00080985">
            <w:pPr>
              <w:jc w:val="right"/>
              <w:rPr>
                <w:sz w:val="14"/>
                <w:szCs w:val="14"/>
                <w:lang w:val="fr-CH"/>
              </w:rPr>
            </w:pPr>
            <w:r w:rsidRPr="00BA227C">
              <w:rPr>
                <w:sz w:val="14"/>
                <w:szCs w:val="14"/>
                <w:lang w:val="fr-CH"/>
              </w:rPr>
              <w:t>56</w:t>
            </w:r>
          </w:p>
        </w:tc>
        <w:tc>
          <w:tcPr>
            <w:tcW w:w="875" w:type="dxa"/>
            <w:tcBorders>
              <w:top w:val="nil"/>
              <w:left w:val="nil"/>
              <w:bottom w:val="nil"/>
              <w:right w:val="nil"/>
            </w:tcBorders>
          </w:tcPr>
          <w:p w14:paraId="3B85CF54" w14:textId="17C603EC" w:rsidR="0006566D" w:rsidRPr="00BA227C" w:rsidRDefault="00BA227C" w:rsidP="00080985">
            <w:pPr>
              <w:jc w:val="right"/>
              <w:rPr>
                <w:sz w:val="14"/>
                <w:szCs w:val="14"/>
                <w:lang w:val="fr-CH"/>
              </w:rPr>
            </w:pPr>
            <w:r w:rsidRPr="00BA227C">
              <w:rPr>
                <w:sz w:val="14"/>
                <w:szCs w:val="14"/>
                <w:lang w:val="fr-CH"/>
              </w:rPr>
              <w:t>4</w:t>
            </w:r>
          </w:p>
        </w:tc>
        <w:tc>
          <w:tcPr>
            <w:tcW w:w="875" w:type="dxa"/>
            <w:tcBorders>
              <w:top w:val="nil"/>
              <w:left w:val="nil"/>
              <w:bottom w:val="nil"/>
              <w:right w:val="nil"/>
            </w:tcBorders>
          </w:tcPr>
          <w:p w14:paraId="176F9CC4" w14:textId="5FBC9DCF" w:rsidR="0006566D" w:rsidRPr="00BA227C" w:rsidRDefault="00BA227C" w:rsidP="00080985">
            <w:pPr>
              <w:jc w:val="right"/>
              <w:rPr>
                <w:sz w:val="14"/>
                <w:szCs w:val="14"/>
                <w:lang w:val="fr-CH"/>
              </w:rPr>
            </w:pPr>
            <w:r w:rsidRPr="00BA227C">
              <w:rPr>
                <w:sz w:val="14"/>
                <w:szCs w:val="14"/>
                <w:lang w:val="fr-CH"/>
              </w:rPr>
              <w:t>69</w:t>
            </w:r>
          </w:p>
        </w:tc>
        <w:tc>
          <w:tcPr>
            <w:tcW w:w="875" w:type="dxa"/>
            <w:tcBorders>
              <w:top w:val="nil"/>
              <w:left w:val="nil"/>
              <w:bottom w:val="nil"/>
              <w:right w:val="nil"/>
            </w:tcBorders>
          </w:tcPr>
          <w:p w14:paraId="2FDDB71D" w14:textId="59145C58" w:rsidR="0006566D" w:rsidRPr="00BA227C" w:rsidRDefault="00BA227C" w:rsidP="00080985">
            <w:pPr>
              <w:jc w:val="right"/>
              <w:rPr>
                <w:b/>
                <w:bCs/>
                <w:sz w:val="14"/>
                <w:szCs w:val="14"/>
                <w:lang w:val="fr-CH"/>
              </w:rPr>
            </w:pPr>
            <w:r w:rsidRPr="00BA227C">
              <w:rPr>
                <w:b/>
                <w:bCs/>
                <w:sz w:val="14"/>
                <w:szCs w:val="14"/>
                <w:lang w:val="fr-CH"/>
              </w:rPr>
              <w:t>32</w:t>
            </w:r>
          </w:p>
        </w:tc>
        <w:tc>
          <w:tcPr>
            <w:tcW w:w="875" w:type="dxa"/>
            <w:tcBorders>
              <w:top w:val="nil"/>
              <w:left w:val="nil"/>
              <w:bottom w:val="nil"/>
              <w:right w:val="nil"/>
            </w:tcBorders>
          </w:tcPr>
          <w:p w14:paraId="67C697F1" w14:textId="6BABA1BA" w:rsidR="0006566D" w:rsidRPr="00BA227C" w:rsidRDefault="00BA227C" w:rsidP="00080985">
            <w:pPr>
              <w:jc w:val="right"/>
              <w:rPr>
                <w:b/>
                <w:bCs/>
                <w:sz w:val="14"/>
                <w:szCs w:val="14"/>
                <w:lang w:val="fr-CH"/>
              </w:rPr>
            </w:pPr>
            <w:r w:rsidRPr="00BA227C">
              <w:rPr>
                <w:b/>
                <w:bCs/>
                <w:sz w:val="14"/>
                <w:szCs w:val="14"/>
                <w:lang w:val="fr-CH"/>
              </w:rPr>
              <w:t>369</w:t>
            </w:r>
          </w:p>
        </w:tc>
      </w:tr>
      <w:tr w:rsidR="0006566D" w:rsidRPr="00BA227C" w14:paraId="4A5704B9" w14:textId="77777777" w:rsidTr="00BD7CEE">
        <w:trPr>
          <w:jc w:val="center"/>
        </w:trPr>
        <w:tc>
          <w:tcPr>
            <w:tcW w:w="1165" w:type="dxa"/>
            <w:tcBorders>
              <w:top w:val="nil"/>
              <w:left w:val="nil"/>
              <w:bottom w:val="nil"/>
              <w:right w:val="nil"/>
            </w:tcBorders>
          </w:tcPr>
          <w:p w14:paraId="38027A18" w14:textId="66A230C5" w:rsidR="0006566D" w:rsidRPr="00BA227C" w:rsidRDefault="0006566D" w:rsidP="00080985">
            <w:pPr>
              <w:rPr>
                <w:b/>
                <w:bCs/>
                <w:sz w:val="14"/>
                <w:szCs w:val="14"/>
                <w:lang w:val="fr-CH"/>
              </w:rPr>
            </w:pPr>
            <w:r w:rsidRPr="00BA227C">
              <w:rPr>
                <w:b/>
                <w:bCs/>
                <w:sz w:val="14"/>
                <w:szCs w:val="14"/>
                <w:lang w:val="fr-CH"/>
              </w:rPr>
              <w:t>Asie-Pacifique</w:t>
            </w:r>
          </w:p>
        </w:tc>
        <w:tc>
          <w:tcPr>
            <w:tcW w:w="876" w:type="dxa"/>
            <w:tcBorders>
              <w:top w:val="nil"/>
              <w:left w:val="nil"/>
              <w:bottom w:val="nil"/>
              <w:right w:val="nil"/>
            </w:tcBorders>
          </w:tcPr>
          <w:p w14:paraId="5212BA4B" w14:textId="2F06CE91" w:rsidR="0006566D" w:rsidRPr="00BA227C" w:rsidRDefault="0006566D" w:rsidP="00080985">
            <w:pPr>
              <w:jc w:val="right"/>
              <w:rPr>
                <w:sz w:val="14"/>
                <w:szCs w:val="14"/>
                <w:lang w:val="fr-CH"/>
              </w:rPr>
            </w:pPr>
            <w:r w:rsidRPr="00BA227C">
              <w:rPr>
                <w:sz w:val="14"/>
                <w:szCs w:val="14"/>
                <w:lang w:val="fr-CH"/>
              </w:rPr>
              <w:t>23</w:t>
            </w:r>
          </w:p>
        </w:tc>
        <w:tc>
          <w:tcPr>
            <w:tcW w:w="876" w:type="dxa"/>
            <w:tcBorders>
              <w:top w:val="nil"/>
              <w:left w:val="nil"/>
              <w:bottom w:val="nil"/>
              <w:right w:val="nil"/>
            </w:tcBorders>
          </w:tcPr>
          <w:p w14:paraId="3381A557" w14:textId="70656076" w:rsidR="0006566D" w:rsidRPr="00BA227C" w:rsidRDefault="0006566D" w:rsidP="00080985">
            <w:pPr>
              <w:jc w:val="right"/>
              <w:rPr>
                <w:sz w:val="14"/>
                <w:szCs w:val="14"/>
                <w:lang w:val="fr-CH"/>
              </w:rPr>
            </w:pPr>
            <w:r w:rsidRPr="00BA227C">
              <w:rPr>
                <w:sz w:val="14"/>
                <w:szCs w:val="14"/>
                <w:lang w:val="fr-CH"/>
              </w:rPr>
              <w:t>207</w:t>
            </w:r>
          </w:p>
        </w:tc>
        <w:tc>
          <w:tcPr>
            <w:tcW w:w="876" w:type="dxa"/>
            <w:tcBorders>
              <w:top w:val="nil"/>
              <w:left w:val="nil"/>
              <w:bottom w:val="nil"/>
              <w:right w:val="nil"/>
            </w:tcBorders>
          </w:tcPr>
          <w:p w14:paraId="0FB0C922" w14:textId="230EC16D" w:rsidR="0006566D" w:rsidRPr="00BA227C" w:rsidRDefault="0006566D" w:rsidP="00080985">
            <w:pPr>
              <w:jc w:val="right"/>
              <w:rPr>
                <w:sz w:val="14"/>
                <w:szCs w:val="14"/>
                <w:lang w:val="fr-CH"/>
              </w:rPr>
            </w:pPr>
            <w:r w:rsidRPr="00BA227C">
              <w:rPr>
                <w:sz w:val="14"/>
                <w:szCs w:val="14"/>
                <w:lang w:val="fr-CH"/>
              </w:rPr>
              <w:t>7</w:t>
            </w:r>
          </w:p>
        </w:tc>
        <w:tc>
          <w:tcPr>
            <w:tcW w:w="875" w:type="dxa"/>
            <w:tcBorders>
              <w:top w:val="nil"/>
              <w:left w:val="nil"/>
              <w:bottom w:val="nil"/>
              <w:right w:val="nil"/>
            </w:tcBorders>
          </w:tcPr>
          <w:p w14:paraId="0C20DE9E" w14:textId="193BAC29" w:rsidR="0006566D" w:rsidRPr="00BA227C" w:rsidRDefault="0006566D" w:rsidP="00080985">
            <w:pPr>
              <w:jc w:val="right"/>
              <w:rPr>
                <w:sz w:val="14"/>
                <w:szCs w:val="14"/>
                <w:lang w:val="fr-CH"/>
              </w:rPr>
            </w:pPr>
            <w:r w:rsidRPr="00BA227C">
              <w:rPr>
                <w:sz w:val="14"/>
                <w:szCs w:val="14"/>
                <w:lang w:val="fr-CH"/>
              </w:rPr>
              <w:t>81</w:t>
            </w:r>
          </w:p>
        </w:tc>
        <w:tc>
          <w:tcPr>
            <w:tcW w:w="875" w:type="dxa"/>
            <w:tcBorders>
              <w:top w:val="nil"/>
              <w:left w:val="nil"/>
              <w:bottom w:val="nil"/>
              <w:right w:val="nil"/>
            </w:tcBorders>
          </w:tcPr>
          <w:p w14:paraId="64090EE4" w14:textId="339EC3C7" w:rsidR="0006566D" w:rsidRPr="00BA227C" w:rsidRDefault="0006566D" w:rsidP="00080985">
            <w:pPr>
              <w:jc w:val="right"/>
              <w:rPr>
                <w:sz w:val="14"/>
                <w:szCs w:val="14"/>
                <w:lang w:val="fr-CH"/>
              </w:rPr>
            </w:pPr>
            <w:r w:rsidRPr="00BA227C">
              <w:rPr>
                <w:sz w:val="14"/>
                <w:szCs w:val="14"/>
                <w:lang w:val="fr-CH"/>
              </w:rPr>
              <w:t>7</w:t>
            </w:r>
          </w:p>
        </w:tc>
        <w:tc>
          <w:tcPr>
            <w:tcW w:w="875" w:type="dxa"/>
            <w:tcBorders>
              <w:top w:val="nil"/>
              <w:left w:val="nil"/>
              <w:bottom w:val="nil"/>
              <w:right w:val="nil"/>
            </w:tcBorders>
          </w:tcPr>
          <w:p w14:paraId="4A8D2335" w14:textId="0EDDE8F7" w:rsidR="0006566D" w:rsidRPr="00BA227C" w:rsidRDefault="0006566D" w:rsidP="00080985">
            <w:pPr>
              <w:jc w:val="right"/>
              <w:rPr>
                <w:sz w:val="14"/>
                <w:szCs w:val="14"/>
                <w:lang w:val="fr-CH"/>
              </w:rPr>
            </w:pPr>
            <w:r w:rsidRPr="00BA227C">
              <w:rPr>
                <w:sz w:val="14"/>
                <w:szCs w:val="14"/>
                <w:lang w:val="fr-CH"/>
              </w:rPr>
              <w:t>63</w:t>
            </w:r>
          </w:p>
        </w:tc>
        <w:tc>
          <w:tcPr>
            <w:tcW w:w="875" w:type="dxa"/>
            <w:tcBorders>
              <w:top w:val="nil"/>
              <w:left w:val="nil"/>
              <w:bottom w:val="nil"/>
              <w:right w:val="nil"/>
            </w:tcBorders>
          </w:tcPr>
          <w:p w14:paraId="238C950D" w14:textId="2291358D" w:rsidR="0006566D" w:rsidRPr="00BA227C" w:rsidRDefault="00BA227C" w:rsidP="00080985">
            <w:pPr>
              <w:jc w:val="right"/>
              <w:rPr>
                <w:sz w:val="14"/>
                <w:szCs w:val="14"/>
                <w:lang w:val="fr-CH"/>
              </w:rPr>
            </w:pPr>
            <w:r w:rsidRPr="00BA227C">
              <w:rPr>
                <w:sz w:val="14"/>
                <w:szCs w:val="14"/>
                <w:lang w:val="fr-CH"/>
              </w:rPr>
              <w:t>3</w:t>
            </w:r>
          </w:p>
        </w:tc>
        <w:tc>
          <w:tcPr>
            <w:tcW w:w="875" w:type="dxa"/>
            <w:tcBorders>
              <w:top w:val="nil"/>
              <w:left w:val="nil"/>
              <w:bottom w:val="nil"/>
              <w:right w:val="nil"/>
            </w:tcBorders>
          </w:tcPr>
          <w:p w14:paraId="633EE3AB" w14:textId="61FEF8BF" w:rsidR="0006566D" w:rsidRPr="00BA227C" w:rsidRDefault="00BA227C" w:rsidP="00080985">
            <w:pPr>
              <w:jc w:val="right"/>
              <w:rPr>
                <w:sz w:val="14"/>
                <w:szCs w:val="14"/>
                <w:lang w:val="fr-CH"/>
              </w:rPr>
            </w:pPr>
            <w:r w:rsidRPr="00BA227C">
              <w:rPr>
                <w:sz w:val="14"/>
                <w:szCs w:val="14"/>
                <w:lang w:val="fr-CH"/>
              </w:rPr>
              <w:t>20</w:t>
            </w:r>
          </w:p>
        </w:tc>
        <w:tc>
          <w:tcPr>
            <w:tcW w:w="875" w:type="dxa"/>
            <w:tcBorders>
              <w:top w:val="nil"/>
              <w:left w:val="nil"/>
              <w:bottom w:val="nil"/>
              <w:right w:val="nil"/>
            </w:tcBorders>
          </w:tcPr>
          <w:p w14:paraId="7EB1100D" w14:textId="7D277102" w:rsidR="0006566D" w:rsidRPr="00BA227C" w:rsidRDefault="00BA227C" w:rsidP="00080985">
            <w:pPr>
              <w:jc w:val="right"/>
              <w:rPr>
                <w:b/>
                <w:bCs/>
                <w:sz w:val="14"/>
                <w:szCs w:val="14"/>
                <w:lang w:val="fr-CH"/>
              </w:rPr>
            </w:pPr>
            <w:r w:rsidRPr="00BA227C">
              <w:rPr>
                <w:b/>
                <w:bCs/>
                <w:sz w:val="14"/>
                <w:szCs w:val="14"/>
                <w:lang w:val="fr-CH"/>
              </w:rPr>
              <w:t>40</w:t>
            </w:r>
          </w:p>
        </w:tc>
        <w:tc>
          <w:tcPr>
            <w:tcW w:w="875" w:type="dxa"/>
            <w:tcBorders>
              <w:top w:val="nil"/>
              <w:left w:val="nil"/>
              <w:bottom w:val="nil"/>
              <w:right w:val="nil"/>
            </w:tcBorders>
          </w:tcPr>
          <w:p w14:paraId="69C1C95E" w14:textId="326859ED" w:rsidR="0006566D" w:rsidRPr="00BA227C" w:rsidRDefault="00BA227C" w:rsidP="00080985">
            <w:pPr>
              <w:jc w:val="right"/>
              <w:rPr>
                <w:b/>
                <w:bCs/>
                <w:sz w:val="14"/>
                <w:szCs w:val="14"/>
                <w:lang w:val="fr-CH"/>
              </w:rPr>
            </w:pPr>
            <w:r w:rsidRPr="00BA227C">
              <w:rPr>
                <w:b/>
                <w:bCs/>
                <w:sz w:val="14"/>
                <w:szCs w:val="14"/>
                <w:lang w:val="fr-CH"/>
              </w:rPr>
              <w:t>371</w:t>
            </w:r>
          </w:p>
        </w:tc>
      </w:tr>
      <w:tr w:rsidR="0006566D" w:rsidRPr="00BA227C" w14:paraId="59BBD3AB" w14:textId="77777777" w:rsidTr="00BD7CEE">
        <w:trPr>
          <w:jc w:val="center"/>
        </w:trPr>
        <w:tc>
          <w:tcPr>
            <w:tcW w:w="1165" w:type="dxa"/>
            <w:tcBorders>
              <w:top w:val="nil"/>
              <w:left w:val="nil"/>
              <w:bottom w:val="nil"/>
              <w:right w:val="nil"/>
            </w:tcBorders>
          </w:tcPr>
          <w:p w14:paraId="0A13C486" w14:textId="7735D4A6" w:rsidR="0006566D" w:rsidRPr="00BA227C" w:rsidRDefault="0006566D" w:rsidP="00080985">
            <w:pPr>
              <w:rPr>
                <w:b/>
                <w:bCs/>
                <w:sz w:val="14"/>
                <w:szCs w:val="14"/>
                <w:lang w:val="fr-CH"/>
              </w:rPr>
            </w:pPr>
            <w:r w:rsidRPr="00BA227C">
              <w:rPr>
                <w:b/>
                <w:bCs/>
                <w:sz w:val="14"/>
                <w:szCs w:val="14"/>
                <w:lang w:val="fr-CH"/>
              </w:rPr>
              <w:t>CEI</w:t>
            </w:r>
          </w:p>
        </w:tc>
        <w:tc>
          <w:tcPr>
            <w:tcW w:w="876" w:type="dxa"/>
            <w:tcBorders>
              <w:top w:val="nil"/>
              <w:left w:val="nil"/>
              <w:bottom w:val="nil"/>
              <w:right w:val="nil"/>
            </w:tcBorders>
          </w:tcPr>
          <w:p w14:paraId="3366F650" w14:textId="332F6A84" w:rsidR="0006566D" w:rsidRPr="00BA227C" w:rsidRDefault="0006566D" w:rsidP="00080985">
            <w:pPr>
              <w:jc w:val="right"/>
              <w:rPr>
                <w:sz w:val="14"/>
                <w:szCs w:val="14"/>
                <w:lang w:val="fr-CH"/>
              </w:rPr>
            </w:pPr>
            <w:r w:rsidRPr="00BA227C">
              <w:rPr>
                <w:sz w:val="14"/>
                <w:szCs w:val="14"/>
                <w:lang w:val="fr-CH"/>
              </w:rPr>
              <w:t>6</w:t>
            </w:r>
          </w:p>
        </w:tc>
        <w:tc>
          <w:tcPr>
            <w:tcW w:w="876" w:type="dxa"/>
            <w:tcBorders>
              <w:top w:val="nil"/>
              <w:left w:val="nil"/>
              <w:bottom w:val="nil"/>
              <w:right w:val="nil"/>
            </w:tcBorders>
          </w:tcPr>
          <w:p w14:paraId="1004264B" w14:textId="7C328134" w:rsidR="0006566D" w:rsidRPr="00BA227C" w:rsidRDefault="0006566D" w:rsidP="00080985">
            <w:pPr>
              <w:jc w:val="right"/>
              <w:rPr>
                <w:sz w:val="14"/>
                <w:szCs w:val="14"/>
                <w:lang w:val="fr-CH"/>
              </w:rPr>
            </w:pPr>
            <w:r w:rsidRPr="00BA227C">
              <w:rPr>
                <w:sz w:val="14"/>
                <w:szCs w:val="14"/>
                <w:lang w:val="fr-CH"/>
              </w:rPr>
              <w:t>75</w:t>
            </w:r>
          </w:p>
        </w:tc>
        <w:tc>
          <w:tcPr>
            <w:tcW w:w="876" w:type="dxa"/>
            <w:tcBorders>
              <w:top w:val="nil"/>
              <w:left w:val="nil"/>
              <w:bottom w:val="nil"/>
              <w:right w:val="nil"/>
            </w:tcBorders>
          </w:tcPr>
          <w:p w14:paraId="0A3DCCD0" w14:textId="081F45EC" w:rsidR="0006566D" w:rsidRPr="00BA227C" w:rsidRDefault="0006566D" w:rsidP="00080985">
            <w:pPr>
              <w:jc w:val="right"/>
              <w:rPr>
                <w:sz w:val="14"/>
                <w:szCs w:val="14"/>
                <w:lang w:val="fr-CH"/>
              </w:rPr>
            </w:pPr>
            <w:r w:rsidRPr="00BA227C">
              <w:rPr>
                <w:sz w:val="14"/>
                <w:szCs w:val="14"/>
                <w:lang w:val="fr-CH"/>
              </w:rPr>
              <w:t>5</w:t>
            </w:r>
          </w:p>
        </w:tc>
        <w:tc>
          <w:tcPr>
            <w:tcW w:w="875" w:type="dxa"/>
            <w:tcBorders>
              <w:top w:val="nil"/>
              <w:left w:val="nil"/>
              <w:bottom w:val="nil"/>
              <w:right w:val="nil"/>
            </w:tcBorders>
          </w:tcPr>
          <w:p w14:paraId="7FE6F890" w14:textId="21485EFA" w:rsidR="0006566D" w:rsidRPr="00BA227C" w:rsidRDefault="0006566D" w:rsidP="00080985">
            <w:pPr>
              <w:jc w:val="right"/>
              <w:rPr>
                <w:sz w:val="14"/>
                <w:szCs w:val="14"/>
                <w:lang w:val="fr-CH"/>
              </w:rPr>
            </w:pPr>
            <w:r w:rsidRPr="00BA227C">
              <w:rPr>
                <w:sz w:val="14"/>
                <w:szCs w:val="14"/>
                <w:lang w:val="fr-CH"/>
              </w:rPr>
              <w:t>64</w:t>
            </w:r>
          </w:p>
        </w:tc>
        <w:tc>
          <w:tcPr>
            <w:tcW w:w="875" w:type="dxa"/>
            <w:tcBorders>
              <w:top w:val="nil"/>
              <w:left w:val="nil"/>
              <w:bottom w:val="nil"/>
              <w:right w:val="nil"/>
            </w:tcBorders>
          </w:tcPr>
          <w:p w14:paraId="5ADAA492" w14:textId="6CC96F0C" w:rsidR="0006566D" w:rsidRPr="00BA227C" w:rsidRDefault="0006566D" w:rsidP="00080985">
            <w:pPr>
              <w:jc w:val="right"/>
              <w:rPr>
                <w:sz w:val="14"/>
                <w:szCs w:val="14"/>
                <w:lang w:val="fr-CH"/>
              </w:rPr>
            </w:pPr>
            <w:r w:rsidRPr="00BA227C">
              <w:rPr>
                <w:sz w:val="14"/>
                <w:szCs w:val="14"/>
                <w:lang w:val="fr-CH"/>
              </w:rPr>
              <w:t>8</w:t>
            </w:r>
          </w:p>
        </w:tc>
        <w:tc>
          <w:tcPr>
            <w:tcW w:w="875" w:type="dxa"/>
            <w:tcBorders>
              <w:top w:val="nil"/>
              <w:left w:val="nil"/>
              <w:bottom w:val="nil"/>
              <w:right w:val="nil"/>
            </w:tcBorders>
          </w:tcPr>
          <w:p w14:paraId="10E86369" w14:textId="723EFBE8" w:rsidR="0006566D" w:rsidRPr="00BA227C" w:rsidRDefault="0006566D" w:rsidP="00080985">
            <w:pPr>
              <w:jc w:val="right"/>
              <w:rPr>
                <w:sz w:val="14"/>
                <w:szCs w:val="14"/>
                <w:lang w:val="fr-CH"/>
              </w:rPr>
            </w:pPr>
            <w:r w:rsidRPr="00BA227C">
              <w:rPr>
                <w:sz w:val="14"/>
                <w:szCs w:val="14"/>
                <w:lang w:val="fr-CH"/>
              </w:rPr>
              <w:t>92</w:t>
            </w:r>
          </w:p>
        </w:tc>
        <w:tc>
          <w:tcPr>
            <w:tcW w:w="875" w:type="dxa"/>
            <w:tcBorders>
              <w:top w:val="nil"/>
              <w:left w:val="nil"/>
              <w:bottom w:val="nil"/>
              <w:right w:val="nil"/>
            </w:tcBorders>
          </w:tcPr>
          <w:p w14:paraId="3E3A7BFA" w14:textId="77777777" w:rsidR="0006566D" w:rsidRPr="00BA227C" w:rsidRDefault="0006566D" w:rsidP="00080985">
            <w:pPr>
              <w:jc w:val="right"/>
              <w:rPr>
                <w:sz w:val="14"/>
                <w:szCs w:val="14"/>
                <w:lang w:val="fr-CH"/>
              </w:rPr>
            </w:pPr>
          </w:p>
        </w:tc>
        <w:tc>
          <w:tcPr>
            <w:tcW w:w="875" w:type="dxa"/>
            <w:tcBorders>
              <w:top w:val="nil"/>
              <w:left w:val="nil"/>
              <w:bottom w:val="nil"/>
              <w:right w:val="nil"/>
            </w:tcBorders>
          </w:tcPr>
          <w:p w14:paraId="64B2EE93" w14:textId="77777777" w:rsidR="0006566D" w:rsidRPr="00BA227C" w:rsidRDefault="0006566D" w:rsidP="00080985">
            <w:pPr>
              <w:jc w:val="right"/>
              <w:rPr>
                <w:sz w:val="14"/>
                <w:szCs w:val="14"/>
                <w:lang w:val="fr-CH"/>
              </w:rPr>
            </w:pPr>
          </w:p>
        </w:tc>
        <w:tc>
          <w:tcPr>
            <w:tcW w:w="875" w:type="dxa"/>
            <w:tcBorders>
              <w:top w:val="nil"/>
              <w:left w:val="nil"/>
              <w:bottom w:val="nil"/>
              <w:right w:val="nil"/>
            </w:tcBorders>
          </w:tcPr>
          <w:p w14:paraId="3F77658E" w14:textId="6D276025" w:rsidR="0006566D" w:rsidRPr="00BA227C" w:rsidRDefault="00BA227C" w:rsidP="00080985">
            <w:pPr>
              <w:jc w:val="right"/>
              <w:rPr>
                <w:b/>
                <w:bCs/>
                <w:sz w:val="14"/>
                <w:szCs w:val="14"/>
                <w:lang w:val="fr-CH"/>
              </w:rPr>
            </w:pPr>
            <w:r w:rsidRPr="00BA227C">
              <w:rPr>
                <w:b/>
                <w:bCs/>
                <w:sz w:val="14"/>
                <w:szCs w:val="14"/>
                <w:lang w:val="fr-CH"/>
              </w:rPr>
              <w:t>19</w:t>
            </w:r>
          </w:p>
        </w:tc>
        <w:tc>
          <w:tcPr>
            <w:tcW w:w="875" w:type="dxa"/>
            <w:tcBorders>
              <w:top w:val="nil"/>
              <w:left w:val="nil"/>
              <w:bottom w:val="nil"/>
              <w:right w:val="nil"/>
            </w:tcBorders>
          </w:tcPr>
          <w:p w14:paraId="627FBE7E" w14:textId="684EAE97" w:rsidR="0006566D" w:rsidRPr="00BA227C" w:rsidRDefault="00BA227C" w:rsidP="00080985">
            <w:pPr>
              <w:jc w:val="right"/>
              <w:rPr>
                <w:b/>
                <w:bCs/>
                <w:sz w:val="14"/>
                <w:szCs w:val="14"/>
                <w:lang w:val="fr-CH"/>
              </w:rPr>
            </w:pPr>
            <w:r w:rsidRPr="00BA227C">
              <w:rPr>
                <w:b/>
                <w:bCs/>
                <w:sz w:val="14"/>
                <w:szCs w:val="14"/>
                <w:lang w:val="fr-CH"/>
              </w:rPr>
              <w:t>231</w:t>
            </w:r>
          </w:p>
        </w:tc>
      </w:tr>
      <w:tr w:rsidR="0006566D" w:rsidRPr="00BA227C" w14:paraId="6AF11C20" w14:textId="77777777" w:rsidTr="00BD7CEE">
        <w:trPr>
          <w:jc w:val="center"/>
        </w:trPr>
        <w:tc>
          <w:tcPr>
            <w:tcW w:w="1165" w:type="dxa"/>
            <w:tcBorders>
              <w:top w:val="nil"/>
              <w:left w:val="nil"/>
              <w:bottom w:val="single" w:sz="4" w:space="0" w:color="auto"/>
              <w:right w:val="nil"/>
            </w:tcBorders>
          </w:tcPr>
          <w:p w14:paraId="65404D28" w14:textId="3ED0D4D6" w:rsidR="0006566D" w:rsidRPr="00BA227C" w:rsidRDefault="0006566D" w:rsidP="00080985">
            <w:pPr>
              <w:rPr>
                <w:b/>
                <w:bCs/>
                <w:sz w:val="14"/>
                <w:szCs w:val="14"/>
                <w:lang w:val="fr-CH"/>
              </w:rPr>
            </w:pPr>
            <w:r w:rsidRPr="00BA227C">
              <w:rPr>
                <w:b/>
                <w:bCs/>
                <w:sz w:val="14"/>
                <w:szCs w:val="14"/>
                <w:lang w:val="fr-CH"/>
              </w:rPr>
              <w:t>Europe</w:t>
            </w:r>
          </w:p>
        </w:tc>
        <w:tc>
          <w:tcPr>
            <w:tcW w:w="876" w:type="dxa"/>
            <w:tcBorders>
              <w:top w:val="nil"/>
              <w:left w:val="nil"/>
              <w:bottom w:val="single" w:sz="4" w:space="0" w:color="auto"/>
              <w:right w:val="nil"/>
            </w:tcBorders>
          </w:tcPr>
          <w:p w14:paraId="6EDCF063" w14:textId="3D161BA0" w:rsidR="0006566D" w:rsidRPr="00BA227C" w:rsidRDefault="0006566D" w:rsidP="00080985">
            <w:pPr>
              <w:jc w:val="right"/>
              <w:rPr>
                <w:sz w:val="14"/>
                <w:szCs w:val="14"/>
                <w:lang w:val="fr-CH"/>
              </w:rPr>
            </w:pPr>
            <w:r w:rsidRPr="00BA227C">
              <w:rPr>
                <w:sz w:val="14"/>
                <w:szCs w:val="14"/>
                <w:lang w:val="fr-CH"/>
              </w:rPr>
              <w:t>10</w:t>
            </w:r>
          </w:p>
        </w:tc>
        <w:tc>
          <w:tcPr>
            <w:tcW w:w="876" w:type="dxa"/>
            <w:tcBorders>
              <w:top w:val="nil"/>
              <w:left w:val="nil"/>
              <w:bottom w:val="single" w:sz="4" w:space="0" w:color="auto"/>
              <w:right w:val="nil"/>
            </w:tcBorders>
          </w:tcPr>
          <w:p w14:paraId="2CFF05A5" w14:textId="3893AF49" w:rsidR="0006566D" w:rsidRPr="00BA227C" w:rsidRDefault="0006566D" w:rsidP="00080985">
            <w:pPr>
              <w:jc w:val="right"/>
              <w:rPr>
                <w:sz w:val="14"/>
                <w:szCs w:val="14"/>
                <w:lang w:val="fr-CH"/>
              </w:rPr>
            </w:pPr>
            <w:r w:rsidRPr="00BA227C">
              <w:rPr>
                <w:sz w:val="14"/>
                <w:szCs w:val="14"/>
                <w:lang w:val="fr-CH"/>
              </w:rPr>
              <w:t>118</w:t>
            </w:r>
          </w:p>
        </w:tc>
        <w:tc>
          <w:tcPr>
            <w:tcW w:w="876" w:type="dxa"/>
            <w:tcBorders>
              <w:top w:val="nil"/>
              <w:left w:val="nil"/>
              <w:bottom w:val="single" w:sz="4" w:space="0" w:color="auto"/>
              <w:right w:val="nil"/>
            </w:tcBorders>
          </w:tcPr>
          <w:p w14:paraId="4E885233" w14:textId="32CA2D1D" w:rsidR="0006566D" w:rsidRPr="00BA227C" w:rsidRDefault="0006566D" w:rsidP="00080985">
            <w:pPr>
              <w:jc w:val="right"/>
              <w:rPr>
                <w:sz w:val="14"/>
                <w:szCs w:val="14"/>
                <w:lang w:val="fr-CH"/>
              </w:rPr>
            </w:pPr>
            <w:r w:rsidRPr="00BA227C">
              <w:rPr>
                <w:sz w:val="14"/>
                <w:szCs w:val="14"/>
                <w:lang w:val="fr-CH"/>
              </w:rPr>
              <w:t>3</w:t>
            </w:r>
          </w:p>
        </w:tc>
        <w:tc>
          <w:tcPr>
            <w:tcW w:w="875" w:type="dxa"/>
            <w:tcBorders>
              <w:top w:val="nil"/>
              <w:left w:val="nil"/>
              <w:bottom w:val="single" w:sz="4" w:space="0" w:color="auto"/>
              <w:right w:val="nil"/>
            </w:tcBorders>
          </w:tcPr>
          <w:p w14:paraId="5EC63E66" w14:textId="70704FE2" w:rsidR="0006566D" w:rsidRPr="00BA227C" w:rsidRDefault="0006566D" w:rsidP="00080985">
            <w:pPr>
              <w:jc w:val="right"/>
              <w:rPr>
                <w:sz w:val="14"/>
                <w:szCs w:val="14"/>
                <w:lang w:val="fr-CH"/>
              </w:rPr>
            </w:pPr>
            <w:r w:rsidRPr="00BA227C">
              <w:rPr>
                <w:sz w:val="14"/>
                <w:szCs w:val="14"/>
                <w:lang w:val="fr-CH"/>
              </w:rPr>
              <w:t>46</w:t>
            </w:r>
          </w:p>
        </w:tc>
        <w:tc>
          <w:tcPr>
            <w:tcW w:w="875" w:type="dxa"/>
            <w:tcBorders>
              <w:top w:val="nil"/>
              <w:left w:val="nil"/>
              <w:bottom w:val="single" w:sz="4" w:space="0" w:color="auto"/>
              <w:right w:val="nil"/>
            </w:tcBorders>
          </w:tcPr>
          <w:p w14:paraId="7654C105" w14:textId="06B623B0" w:rsidR="0006566D" w:rsidRPr="00BA227C" w:rsidRDefault="0006566D" w:rsidP="00080985">
            <w:pPr>
              <w:jc w:val="right"/>
              <w:rPr>
                <w:sz w:val="14"/>
                <w:szCs w:val="14"/>
                <w:lang w:val="fr-CH"/>
              </w:rPr>
            </w:pPr>
            <w:r w:rsidRPr="00BA227C">
              <w:rPr>
                <w:sz w:val="14"/>
                <w:szCs w:val="14"/>
                <w:lang w:val="fr-CH"/>
              </w:rPr>
              <w:t>3</w:t>
            </w:r>
          </w:p>
        </w:tc>
        <w:tc>
          <w:tcPr>
            <w:tcW w:w="875" w:type="dxa"/>
            <w:tcBorders>
              <w:top w:val="nil"/>
              <w:left w:val="nil"/>
              <w:bottom w:val="single" w:sz="4" w:space="0" w:color="auto"/>
              <w:right w:val="nil"/>
            </w:tcBorders>
          </w:tcPr>
          <w:p w14:paraId="2C7DC139" w14:textId="7552EB9D" w:rsidR="0006566D" w:rsidRPr="00BA227C" w:rsidRDefault="0006566D" w:rsidP="00080985">
            <w:pPr>
              <w:jc w:val="right"/>
              <w:rPr>
                <w:sz w:val="14"/>
                <w:szCs w:val="14"/>
                <w:lang w:val="fr-CH"/>
              </w:rPr>
            </w:pPr>
            <w:r w:rsidRPr="00BA227C">
              <w:rPr>
                <w:sz w:val="14"/>
                <w:szCs w:val="14"/>
                <w:lang w:val="fr-CH"/>
              </w:rPr>
              <w:t>59</w:t>
            </w:r>
          </w:p>
        </w:tc>
        <w:tc>
          <w:tcPr>
            <w:tcW w:w="875" w:type="dxa"/>
            <w:tcBorders>
              <w:top w:val="nil"/>
              <w:left w:val="nil"/>
              <w:bottom w:val="single" w:sz="4" w:space="0" w:color="auto"/>
              <w:right w:val="nil"/>
            </w:tcBorders>
          </w:tcPr>
          <w:p w14:paraId="6F6A6A77" w14:textId="77777777" w:rsidR="0006566D" w:rsidRPr="00BA227C" w:rsidRDefault="0006566D" w:rsidP="00080985">
            <w:pPr>
              <w:jc w:val="right"/>
              <w:rPr>
                <w:sz w:val="14"/>
                <w:szCs w:val="14"/>
                <w:lang w:val="fr-CH"/>
              </w:rPr>
            </w:pPr>
          </w:p>
        </w:tc>
        <w:tc>
          <w:tcPr>
            <w:tcW w:w="875" w:type="dxa"/>
            <w:tcBorders>
              <w:top w:val="nil"/>
              <w:left w:val="nil"/>
              <w:bottom w:val="single" w:sz="4" w:space="0" w:color="auto"/>
              <w:right w:val="nil"/>
            </w:tcBorders>
          </w:tcPr>
          <w:p w14:paraId="6083515D" w14:textId="77777777" w:rsidR="0006566D" w:rsidRPr="00BA227C" w:rsidRDefault="0006566D" w:rsidP="00080985">
            <w:pPr>
              <w:jc w:val="right"/>
              <w:rPr>
                <w:sz w:val="14"/>
                <w:szCs w:val="14"/>
                <w:lang w:val="fr-CH"/>
              </w:rPr>
            </w:pPr>
          </w:p>
        </w:tc>
        <w:tc>
          <w:tcPr>
            <w:tcW w:w="875" w:type="dxa"/>
            <w:tcBorders>
              <w:top w:val="nil"/>
              <w:left w:val="nil"/>
              <w:bottom w:val="single" w:sz="4" w:space="0" w:color="auto"/>
              <w:right w:val="nil"/>
            </w:tcBorders>
          </w:tcPr>
          <w:p w14:paraId="28D539A0" w14:textId="1AA0668D" w:rsidR="0006566D" w:rsidRPr="00BA227C" w:rsidRDefault="00BA227C" w:rsidP="00080985">
            <w:pPr>
              <w:jc w:val="right"/>
              <w:rPr>
                <w:b/>
                <w:bCs/>
                <w:sz w:val="14"/>
                <w:szCs w:val="14"/>
                <w:lang w:val="fr-CH"/>
              </w:rPr>
            </w:pPr>
            <w:r w:rsidRPr="00BA227C">
              <w:rPr>
                <w:b/>
                <w:bCs/>
                <w:sz w:val="14"/>
                <w:szCs w:val="14"/>
                <w:lang w:val="fr-CH"/>
              </w:rPr>
              <w:t>16</w:t>
            </w:r>
          </w:p>
        </w:tc>
        <w:tc>
          <w:tcPr>
            <w:tcW w:w="875" w:type="dxa"/>
            <w:tcBorders>
              <w:top w:val="nil"/>
              <w:left w:val="nil"/>
              <w:bottom w:val="single" w:sz="4" w:space="0" w:color="auto"/>
              <w:right w:val="nil"/>
            </w:tcBorders>
          </w:tcPr>
          <w:p w14:paraId="171064A0" w14:textId="2D8CBA5D" w:rsidR="0006566D" w:rsidRPr="00BA227C" w:rsidRDefault="00BA227C" w:rsidP="00080985">
            <w:pPr>
              <w:jc w:val="right"/>
              <w:rPr>
                <w:b/>
                <w:bCs/>
                <w:sz w:val="14"/>
                <w:szCs w:val="14"/>
                <w:lang w:val="fr-CH"/>
              </w:rPr>
            </w:pPr>
            <w:r w:rsidRPr="00BA227C">
              <w:rPr>
                <w:b/>
                <w:bCs/>
                <w:sz w:val="14"/>
                <w:szCs w:val="14"/>
                <w:lang w:val="fr-CH"/>
              </w:rPr>
              <w:t>223</w:t>
            </w:r>
          </w:p>
        </w:tc>
      </w:tr>
      <w:tr w:rsidR="0006566D" w:rsidRPr="00BA227C" w14:paraId="60445F20" w14:textId="77777777" w:rsidTr="00BD7CEE">
        <w:trPr>
          <w:jc w:val="center"/>
        </w:trPr>
        <w:tc>
          <w:tcPr>
            <w:tcW w:w="1165" w:type="dxa"/>
            <w:tcBorders>
              <w:top w:val="single" w:sz="4" w:space="0" w:color="auto"/>
            </w:tcBorders>
          </w:tcPr>
          <w:p w14:paraId="7E5AD4B3" w14:textId="32EB6269" w:rsidR="0006566D" w:rsidRPr="00BA227C" w:rsidRDefault="0006566D" w:rsidP="00080985">
            <w:pPr>
              <w:rPr>
                <w:b/>
                <w:bCs/>
                <w:sz w:val="14"/>
                <w:szCs w:val="14"/>
                <w:lang w:val="fr-CH"/>
              </w:rPr>
            </w:pPr>
            <w:r w:rsidRPr="00BA227C">
              <w:rPr>
                <w:b/>
                <w:bCs/>
                <w:sz w:val="14"/>
                <w:szCs w:val="14"/>
                <w:lang w:val="fr-CH"/>
              </w:rPr>
              <w:t>T</w:t>
            </w:r>
            <w:r w:rsidR="00BA227C" w:rsidRPr="00BA227C">
              <w:rPr>
                <w:b/>
                <w:bCs/>
                <w:sz w:val="14"/>
                <w:szCs w:val="14"/>
                <w:lang w:val="fr-CH"/>
              </w:rPr>
              <w:t>otal</w:t>
            </w:r>
          </w:p>
        </w:tc>
        <w:tc>
          <w:tcPr>
            <w:tcW w:w="876" w:type="dxa"/>
            <w:tcBorders>
              <w:top w:val="single" w:sz="4" w:space="0" w:color="auto"/>
            </w:tcBorders>
          </w:tcPr>
          <w:p w14:paraId="7D9EC492" w14:textId="01022175" w:rsidR="0006566D" w:rsidRPr="00BA227C" w:rsidRDefault="0006566D" w:rsidP="00080985">
            <w:pPr>
              <w:jc w:val="right"/>
              <w:rPr>
                <w:b/>
                <w:bCs/>
                <w:sz w:val="14"/>
                <w:szCs w:val="14"/>
                <w:lang w:val="fr-CH"/>
              </w:rPr>
            </w:pPr>
            <w:r w:rsidRPr="00BA227C">
              <w:rPr>
                <w:b/>
                <w:bCs/>
                <w:sz w:val="14"/>
                <w:szCs w:val="14"/>
                <w:lang w:val="fr-CH"/>
              </w:rPr>
              <w:t>90</w:t>
            </w:r>
          </w:p>
        </w:tc>
        <w:tc>
          <w:tcPr>
            <w:tcW w:w="876" w:type="dxa"/>
            <w:tcBorders>
              <w:top w:val="single" w:sz="4" w:space="0" w:color="auto"/>
            </w:tcBorders>
          </w:tcPr>
          <w:p w14:paraId="4EE80475" w14:textId="49CA31F0" w:rsidR="0006566D" w:rsidRPr="00BA227C" w:rsidRDefault="0006566D" w:rsidP="00080985">
            <w:pPr>
              <w:jc w:val="right"/>
              <w:rPr>
                <w:b/>
                <w:bCs/>
                <w:sz w:val="14"/>
                <w:szCs w:val="14"/>
                <w:lang w:val="fr-CH"/>
              </w:rPr>
            </w:pPr>
            <w:r w:rsidRPr="00BA227C">
              <w:rPr>
                <w:b/>
                <w:bCs/>
                <w:sz w:val="14"/>
                <w:szCs w:val="14"/>
                <w:lang w:val="fr-CH"/>
              </w:rPr>
              <w:t>1 157</w:t>
            </w:r>
          </w:p>
        </w:tc>
        <w:tc>
          <w:tcPr>
            <w:tcW w:w="876" w:type="dxa"/>
            <w:tcBorders>
              <w:top w:val="single" w:sz="4" w:space="0" w:color="auto"/>
            </w:tcBorders>
          </w:tcPr>
          <w:p w14:paraId="35FFDA3D" w14:textId="6CEA9303" w:rsidR="0006566D" w:rsidRPr="00BA227C" w:rsidRDefault="0006566D" w:rsidP="00080985">
            <w:pPr>
              <w:jc w:val="right"/>
              <w:rPr>
                <w:b/>
                <w:bCs/>
                <w:sz w:val="14"/>
                <w:szCs w:val="14"/>
                <w:lang w:val="fr-CH"/>
              </w:rPr>
            </w:pPr>
            <w:r w:rsidRPr="00BA227C">
              <w:rPr>
                <w:b/>
                <w:bCs/>
                <w:sz w:val="14"/>
                <w:szCs w:val="14"/>
                <w:lang w:val="fr-CH"/>
              </w:rPr>
              <w:t>37</w:t>
            </w:r>
          </w:p>
        </w:tc>
        <w:tc>
          <w:tcPr>
            <w:tcW w:w="875" w:type="dxa"/>
            <w:tcBorders>
              <w:top w:val="single" w:sz="4" w:space="0" w:color="auto"/>
            </w:tcBorders>
          </w:tcPr>
          <w:p w14:paraId="336438EB" w14:textId="7E16C2B0" w:rsidR="0006566D" w:rsidRPr="00BA227C" w:rsidRDefault="0006566D" w:rsidP="00080985">
            <w:pPr>
              <w:jc w:val="right"/>
              <w:rPr>
                <w:b/>
                <w:bCs/>
                <w:sz w:val="14"/>
                <w:szCs w:val="14"/>
                <w:lang w:val="fr-CH"/>
              </w:rPr>
            </w:pPr>
            <w:r w:rsidRPr="00BA227C">
              <w:rPr>
                <w:b/>
                <w:bCs/>
                <w:sz w:val="14"/>
                <w:szCs w:val="14"/>
                <w:lang w:val="fr-CH"/>
              </w:rPr>
              <w:t>475</w:t>
            </w:r>
          </w:p>
        </w:tc>
        <w:tc>
          <w:tcPr>
            <w:tcW w:w="875" w:type="dxa"/>
            <w:tcBorders>
              <w:top w:val="single" w:sz="4" w:space="0" w:color="auto"/>
            </w:tcBorders>
          </w:tcPr>
          <w:p w14:paraId="26E85249" w14:textId="4A37C9A8" w:rsidR="0006566D" w:rsidRPr="00BA227C" w:rsidRDefault="0006566D" w:rsidP="00080985">
            <w:pPr>
              <w:jc w:val="right"/>
              <w:rPr>
                <w:b/>
                <w:bCs/>
                <w:sz w:val="14"/>
                <w:szCs w:val="14"/>
                <w:lang w:val="fr-CH"/>
              </w:rPr>
            </w:pPr>
            <w:r w:rsidRPr="00BA227C">
              <w:rPr>
                <w:b/>
                <w:bCs/>
                <w:sz w:val="14"/>
                <w:szCs w:val="14"/>
                <w:lang w:val="fr-CH"/>
              </w:rPr>
              <w:t>49</w:t>
            </w:r>
          </w:p>
        </w:tc>
        <w:tc>
          <w:tcPr>
            <w:tcW w:w="875" w:type="dxa"/>
            <w:tcBorders>
              <w:top w:val="single" w:sz="4" w:space="0" w:color="auto"/>
            </w:tcBorders>
          </w:tcPr>
          <w:p w14:paraId="39A975DD" w14:textId="59400546" w:rsidR="0006566D" w:rsidRPr="00BA227C" w:rsidRDefault="0006566D" w:rsidP="00080985">
            <w:pPr>
              <w:jc w:val="right"/>
              <w:rPr>
                <w:b/>
                <w:bCs/>
                <w:sz w:val="14"/>
                <w:szCs w:val="14"/>
                <w:lang w:val="fr-CH"/>
              </w:rPr>
            </w:pPr>
            <w:r w:rsidRPr="00BA227C">
              <w:rPr>
                <w:b/>
                <w:bCs/>
                <w:sz w:val="14"/>
                <w:szCs w:val="14"/>
                <w:lang w:val="fr-CH"/>
              </w:rPr>
              <w:t>606</w:t>
            </w:r>
          </w:p>
        </w:tc>
        <w:tc>
          <w:tcPr>
            <w:tcW w:w="875" w:type="dxa"/>
            <w:tcBorders>
              <w:top w:val="single" w:sz="4" w:space="0" w:color="auto"/>
            </w:tcBorders>
          </w:tcPr>
          <w:p w14:paraId="351B73BB" w14:textId="08174711" w:rsidR="0006566D" w:rsidRPr="00BA227C" w:rsidRDefault="0006566D" w:rsidP="00080985">
            <w:pPr>
              <w:jc w:val="right"/>
              <w:rPr>
                <w:b/>
                <w:bCs/>
                <w:sz w:val="14"/>
                <w:szCs w:val="14"/>
                <w:lang w:val="fr-CH"/>
              </w:rPr>
            </w:pPr>
            <w:r w:rsidRPr="00BA227C">
              <w:rPr>
                <w:b/>
                <w:bCs/>
                <w:sz w:val="14"/>
                <w:szCs w:val="14"/>
                <w:lang w:val="fr-CH"/>
              </w:rPr>
              <w:t>11</w:t>
            </w:r>
          </w:p>
        </w:tc>
        <w:tc>
          <w:tcPr>
            <w:tcW w:w="875" w:type="dxa"/>
            <w:tcBorders>
              <w:top w:val="single" w:sz="4" w:space="0" w:color="auto"/>
            </w:tcBorders>
          </w:tcPr>
          <w:p w14:paraId="79339B9B" w14:textId="000E1B97" w:rsidR="0006566D" w:rsidRPr="00BA227C" w:rsidRDefault="0006566D" w:rsidP="00080985">
            <w:pPr>
              <w:jc w:val="right"/>
              <w:rPr>
                <w:b/>
                <w:bCs/>
                <w:sz w:val="14"/>
                <w:szCs w:val="14"/>
                <w:lang w:val="fr-CH"/>
              </w:rPr>
            </w:pPr>
            <w:r w:rsidRPr="00BA227C">
              <w:rPr>
                <w:b/>
                <w:bCs/>
                <w:sz w:val="14"/>
                <w:szCs w:val="14"/>
                <w:lang w:val="fr-CH"/>
              </w:rPr>
              <w:t>202</w:t>
            </w:r>
          </w:p>
        </w:tc>
        <w:tc>
          <w:tcPr>
            <w:tcW w:w="875" w:type="dxa"/>
            <w:tcBorders>
              <w:top w:val="single" w:sz="4" w:space="0" w:color="auto"/>
            </w:tcBorders>
          </w:tcPr>
          <w:p w14:paraId="4BE57EDF" w14:textId="38451D1D" w:rsidR="0006566D" w:rsidRPr="00BA227C" w:rsidRDefault="0006566D" w:rsidP="00080985">
            <w:pPr>
              <w:jc w:val="right"/>
              <w:rPr>
                <w:b/>
                <w:bCs/>
                <w:sz w:val="14"/>
                <w:szCs w:val="14"/>
                <w:lang w:val="fr-CH"/>
              </w:rPr>
            </w:pPr>
            <w:r w:rsidRPr="00BA227C">
              <w:rPr>
                <w:b/>
                <w:bCs/>
                <w:sz w:val="14"/>
                <w:szCs w:val="14"/>
                <w:lang w:val="fr-CH"/>
              </w:rPr>
              <w:t>187</w:t>
            </w:r>
          </w:p>
        </w:tc>
        <w:tc>
          <w:tcPr>
            <w:tcW w:w="875" w:type="dxa"/>
            <w:tcBorders>
              <w:top w:val="single" w:sz="4" w:space="0" w:color="auto"/>
            </w:tcBorders>
          </w:tcPr>
          <w:p w14:paraId="3E410AB4" w14:textId="4E7AB049" w:rsidR="0006566D" w:rsidRPr="00BA227C" w:rsidRDefault="0006566D" w:rsidP="00080985">
            <w:pPr>
              <w:jc w:val="right"/>
              <w:rPr>
                <w:b/>
                <w:bCs/>
                <w:sz w:val="14"/>
                <w:szCs w:val="14"/>
                <w:lang w:val="fr-CH"/>
              </w:rPr>
            </w:pPr>
            <w:r w:rsidRPr="00BA227C">
              <w:rPr>
                <w:b/>
                <w:bCs/>
                <w:sz w:val="14"/>
                <w:szCs w:val="14"/>
                <w:lang w:val="fr-CH"/>
              </w:rPr>
              <w:t>2 440</w:t>
            </w:r>
          </w:p>
        </w:tc>
      </w:tr>
    </w:tbl>
    <w:p w14:paraId="2C91BE8D" w14:textId="5B5F96E4" w:rsidR="001F49EA" w:rsidRPr="00A9327A" w:rsidRDefault="00F361B2" w:rsidP="00080985">
      <w:pPr>
        <w:tabs>
          <w:tab w:val="clear" w:pos="567"/>
          <w:tab w:val="clear" w:pos="1134"/>
          <w:tab w:val="clear" w:pos="1701"/>
          <w:tab w:val="clear" w:pos="2268"/>
          <w:tab w:val="clear" w:pos="2835"/>
        </w:tabs>
        <w:spacing w:before="480"/>
        <w:jc w:val="center"/>
        <w:rPr>
          <w:b/>
          <w:bCs/>
          <w:lang w:val="fr-CH"/>
        </w:rPr>
      </w:pPr>
      <w:r>
        <w:rPr>
          <w:b/>
          <w:bCs/>
          <w:lang w:val="fr-CH"/>
        </w:rPr>
        <w:t>Tableau 2 –</w:t>
      </w:r>
      <w:r w:rsidR="001F49EA" w:rsidRPr="00A9327A">
        <w:rPr>
          <w:b/>
          <w:bCs/>
          <w:lang w:val="fr-CH"/>
        </w:rPr>
        <w:t xml:space="preserve"> Mise en oeuvre de</w:t>
      </w:r>
      <w:r>
        <w:rPr>
          <w:b/>
          <w:bCs/>
          <w:lang w:val="fr-CH"/>
        </w:rPr>
        <w:t>s</w:t>
      </w:r>
      <w:r w:rsidR="001F49EA" w:rsidRPr="00A9327A">
        <w:rPr>
          <w:b/>
          <w:bCs/>
          <w:lang w:val="fr-CH"/>
        </w:rPr>
        <w:t xml:space="preserve"> projets en 2017</w:t>
      </w:r>
    </w:p>
    <w:p w14:paraId="6E47F6CB" w14:textId="1DA1C983" w:rsidR="001F49EA" w:rsidRDefault="001F49EA" w:rsidP="00080985">
      <w:pPr>
        <w:tabs>
          <w:tab w:val="clear" w:pos="567"/>
          <w:tab w:val="clear" w:pos="1134"/>
          <w:tab w:val="clear" w:pos="1701"/>
          <w:tab w:val="clear" w:pos="2268"/>
          <w:tab w:val="clear" w:pos="2835"/>
        </w:tabs>
        <w:spacing w:before="0" w:after="240"/>
        <w:jc w:val="center"/>
        <w:rPr>
          <w:i/>
          <w:iCs/>
          <w:lang w:val="fr-CH"/>
        </w:rPr>
      </w:pPr>
      <w:r w:rsidRPr="00A9327A">
        <w:rPr>
          <w:i/>
          <w:iCs/>
          <w:lang w:val="fr-CH"/>
        </w:rPr>
        <w:t>(montant</w:t>
      </w:r>
      <w:r w:rsidR="00F361B2">
        <w:rPr>
          <w:i/>
          <w:iCs/>
          <w:lang w:val="fr-CH"/>
        </w:rPr>
        <w:t>s</w:t>
      </w:r>
      <w:r w:rsidRPr="00A9327A">
        <w:rPr>
          <w:i/>
          <w:iCs/>
          <w:lang w:val="fr-CH"/>
        </w:rPr>
        <w:t xml:space="preserve"> en milliers de dollars des Etats-Unis (USD))</w:t>
      </w:r>
    </w:p>
    <w:tbl>
      <w:tblPr>
        <w:tblStyle w:val="TableGrid"/>
        <w:tblW w:w="0" w:type="auto"/>
        <w:jc w:val="center"/>
        <w:tblLook w:val="04A0" w:firstRow="1" w:lastRow="0" w:firstColumn="1" w:lastColumn="0" w:noHBand="0" w:noVBand="1"/>
      </w:tblPr>
      <w:tblGrid>
        <w:gridCol w:w="1128"/>
        <w:gridCol w:w="853"/>
        <w:gridCol w:w="848"/>
        <w:gridCol w:w="853"/>
        <w:gridCol w:w="847"/>
        <w:gridCol w:w="853"/>
        <w:gridCol w:w="847"/>
        <w:gridCol w:w="853"/>
        <w:gridCol w:w="847"/>
        <w:gridCol w:w="853"/>
        <w:gridCol w:w="847"/>
      </w:tblGrid>
      <w:tr w:rsidR="00F361B2" w:rsidRPr="00BA227C" w14:paraId="263BF153" w14:textId="77777777" w:rsidTr="00BD7CEE">
        <w:trPr>
          <w:jc w:val="center"/>
        </w:trPr>
        <w:tc>
          <w:tcPr>
            <w:tcW w:w="1165" w:type="dxa"/>
            <w:vMerge w:val="restart"/>
            <w:vAlign w:val="center"/>
          </w:tcPr>
          <w:p w14:paraId="64380068" w14:textId="77777777" w:rsidR="00F361B2" w:rsidRPr="00BA227C" w:rsidRDefault="00F361B2" w:rsidP="00080985">
            <w:pPr>
              <w:rPr>
                <w:i/>
                <w:iCs/>
                <w:sz w:val="14"/>
                <w:szCs w:val="14"/>
                <w:lang w:val="fr-CH"/>
              </w:rPr>
            </w:pPr>
            <w:r w:rsidRPr="00BA227C">
              <w:rPr>
                <w:i/>
                <w:iCs/>
                <w:sz w:val="14"/>
                <w:szCs w:val="14"/>
                <w:lang w:val="fr-CH"/>
              </w:rPr>
              <w:t>Région</w:t>
            </w:r>
          </w:p>
        </w:tc>
        <w:tc>
          <w:tcPr>
            <w:tcW w:w="1752" w:type="dxa"/>
            <w:gridSpan w:val="2"/>
          </w:tcPr>
          <w:p w14:paraId="537485F3" w14:textId="54FF88B9" w:rsidR="00F361B2" w:rsidRPr="00BA227C" w:rsidRDefault="00904B4E" w:rsidP="00080985">
            <w:pPr>
              <w:pStyle w:val="Tablehead"/>
              <w:rPr>
                <w:sz w:val="16"/>
                <w:szCs w:val="16"/>
                <w:lang w:val="fr-CH"/>
              </w:rPr>
            </w:pPr>
            <w:r>
              <w:rPr>
                <w:sz w:val="16"/>
                <w:szCs w:val="16"/>
                <w:lang w:val="fr-CH"/>
              </w:rPr>
              <w:t>Fonds d'affectation spéciale</w:t>
            </w:r>
          </w:p>
        </w:tc>
        <w:tc>
          <w:tcPr>
            <w:tcW w:w="1751" w:type="dxa"/>
            <w:gridSpan w:val="2"/>
          </w:tcPr>
          <w:p w14:paraId="384391E5" w14:textId="7074197B" w:rsidR="00F361B2" w:rsidRPr="00BA227C" w:rsidRDefault="00904B4E" w:rsidP="00080985">
            <w:pPr>
              <w:pStyle w:val="Tablehead"/>
              <w:rPr>
                <w:sz w:val="16"/>
                <w:szCs w:val="16"/>
                <w:lang w:val="fr-CH"/>
              </w:rPr>
            </w:pPr>
            <w:r>
              <w:rPr>
                <w:sz w:val="16"/>
                <w:szCs w:val="16"/>
                <w:lang w:val="fr-CH"/>
              </w:rPr>
              <w:t>Fonds pour le développement des TIC</w:t>
            </w:r>
          </w:p>
        </w:tc>
        <w:tc>
          <w:tcPr>
            <w:tcW w:w="1750" w:type="dxa"/>
            <w:gridSpan w:val="2"/>
          </w:tcPr>
          <w:p w14:paraId="1340D722" w14:textId="5C93384A" w:rsidR="00F361B2" w:rsidRPr="00BA227C" w:rsidRDefault="00904B4E" w:rsidP="00080985">
            <w:pPr>
              <w:pStyle w:val="Tablehead"/>
              <w:rPr>
                <w:sz w:val="16"/>
                <w:szCs w:val="16"/>
                <w:lang w:val="fr-CH"/>
              </w:rPr>
            </w:pPr>
            <w:r>
              <w:rPr>
                <w:sz w:val="16"/>
                <w:szCs w:val="16"/>
                <w:lang w:val="fr-CH"/>
              </w:rPr>
              <w:t>Plan opérationnel</w:t>
            </w:r>
          </w:p>
        </w:tc>
        <w:tc>
          <w:tcPr>
            <w:tcW w:w="1750" w:type="dxa"/>
            <w:gridSpan w:val="2"/>
          </w:tcPr>
          <w:p w14:paraId="3989FE21" w14:textId="2ABF97FB" w:rsidR="00F361B2" w:rsidRPr="00BA227C" w:rsidRDefault="00904B4E" w:rsidP="00080985">
            <w:pPr>
              <w:pStyle w:val="Tablehead"/>
              <w:rPr>
                <w:sz w:val="16"/>
                <w:szCs w:val="16"/>
                <w:lang w:val="fr-CH"/>
              </w:rPr>
            </w:pPr>
            <w:r>
              <w:rPr>
                <w:sz w:val="16"/>
                <w:szCs w:val="16"/>
                <w:lang w:val="fr-CH"/>
              </w:rPr>
              <w:t>PNUD</w:t>
            </w:r>
          </w:p>
        </w:tc>
        <w:tc>
          <w:tcPr>
            <w:tcW w:w="1750" w:type="dxa"/>
            <w:gridSpan w:val="2"/>
          </w:tcPr>
          <w:p w14:paraId="7DE71C77" w14:textId="77777777" w:rsidR="00F361B2" w:rsidRPr="00BA227C" w:rsidRDefault="00F361B2" w:rsidP="00080985">
            <w:pPr>
              <w:pStyle w:val="Tablehead"/>
              <w:rPr>
                <w:sz w:val="16"/>
                <w:szCs w:val="16"/>
                <w:lang w:val="fr-CH"/>
              </w:rPr>
            </w:pPr>
            <w:r w:rsidRPr="00BA227C">
              <w:rPr>
                <w:sz w:val="16"/>
                <w:szCs w:val="16"/>
                <w:lang w:val="fr-CH"/>
              </w:rPr>
              <w:t>TOTAL</w:t>
            </w:r>
          </w:p>
        </w:tc>
      </w:tr>
      <w:tr w:rsidR="00F361B2" w:rsidRPr="00BA227C" w14:paraId="61CBD47C" w14:textId="77777777" w:rsidTr="00BD7CEE">
        <w:trPr>
          <w:jc w:val="center"/>
        </w:trPr>
        <w:tc>
          <w:tcPr>
            <w:tcW w:w="1165" w:type="dxa"/>
            <w:vMerge/>
            <w:tcBorders>
              <w:bottom w:val="single" w:sz="4" w:space="0" w:color="auto"/>
            </w:tcBorders>
          </w:tcPr>
          <w:p w14:paraId="64A5CCCD" w14:textId="77777777" w:rsidR="00F361B2" w:rsidRPr="00BA227C" w:rsidRDefault="00F361B2" w:rsidP="00080985">
            <w:pPr>
              <w:rPr>
                <w:sz w:val="14"/>
                <w:szCs w:val="14"/>
                <w:lang w:val="fr-CH"/>
              </w:rPr>
            </w:pPr>
          </w:p>
        </w:tc>
        <w:tc>
          <w:tcPr>
            <w:tcW w:w="876" w:type="dxa"/>
            <w:tcBorders>
              <w:bottom w:val="single" w:sz="4" w:space="0" w:color="auto"/>
            </w:tcBorders>
          </w:tcPr>
          <w:p w14:paraId="47AEB189" w14:textId="713DD16E" w:rsidR="00F361B2" w:rsidRPr="00BA227C" w:rsidRDefault="00F361B2" w:rsidP="00080985">
            <w:pPr>
              <w:jc w:val="center"/>
              <w:rPr>
                <w:i/>
                <w:iCs/>
                <w:sz w:val="14"/>
                <w:szCs w:val="14"/>
                <w:lang w:val="fr-CH"/>
              </w:rPr>
            </w:pPr>
            <w:r w:rsidRPr="00BA227C">
              <w:rPr>
                <w:i/>
                <w:iCs/>
                <w:sz w:val="14"/>
                <w:szCs w:val="14"/>
                <w:lang w:val="fr-CH"/>
              </w:rPr>
              <w:t xml:space="preserve">Nombre </w:t>
            </w:r>
            <w:r>
              <w:rPr>
                <w:i/>
                <w:iCs/>
                <w:sz w:val="14"/>
                <w:szCs w:val="14"/>
                <w:lang w:val="fr-CH"/>
              </w:rPr>
              <w:t>de projets</w:t>
            </w:r>
          </w:p>
        </w:tc>
        <w:tc>
          <w:tcPr>
            <w:tcW w:w="876" w:type="dxa"/>
            <w:tcBorders>
              <w:bottom w:val="single" w:sz="4" w:space="0" w:color="auto"/>
            </w:tcBorders>
          </w:tcPr>
          <w:p w14:paraId="13DD9F2D" w14:textId="3E9ACB33" w:rsidR="00F361B2" w:rsidRPr="00BA227C" w:rsidRDefault="00F361B2" w:rsidP="00080985">
            <w:pPr>
              <w:jc w:val="center"/>
              <w:rPr>
                <w:i/>
                <w:iCs/>
                <w:sz w:val="14"/>
                <w:szCs w:val="14"/>
                <w:lang w:val="fr-CH"/>
              </w:rPr>
            </w:pPr>
            <w:r w:rsidRPr="00BA227C">
              <w:rPr>
                <w:i/>
                <w:iCs/>
                <w:sz w:val="14"/>
                <w:szCs w:val="14"/>
                <w:lang w:val="fr-CH"/>
              </w:rPr>
              <w:t xml:space="preserve">Niveau de mise en oeuvre </w:t>
            </w:r>
            <w:r>
              <w:rPr>
                <w:i/>
                <w:iCs/>
                <w:sz w:val="14"/>
                <w:szCs w:val="14"/>
                <w:lang w:val="fr-CH"/>
              </w:rPr>
              <w:br/>
            </w:r>
            <w:r w:rsidRPr="00BA227C">
              <w:rPr>
                <w:i/>
                <w:iCs/>
                <w:sz w:val="14"/>
                <w:szCs w:val="14"/>
                <w:lang w:val="fr-CH"/>
              </w:rPr>
              <w:t xml:space="preserve">(en milliers </w:t>
            </w:r>
            <w:r w:rsidR="00904B4E">
              <w:rPr>
                <w:i/>
                <w:iCs/>
                <w:sz w:val="14"/>
                <w:szCs w:val="14"/>
                <w:lang w:val="fr-CH"/>
              </w:rPr>
              <w:t>d'USD</w:t>
            </w:r>
            <w:r w:rsidRPr="00BA227C">
              <w:rPr>
                <w:i/>
                <w:iCs/>
                <w:sz w:val="14"/>
                <w:szCs w:val="14"/>
                <w:lang w:val="fr-CH"/>
              </w:rPr>
              <w:t>)</w:t>
            </w:r>
          </w:p>
        </w:tc>
        <w:tc>
          <w:tcPr>
            <w:tcW w:w="876" w:type="dxa"/>
            <w:tcBorders>
              <w:bottom w:val="single" w:sz="4" w:space="0" w:color="auto"/>
            </w:tcBorders>
          </w:tcPr>
          <w:p w14:paraId="383042FC" w14:textId="75B45F93" w:rsidR="00F361B2" w:rsidRPr="00BA227C" w:rsidRDefault="00F361B2" w:rsidP="00080985">
            <w:pPr>
              <w:jc w:val="center"/>
              <w:rPr>
                <w:i/>
                <w:iCs/>
                <w:sz w:val="14"/>
                <w:szCs w:val="14"/>
                <w:lang w:val="fr-CH"/>
              </w:rPr>
            </w:pPr>
            <w:r w:rsidRPr="00BA227C">
              <w:rPr>
                <w:i/>
                <w:iCs/>
                <w:sz w:val="14"/>
                <w:szCs w:val="14"/>
                <w:lang w:val="fr-CH"/>
              </w:rPr>
              <w:t xml:space="preserve">Nombre </w:t>
            </w:r>
            <w:r>
              <w:rPr>
                <w:i/>
                <w:iCs/>
                <w:sz w:val="14"/>
                <w:szCs w:val="14"/>
                <w:lang w:val="fr-CH"/>
              </w:rPr>
              <w:t>de projets</w:t>
            </w:r>
          </w:p>
        </w:tc>
        <w:tc>
          <w:tcPr>
            <w:tcW w:w="875" w:type="dxa"/>
            <w:tcBorders>
              <w:bottom w:val="single" w:sz="4" w:space="0" w:color="auto"/>
            </w:tcBorders>
          </w:tcPr>
          <w:p w14:paraId="2E869BE2" w14:textId="4BB5806D" w:rsidR="00F361B2" w:rsidRPr="00BA227C" w:rsidRDefault="00F361B2" w:rsidP="00080985">
            <w:pPr>
              <w:jc w:val="center"/>
              <w:rPr>
                <w:i/>
                <w:iCs/>
                <w:sz w:val="14"/>
                <w:szCs w:val="14"/>
                <w:lang w:val="fr-CH"/>
              </w:rPr>
            </w:pPr>
            <w:r w:rsidRPr="00BA227C">
              <w:rPr>
                <w:i/>
                <w:iCs/>
                <w:sz w:val="14"/>
                <w:szCs w:val="14"/>
                <w:lang w:val="fr-CH"/>
              </w:rPr>
              <w:t xml:space="preserve">Niveau de mise en oeuvre </w:t>
            </w:r>
            <w:r>
              <w:rPr>
                <w:i/>
                <w:iCs/>
                <w:sz w:val="14"/>
                <w:szCs w:val="14"/>
                <w:lang w:val="fr-CH"/>
              </w:rPr>
              <w:br/>
            </w:r>
            <w:r w:rsidRPr="00BA227C">
              <w:rPr>
                <w:i/>
                <w:iCs/>
                <w:sz w:val="14"/>
                <w:szCs w:val="14"/>
                <w:lang w:val="fr-CH"/>
              </w:rPr>
              <w:t xml:space="preserve">(en milliers </w:t>
            </w:r>
            <w:r w:rsidR="00904B4E">
              <w:rPr>
                <w:i/>
                <w:iCs/>
                <w:sz w:val="14"/>
                <w:szCs w:val="14"/>
                <w:lang w:val="fr-CH"/>
              </w:rPr>
              <w:t>d'USD</w:t>
            </w:r>
            <w:r w:rsidRPr="00BA227C">
              <w:rPr>
                <w:i/>
                <w:iCs/>
                <w:sz w:val="14"/>
                <w:szCs w:val="14"/>
                <w:lang w:val="fr-CH"/>
              </w:rPr>
              <w:t>)</w:t>
            </w:r>
          </w:p>
        </w:tc>
        <w:tc>
          <w:tcPr>
            <w:tcW w:w="875" w:type="dxa"/>
            <w:tcBorders>
              <w:bottom w:val="single" w:sz="4" w:space="0" w:color="auto"/>
            </w:tcBorders>
          </w:tcPr>
          <w:p w14:paraId="7D16FAE0" w14:textId="1E13E05E" w:rsidR="00F361B2" w:rsidRPr="00BA227C" w:rsidRDefault="00F361B2" w:rsidP="00080985">
            <w:pPr>
              <w:jc w:val="center"/>
              <w:rPr>
                <w:i/>
                <w:iCs/>
                <w:sz w:val="14"/>
                <w:szCs w:val="14"/>
                <w:lang w:val="fr-CH"/>
              </w:rPr>
            </w:pPr>
            <w:r w:rsidRPr="00BA227C">
              <w:rPr>
                <w:i/>
                <w:iCs/>
                <w:sz w:val="14"/>
                <w:szCs w:val="14"/>
                <w:lang w:val="fr-CH"/>
              </w:rPr>
              <w:t xml:space="preserve">Nombre </w:t>
            </w:r>
            <w:r>
              <w:rPr>
                <w:i/>
                <w:iCs/>
                <w:sz w:val="14"/>
                <w:szCs w:val="14"/>
                <w:lang w:val="fr-CH"/>
              </w:rPr>
              <w:t>de projets</w:t>
            </w:r>
          </w:p>
        </w:tc>
        <w:tc>
          <w:tcPr>
            <w:tcW w:w="875" w:type="dxa"/>
            <w:tcBorders>
              <w:bottom w:val="single" w:sz="4" w:space="0" w:color="auto"/>
            </w:tcBorders>
          </w:tcPr>
          <w:p w14:paraId="75A3520B" w14:textId="3BF51EE0" w:rsidR="00F361B2" w:rsidRPr="00BA227C" w:rsidRDefault="00F361B2" w:rsidP="00080985">
            <w:pPr>
              <w:jc w:val="center"/>
              <w:rPr>
                <w:i/>
                <w:iCs/>
                <w:sz w:val="14"/>
                <w:szCs w:val="14"/>
                <w:lang w:val="fr-CH"/>
              </w:rPr>
            </w:pPr>
            <w:r w:rsidRPr="00BA227C">
              <w:rPr>
                <w:i/>
                <w:iCs/>
                <w:sz w:val="14"/>
                <w:szCs w:val="14"/>
                <w:lang w:val="fr-CH"/>
              </w:rPr>
              <w:t xml:space="preserve">Niveau de mise en oeuvre </w:t>
            </w:r>
            <w:r>
              <w:rPr>
                <w:i/>
                <w:iCs/>
                <w:sz w:val="14"/>
                <w:szCs w:val="14"/>
                <w:lang w:val="fr-CH"/>
              </w:rPr>
              <w:br/>
            </w:r>
            <w:r w:rsidRPr="00BA227C">
              <w:rPr>
                <w:i/>
                <w:iCs/>
                <w:sz w:val="14"/>
                <w:szCs w:val="14"/>
                <w:lang w:val="fr-CH"/>
              </w:rPr>
              <w:t xml:space="preserve">(en milliers </w:t>
            </w:r>
            <w:r w:rsidR="00904B4E">
              <w:rPr>
                <w:i/>
                <w:iCs/>
                <w:sz w:val="14"/>
                <w:szCs w:val="14"/>
                <w:lang w:val="fr-CH"/>
              </w:rPr>
              <w:t>d'USD</w:t>
            </w:r>
            <w:r w:rsidRPr="00BA227C">
              <w:rPr>
                <w:i/>
                <w:iCs/>
                <w:sz w:val="14"/>
                <w:szCs w:val="14"/>
                <w:lang w:val="fr-CH"/>
              </w:rPr>
              <w:t>)</w:t>
            </w:r>
          </w:p>
        </w:tc>
        <w:tc>
          <w:tcPr>
            <w:tcW w:w="875" w:type="dxa"/>
            <w:tcBorders>
              <w:bottom w:val="single" w:sz="4" w:space="0" w:color="auto"/>
            </w:tcBorders>
          </w:tcPr>
          <w:p w14:paraId="158F54C7" w14:textId="5A8DAFD1" w:rsidR="00F361B2" w:rsidRPr="00BA227C" w:rsidRDefault="00F361B2" w:rsidP="00080985">
            <w:pPr>
              <w:jc w:val="center"/>
              <w:rPr>
                <w:i/>
                <w:iCs/>
                <w:sz w:val="14"/>
                <w:szCs w:val="14"/>
                <w:lang w:val="fr-CH"/>
              </w:rPr>
            </w:pPr>
            <w:r w:rsidRPr="00BA227C">
              <w:rPr>
                <w:i/>
                <w:iCs/>
                <w:sz w:val="14"/>
                <w:szCs w:val="14"/>
                <w:lang w:val="fr-CH"/>
              </w:rPr>
              <w:t xml:space="preserve">Nombre </w:t>
            </w:r>
            <w:r>
              <w:rPr>
                <w:i/>
                <w:iCs/>
                <w:sz w:val="14"/>
                <w:szCs w:val="14"/>
                <w:lang w:val="fr-CH"/>
              </w:rPr>
              <w:t>de projets</w:t>
            </w:r>
          </w:p>
        </w:tc>
        <w:tc>
          <w:tcPr>
            <w:tcW w:w="875" w:type="dxa"/>
            <w:tcBorders>
              <w:bottom w:val="single" w:sz="4" w:space="0" w:color="auto"/>
            </w:tcBorders>
          </w:tcPr>
          <w:p w14:paraId="36B4159C" w14:textId="4B2F3F7F" w:rsidR="00F361B2" w:rsidRPr="00BA227C" w:rsidRDefault="00F361B2" w:rsidP="00080985">
            <w:pPr>
              <w:jc w:val="center"/>
              <w:rPr>
                <w:i/>
                <w:iCs/>
                <w:sz w:val="14"/>
                <w:szCs w:val="14"/>
                <w:lang w:val="fr-CH"/>
              </w:rPr>
            </w:pPr>
            <w:r w:rsidRPr="00BA227C">
              <w:rPr>
                <w:i/>
                <w:iCs/>
                <w:sz w:val="14"/>
                <w:szCs w:val="14"/>
                <w:lang w:val="fr-CH"/>
              </w:rPr>
              <w:t xml:space="preserve">Niveau de mise en oeuvre </w:t>
            </w:r>
            <w:r>
              <w:rPr>
                <w:i/>
                <w:iCs/>
                <w:sz w:val="14"/>
                <w:szCs w:val="14"/>
                <w:lang w:val="fr-CH"/>
              </w:rPr>
              <w:br/>
            </w:r>
            <w:r w:rsidRPr="00BA227C">
              <w:rPr>
                <w:i/>
                <w:iCs/>
                <w:sz w:val="14"/>
                <w:szCs w:val="14"/>
                <w:lang w:val="fr-CH"/>
              </w:rPr>
              <w:t xml:space="preserve">(en milliers </w:t>
            </w:r>
            <w:r w:rsidR="00904B4E">
              <w:rPr>
                <w:i/>
                <w:iCs/>
                <w:sz w:val="14"/>
                <w:szCs w:val="14"/>
                <w:lang w:val="fr-CH"/>
              </w:rPr>
              <w:t>d'USD</w:t>
            </w:r>
            <w:r w:rsidRPr="00BA227C">
              <w:rPr>
                <w:i/>
                <w:iCs/>
                <w:sz w:val="14"/>
                <w:szCs w:val="14"/>
                <w:lang w:val="fr-CH"/>
              </w:rPr>
              <w:t>)</w:t>
            </w:r>
          </w:p>
        </w:tc>
        <w:tc>
          <w:tcPr>
            <w:tcW w:w="875" w:type="dxa"/>
            <w:tcBorders>
              <w:bottom w:val="single" w:sz="4" w:space="0" w:color="auto"/>
            </w:tcBorders>
          </w:tcPr>
          <w:p w14:paraId="35ADC7CE" w14:textId="5078CF4D" w:rsidR="00F361B2" w:rsidRPr="00BA227C" w:rsidRDefault="00F361B2" w:rsidP="00080985">
            <w:pPr>
              <w:jc w:val="center"/>
              <w:rPr>
                <w:i/>
                <w:iCs/>
                <w:sz w:val="14"/>
                <w:szCs w:val="14"/>
                <w:lang w:val="fr-CH"/>
              </w:rPr>
            </w:pPr>
            <w:r w:rsidRPr="00BA227C">
              <w:rPr>
                <w:i/>
                <w:iCs/>
                <w:sz w:val="14"/>
                <w:szCs w:val="14"/>
                <w:lang w:val="fr-CH"/>
              </w:rPr>
              <w:t xml:space="preserve">Nombre </w:t>
            </w:r>
            <w:r>
              <w:rPr>
                <w:i/>
                <w:iCs/>
                <w:sz w:val="14"/>
                <w:szCs w:val="14"/>
                <w:lang w:val="fr-CH"/>
              </w:rPr>
              <w:t>de projets</w:t>
            </w:r>
          </w:p>
        </w:tc>
        <w:tc>
          <w:tcPr>
            <w:tcW w:w="875" w:type="dxa"/>
            <w:tcBorders>
              <w:bottom w:val="single" w:sz="4" w:space="0" w:color="auto"/>
            </w:tcBorders>
          </w:tcPr>
          <w:p w14:paraId="66D70446" w14:textId="1DCDE537" w:rsidR="00F361B2" w:rsidRPr="00BA227C" w:rsidRDefault="00F361B2" w:rsidP="00080985">
            <w:pPr>
              <w:jc w:val="center"/>
              <w:rPr>
                <w:i/>
                <w:iCs/>
                <w:sz w:val="14"/>
                <w:szCs w:val="14"/>
                <w:lang w:val="fr-CH"/>
              </w:rPr>
            </w:pPr>
            <w:r w:rsidRPr="00BA227C">
              <w:rPr>
                <w:i/>
                <w:iCs/>
                <w:sz w:val="14"/>
                <w:szCs w:val="14"/>
                <w:lang w:val="fr-CH"/>
              </w:rPr>
              <w:t xml:space="preserve">Niveau de mise en oeuvre </w:t>
            </w:r>
            <w:r>
              <w:rPr>
                <w:i/>
                <w:iCs/>
                <w:sz w:val="14"/>
                <w:szCs w:val="14"/>
                <w:lang w:val="fr-CH"/>
              </w:rPr>
              <w:br/>
            </w:r>
            <w:r w:rsidRPr="00BA227C">
              <w:rPr>
                <w:i/>
                <w:iCs/>
                <w:sz w:val="14"/>
                <w:szCs w:val="14"/>
                <w:lang w:val="fr-CH"/>
              </w:rPr>
              <w:t xml:space="preserve">(en milliers </w:t>
            </w:r>
            <w:r w:rsidR="00904B4E">
              <w:rPr>
                <w:i/>
                <w:iCs/>
                <w:sz w:val="14"/>
                <w:szCs w:val="14"/>
                <w:lang w:val="fr-CH"/>
              </w:rPr>
              <w:t>d'USD</w:t>
            </w:r>
          </w:p>
        </w:tc>
      </w:tr>
      <w:tr w:rsidR="00F361B2" w:rsidRPr="00BA227C" w14:paraId="15688E1A" w14:textId="77777777" w:rsidTr="00BD7CEE">
        <w:trPr>
          <w:jc w:val="center"/>
        </w:trPr>
        <w:tc>
          <w:tcPr>
            <w:tcW w:w="1165" w:type="dxa"/>
            <w:tcBorders>
              <w:top w:val="single" w:sz="4" w:space="0" w:color="auto"/>
              <w:left w:val="nil"/>
              <w:bottom w:val="nil"/>
              <w:right w:val="nil"/>
            </w:tcBorders>
          </w:tcPr>
          <w:p w14:paraId="63A377D4" w14:textId="77777777" w:rsidR="00F361B2" w:rsidRPr="00BA227C" w:rsidRDefault="00F361B2" w:rsidP="00080985">
            <w:pPr>
              <w:rPr>
                <w:b/>
                <w:bCs/>
                <w:sz w:val="14"/>
                <w:szCs w:val="14"/>
                <w:lang w:val="fr-CH"/>
              </w:rPr>
            </w:pPr>
            <w:r w:rsidRPr="00BA227C">
              <w:rPr>
                <w:b/>
                <w:bCs/>
                <w:sz w:val="14"/>
                <w:szCs w:val="14"/>
                <w:lang w:val="fr-CH"/>
              </w:rPr>
              <w:t>Afrique</w:t>
            </w:r>
          </w:p>
        </w:tc>
        <w:tc>
          <w:tcPr>
            <w:tcW w:w="876" w:type="dxa"/>
            <w:tcBorders>
              <w:top w:val="single" w:sz="4" w:space="0" w:color="auto"/>
              <w:left w:val="nil"/>
              <w:bottom w:val="nil"/>
              <w:right w:val="nil"/>
            </w:tcBorders>
          </w:tcPr>
          <w:p w14:paraId="1138F79B" w14:textId="2D2E8E9F" w:rsidR="00F361B2" w:rsidRPr="00BA227C" w:rsidRDefault="00904B4E" w:rsidP="00080985">
            <w:pPr>
              <w:jc w:val="right"/>
              <w:rPr>
                <w:sz w:val="14"/>
                <w:szCs w:val="14"/>
                <w:lang w:val="fr-CH"/>
              </w:rPr>
            </w:pPr>
            <w:r>
              <w:rPr>
                <w:sz w:val="14"/>
                <w:szCs w:val="14"/>
                <w:lang w:val="fr-CH"/>
              </w:rPr>
              <w:t>3</w:t>
            </w:r>
          </w:p>
        </w:tc>
        <w:tc>
          <w:tcPr>
            <w:tcW w:w="876" w:type="dxa"/>
            <w:tcBorders>
              <w:top w:val="single" w:sz="4" w:space="0" w:color="auto"/>
              <w:left w:val="nil"/>
              <w:bottom w:val="nil"/>
              <w:right w:val="nil"/>
            </w:tcBorders>
          </w:tcPr>
          <w:p w14:paraId="517FA4E3" w14:textId="2A8E8FC4" w:rsidR="00F361B2" w:rsidRPr="00BA227C" w:rsidRDefault="00904B4E" w:rsidP="00080985">
            <w:pPr>
              <w:jc w:val="right"/>
              <w:rPr>
                <w:sz w:val="14"/>
                <w:szCs w:val="14"/>
                <w:lang w:val="fr-CH"/>
              </w:rPr>
            </w:pPr>
            <w:r>
              <w:rPr>
                <w:sz w:val="14"/>
                <w:szCs w:val="14"/>
                <w:lang w:val="fr-CH"/>
              </w:rPr>
              <w:t>184</w:t>
            </w:r>
          </w:p>
        </w:tc>
        <w:tc>
          <w:tcPr>
            <w:tcW w:w="876" w:type="dxa"/>
            <w:tcBorders>
              <w:top w:val="single" w:sz="4" w:space="0" w:color="auto"/>
              <w:left w:val="nil"/>
              <w:bottom w:val="nil"/>
              <w:right w:val="nil"/>
            </w:tcBorders>
          </w:tcPr>
          <w:p w14:paraId="28E57F6B" w14:textId="34FE1319" w:rsidR="00F361B2" w:rsidRPr="00BA227C" w:rsidRDefault="00904B4E" w:rsidP="00080985">
            <w:pPr>
              <w:jc w:val="right"/>
              <w:rPr>
                <w:sz w:val="14"/>
                <w:szCs w:val="14"/>
                <w:lang w:val="fr-CH"/>
              </w:rPr>
            </w:pPr>
            <w:r>
              <w:rPr>
                <w:sz w:val="14"/>
                <w:szCs w:val="14"/>
                <w:lang w:val="fr-CH"/>
              </w:rPr>
              <w:t>6</w:t>
            </w:r>
          </w:p>
        </w:tc>
        <w:tc>
          <w:tcPr>
            <w:tcW w:w="875" w:type="dxa"/>
            <w:tcBorders>
              <w:top w:val="single" w:sz="4" w:space="0" w:color="auto"/>
              <w:left w:val="nil"/>
              <w:bottom w:val="nil"/>
              <w:right w:val="nil"/>
            </w:tcBorders>
          </w:tcPr>
          <w:p w14:paraId="0755F561" w14:textId="5C2FE0FC" w:rsidR="00F361B2" w:rsidRPr="00BA227C" w:rsidRDefault="00904B4E" w:rsidP="00080985">
            <w:pPr>
              <w:jc w:val="right"/>
              <w:rPr>
                <w:sz w:val="14"/>
                <w:szCs w:val="14"/>
                <w:lang w:val="fr-CH"/>
              </w:rPr>
            </w:pPr>
            <w:r>
              <w:rPr>
                <w:sz w:val="14"/>
                <w:szCs w:val="14"/>
                <w:lang w:val="fr-CH"/>
              </w:rPr>
              <w:t>2 517</w:t>
            </w:r>
          </w:p>
        </w:tc>
        <w:tc>
          <w:tcPr>
            <w:tcW w:w="875" w:type="dxa"/>
            <w:tcBorders>
              <w:top w:val="single" w:sz="4" w:space="0" w:color="auto"/>
              <w:left w:val="nil"/>
              <w:bottom w:val="nil"/>
              <w:right w:val="nil"/>
            </w:tcBorders>
          </w:tcPr>
          <w:p w14:paraId="07B344FC" w14:textId="39AE0EEB" w:rsidR="00F361B2" w:rsidRPr="00BA227C" w:rsidRDefault="00904B4E" w:rsidP="00080985">
            <w:pPr>
              <w:jc w:val="right"/>
              <w:rPr>
                <w:sz w:val="14"/>
                <w:szCs w:val="14"/>
                <w:lang w:val="fr-CH"/>
              </w:rPr>
            </w:pPr>
            <w:r>
              <w:rPr>
                <w:sz w:val="14"/>
                <w:szCs w:val="14"/>
                <w:lang w:val="fr-CH"/>
              </w:rPr>
              <w:t>4</w:t>
            </w:r>
          </w:p>
        </w:tc>
        <w:tc>
          <w:tcPr>
            <w:tcW w:w="875" w:type="dxa"/>
            <w:tcBorders>
              <w:top w:val="single" w:sz="4" w:space="0" w:color="auto"/>
              <w:left w:val="nil"/>
              <w:bottom w:val="nil"/>
              <w:right w:val="nil"/>
            </w:tcBorders>
          </w:tcPr>
          <w:p w14:paraId="036A3A9D" w14:textId="678BDA4A" w:rsidR="00F361B2" w:rsidRPr="00BA227C" w:rsidRDefault="00904B4E" w:rsidP="00080985">
            <w:pPr>
              <w:jc w:val="right"/>
              <w:rPr>
                <w:sz w:val="14"/>
                <w:szCs w:val="14"/>
                <w:lang w:val="fr-CH"/>
              </w:rPr>
            </w:pPr>
            <w:r>
              <w:rPr>
                <w:sz w:val="14"/>
                <w:szCs w:val="14"/>
                <w:lang w:val="fr-CH"/>
              </w:rPr>
              <w:t>289</w:t>
            </w:r>
          </w:p>
        </w:tc>
        <w:tc>
          <w:tcPr>
            <w:tcW w:w="875" w:type="dxa"/>
            <w:tcBorders>
              <w:top w:val="single" w:sz="4" w:space="0" w:color="auto"/>
              <w:left w:val="nil"/>
              <w:bottom w:val="nil"/>
              <w:right w:val="nil"/>
            </w:tcBorders>
          </w:tcPr>
          <w:p w14:paraId="1D573BF4" w14:textId="77777777" w:rsidR="00F361B2" w:rsidRPr="00BA227C" w:rsidRDefault="00F361B2" w:rsidP="00080985">
            <w:pPr>
              <w:jc w:val="right"/>
              <w:rPr>
                <w:sz w:val="14"/>
                <w:szCs w:val="14"/>
                <w:lang w:val="fr-CH"/>
              </w:rPr>
            </w:pPr>
          </w:p>
        </w:tc>
        <w:tc>
          <w:tcPr>
            <w:tcW w:w="875" w:type="dxa"/>
            <w:tcBorders>
              <w:top w:val="single" w:sz="4" w:space="0" w:color="auto"/>
              <w:left w:val="nil"/>
              <w:bottom w:val="nil"/>
              <w:right w:val="nil"/>
            </w:tcBorders>
          </w:tcPr>
          <w:p w14:paraId="36A3CBD8" w14:textId="77777777" w:rsidR="00F361B2" w:rsidRPr="00BA227C" w:rsidRDefault="00F361B2" w:rsidP="00080985">
            <w:pPr>
              <w:jc w:val="right"/>
              <w:rPr>
                <w:sz w:val="14"/>
                <w:szCs w:val="14"/>
                <w:lang w:val="fr-CH"/>
              </w:rPr>
            </w:pPr>
          </w:p>
        </w:tc>
        <w:tc>
          <w:tcPr>
            <w:tcW w:w="875" w:type="dxa"/>
            <w:tcBorders>
              <w:top w:val="single" w:sz="4" w:space="0" w:color="auto"/>
              <w:left w:val="nil"/>
              <w:bottom w:val="nil"/>
              <w:right w:val="nil"/>
            </w:tcBorders>
          </w:tcPr>
          <w:p w14:paraId="44CFECE5" w14:textId="034EF7FD" w:rsidR="00F361B2" w:rsidRPr="00BA227C" w:rsidRDefault="00904B4E" w:rsidP="00080985">
            <w:pPr>
              <w:jc w:val="right"/>
              <w:rPr>
                <w:b/>
                <w:bCs/>
                <w:sz w:val="14"/>
                <w:szCs w:val="14"/>
                <w:lang w:val="fr-CH"/>
              </w:rPr>
            </w:pPr>
            <w:r>
              <w:rPr>
                <w:b/>
                <w:bCs/>
                <w:sz w:val="14"/>
                <w:szCs w:val="14"/>
                <w:lang w:val="fr-CH"/>
              </w:rPr>
              <w:t>13</w:t>
            </w:r>
          </w:p>
        </w:tc>
        <w:tc>
          <w:tcPr>
            <w:tcW w:w="875" w:type="dxa"/>
            <w:tcBorders>
              <w:top w:val="single" w:sz="4" w:space="0" w:color="auto"/>
              <w:left w:val="nil"/>
              <w:bottom w:val="nil"/>
              <w:right w:val="nil"/>
            </w:tcBorders>
          </w:tcPr>
          <w:p w14:paraId="77BFD558" w14:textId="7581DAC0" w:rsidR="00F361B2" w:rsidRPr="00BA227C" w:rsidRDefault="00904B4E" w:rsidP="00080985">
            <w:pPr>
              <w:jc w:val="right"/>
              <w:rPr>
                <w:b/>
                <w:bCs/>
                <w:sz w:val="14"/>
                <w:szCs w:val="14"/>
                <w:lang w:val="fr-CH"/>
              </w:rPr>
            </w:pPr>
            <w:r>
              <w:rPr>
                <w:b/>
                <w:bCs/>
                <w:sz w:val="14"/>
                <w:szCs w:val="14"/>
                <w:lang w:val="fr-CH"/>
              </w:rPr>
              <w:t>2 990</w:t>
            </w:r>
          </w:p>
        </w:tc>
      </w:tr>
      <w:tr w:rsidR="00F361B2" w:rsidRPr="00BA227C" w14:paraId="467B57A8" w14:textId="77777777" w:rsidTr="00BD7CEE">
        <w:trPr>
          <w:jc w:val="center"/>
        </w:trPr>
        <w:tc>
          <w:tcPr>
            <w:tcW w:w="1165" w:type="dxa"/>
            <w:tcBorders>
              <w:top w:val="nil"/>
              <w:left w:val="nil"/>
              <w:bottom w:val="nil"/>
              <w:right w:val="nil"/>
            </w:tcBorders>
          </w:tcPr>
          <w:p w14:paraId="67203C1B" w14:textId="77777777" w:rsidR="00F361B2" w:rsidRPr="00BA227C" w:rsidRDefault="00F361B2" w:rsidP="00080985">
            <w:pPr>
              <w:rPr>
                <w:b/>
                <w:bCs/>
                <w:sz w:val="14"/>
                <w:szCs w:val="14"/>
                <w:lang w:val="fr-CH"/>
              </w:rPr>
            </w:pPr>
            <w:r w:rsidRPr="00BA227C">
              <w:rPr>
                <w:b/>
                <w:bCs/>
                <w:sz w:val="14"/>
                <w:szCs w:val="14"/>
                <w:lang w:val="fr-CH"/>
              </w:rPr>
              <w:t>Amériques</w:t>
            </w:r>
          </w:p>
        </w:tc>
        <w:tc>
          <w:tcPr>
            <w:tcW w:w="876" w:type="dxa"/>
            <w:tcBorders>
              <w:top w:val="nil"/>
              <w:left w:val="nil"/>
              <w:bottom w:val="nil"/>
              <w:right w:val="nil"/>
            </w:tcBorders>
          </w:tcPr>
          <w:p w14:paraId="5AAECEA5" w14:textId="6E2233A3" w:rsidR="00F361B2" w:rsidRPr="00BA227C" w:rsidRDefault="00904B4E" w:rsidP="00080985">
            <w:pPr>
              <w:jc w:val="right"/>
              <w:rPr>
                <w:sz w:val="14"/>
                <w:szCs w:val="14"/>
                <w:lang w:val="fr-CH"/>
              </w:rPr>
            </w:pPr>
            <w:r>
              <w:rPr>
                <w:sz w:val="14"/>
                <w:szCs w:val="14"/>
                <w:lang w:val="fr-CH"/>
              </w:rPr>
              <w:t>8</w:t>
            </w:r>
          </w:p>
        </w:tc>
        <w:tc>
          <w:tcPr>
            <w:tcW w:w="876" w:type="dxa"/>
            <w:tcBorders>
              <w:top w:val="nil"/>
              <w:left w:val="nil"/>
              <w:bottom w:val="nil"/>
              <w:right w:val="nil"/>
            </w:tcBorders>
          </w:tcPr>
          <w:p w14:paraId="7F3A6CED" w14:textId="3A2E0EBF" w:rsidR="00F361B2" w:rsidRPr="00BA227C" w:rsidRDefault="00904B4E" w:rsidP="00080985">
            <w:pPr>
              <w:jc w:val="right"/>
              <w:rPr>
                <w:sz w:val="14"/>
                <w:szCs w:val="14"/>
                <w:lang w:val="fr-CH"/>
              </w:rPr>
            </w:pPr>
            <w:r>
              <w:rPr>
                <w:sz w:val="14"/>
                <w:szCs w:val="14"/>
                <w:lang w:val="fr-CH"/>
              </w:rPr>
              <w:t>3 766</w:t>
            </w:r>
          </w:p>
        </w:tc>
        <w:tc>
          <w:tcPr>
            <w:tcW w:w="876" w:type="dxa"/>
            <w:tcBorders>
              <w:top w:val="nil"/>
              <w:left w:val="nil"/>
              <w:bottom w:val="nil"/>
              <w:right w:val="nil"/>
            </w:tcBorders>
          </w:tcPr>
          <w:p w14:paraId="7F71A9E5" w14:textId="48BC9EC5" w:rsidR="00F361B2" w:rsidRPr="00BA227C" w:rsidRDefault="00F361B2" w:rsidP="00080985">
            <w:pPr>
              <w:jc w:val="right"/>
              <w:rPr>
                <w:sz w:val="14"/>
                <w:szCs w:val="14"/>
                <w:lang w:val="fr-CH"/>
              </w:rPr>
            </w:pPr>
          </w:p>
        </w:tc>
        <w:tc>
          <w:tcPr>
            <w:tcW w:w="875" w:type="dxa"/>
            <w:tcBorders>
              <w:top w:val="nil"/>
              <w:left w:val="nil"/>
              <w:bottom w:val="nil"/>
              <w:right w:val="nil"/>
            </w:tcBorders>
          </w:tcPr>
          <w:p w14:paraId="468FA250" w14:textId="15258A1B" w:rsidR="00F361B2" w:rsidRPr="00BA227C" w:rsidRDefault="00F361B2" w:rsidP="00080985">
            <w:pPr>
              <w:jc w:val="right"/>
              <w:rPr>
                <w:sz w:val="14"/>
                <w:szCs w:val="14"/>
                <w:lang w:val="fr-CH"/>
              </w:rPr>
            </w:pPr>
          </w:p>
        </w:tc>
        <w:tc>
          <w:tcPr>
            <w:tcW w:w="875" w:type="dxa"/>
            <w:tcBorders>
              <w:top w:val="nil"/>
              <w:left w:val="nil"/>
              <w:bottom w:val="nil"/>
              <w:right w:val="nil"/>
            </w:tcBorders>
          </w:tcPr>
          <w:p w14:paraId="0F52B51A" w14:textId="657F1992" w:rsidR="00F361B2" w:rsidRPr="00BA227C" w:rsidRDefault="00904B4E" w:rsidP="00080985">
            <w:pPr>
              <w:jc w:val="right"/>
              <w:rPr>
                <w:sz w:val="14"/>
                <w:szCs w:val="14"/>
                <w:lang w:val="fr-CH"/>
              </w:rPr>
            </w:pPr>
            <w:r>
              <w:rPr>
                <w:sz w:val="14"/>
                <w:szCs w:val="14"/>
                <w:lang w:val="fr-CH"/>
              </w:rPr>
              <w:t>3</w:t>
            </w:r>
          </w:p>
        </w:tc>
        <w:tc>
          <w:tcPr>
            <w:tcW w:w="875" w:type="dxa"/>
            <w:tcBorders>
              <w:top w:val="nil"/>
              <w:left w:val="nil"/>
              <w:bottom w:val="nil"/>
              <w:right w:val="nil"/>
            </w:tcBorders>
          </w:tcPr>
          <w:p w14:paraId="72FA5858" w14:textId="7B4239CC" w:rsidR="00F361B2" w:rsidRPr="00BA227C" w:rsidRDefault="00904B4E" w:rsidP="00080985">
            <w:pPr>
              <w:jc w:val="right"/>
              <w:rPr>
                <w:sz w:val="14"/>
                <w:szCs w:val="14"/>
                <w:lang w:val="fr-CH"/>
              </w:rPr>
            </w:pPr>
            <w:r>
              <w:rPr>
                <w:sz w:val="14"/>
                <w:szCs w:val="14"/>
                <w:lang w:val="fr-CH"/>
              </w:rPr>
              <w:t>28</w:t>
            </w:r>
          </w:p>
        </w:tc>
        <w:tc>
          <w:tcPr>
            <w:tcW w:w="875" w:type="dxa"/>
            <w:tcBorders>
              <w:top w:val="nil"/>
              <w:left w:val="nil"/>
              <w:bottom w:val="nil"/>
              <w:right w:val="nil"/>
            </w:tcBorders>
          </w:tcPr>
          <w:p w14:paraId="091C2720" w14:textId="2222CB9B" w:rsidR="00F361B2" w:rsidRPr="00BA227C" w:rsidRDefault="00F361B2" w:rsidP="00080985">
            <w:pPr>
              <w:jc w:val="right"/>
              <w:rPr>
                <w:sz w:val="14"/>
                <w:szCs w:val="14"/>
                <w:lang w:val="fr-CH"/>
              </w:rPr>
            </w:pPr>
          </w:p>
        </w:tc>
        <w:tc>
          <w:tcPr>
            <w:tcW w:w="875" w:type="dxa"/>
            <w:tcBorders>
              <w:top w:val="nil"/>
              <w:left w:val="nil"/>
              <w:bottom w:val="nil"/>
              <w:right w:val="nil"/>
            </w:tcBorders>
          </w:tcPr>
          <w:p w14:paraId="1815B38B" w14:textId="5FA1D89A" w:rsidR="00F361B2" w:rsidRPr="00BA227C" w:rsidRDefault="00F361B2" w:rsidP="00080985">
            <w:pPr>
              <w:jc w:val="right"/>
              <w:rPr>
                <w:sz w:val="14"/>
                <w:szCs w:val="14"/>
                <w:lang w:val="fr-CH"/>
              </w:rPr>
            </w:pPr>
          </w:p>
        </w:tc>
        <w:tc>
          <w:tcPr>
            <w:tcW w:w="875" w:type="dxa"/>
            <w:tcBorders>
              <w:top w:val="nil"/>
              <w:left w:val="nil"/>
              <w:bottom w:val="nil"/>
              <w:right w:val="nil"/>
            </w:tcBorders>
          </w:tcPr>
          <w:p w14:paraId="1395A8D3" w14:textId="58E421AE" w:rsidR="00F361B2" w:rsidRPr="00BA227C" w:rsidRDefault="00904B4E" w:rsidP="00080985">
            <w:pPr>
              <w:jc w:val="right"/>
              <w:rPr>
                <w:b/>
                <w:bCs/>
                <w:sz w:val="14"/>
                <w:szCs w:val="14"/>
                <w:lang w:val="fr-CH"/>
              </w:rPr>
            </w:pPr>
            <w:r>
              <w:rPr>
                <w:b/>
                <w:bCs/>
                <w:sz w:val="14"/>
                <w:szCs w:val="14"/>
                <w:lang w:val="fr-CH"/>
              </w:rPr>
              <w:t>11</w:t>
            </w:r>
          </w:p>
        </w:tc>
        <w:tc>
          <w:tcPr>
            <w:tcW w:w="875" w:type="dxa"/>
            <w:tcBorders>
              <w:top w:val="nil"/>
              <w:left w:val="nil"/>
              <w:bottom w:val="nil"/>
              <w:right w:val="nil"/>
            </w:tcBorders>
          </w:tcPr>
          <w:p w14:paraId="6F7A6B82" w14:textId="11B1F5B5" w:rsidR="00F361B2" w:rsidRPr="00BA227C" w:rsidRDefault="00904B4E" w:rsidP="00080985">
            <w:pPr>
              <w:jc w:val="right"/>
              <w:rPr>
                <w:b/>
                <w:bCs/>
                <w:sz w:val="14"/>
                <w:szCs w:val="14"/>
                <w:lang w:val="fr-CH"/>
              </w:rPr>
            </w:pPr>
            <w:r>
              <w:rPr>
                <w:b/>
                <w:bCs/>
                <w:sz w:val="14"/>
                <w:szCs w:val="14"/>
                <w:lang w:val="fr-CH"/>
              </w:rPr>
              <w:t>3 794</w:t>
            </w:r>
          </w:p>
        </w:tc>
      </w:tr>
      <w:tr w:rsidR="00F361B2" w:rsidRPr="00BA227C" w14:paraId="5E212ACD" w14:textId="77777777" w:rsidTr="00BD7CEE">
        <w:trPr>
          <w:jc w:val="center"/>
        </w:trPr>
        <w:tc>
          <w:tcPr>
            <w:tcW w:w="1165" w:type="dxa"/>
            <w:tcBorders>
              <w:top w:val="nil"/>
              <w:left w:val="nil"/>
              <w:bottom w:val="nil"/>
              <w:right w:val="nil"/>
            </w:tcBorders>
          </w:tcPr>
          <w:p w14:paraId="04DEA492" w14:textId="77777777" w:rsidR="00F361B2" w:rsidRPr="00BA227C" w:rsidRDefault="00F361B2" w:rsidP="00080985">
            <w:pPr>
              <w:rPr>
                <w:b/>
                <w:bCs/>
                <w:sz w:val="14"/>
                <w:szCs w:val="14"/>
                <w:lang w:val="fr-CH"/>
              </w:rPr>
            </w:pPr>
            <w:r w:rsidRPr="00BA227C">
              <w:rPr>
                <w:b/>
                <w:bCs/>
                <w:sz w:val="14"/>
                <w:szCs w:val="14"/>
                <w:lang w:val="fr-CH"/>
              </w:rPr>
              <w:t>Etats arabes</w:t>
            </w:r>
          </w:p>
        </w:tc>
        <w:tc>
          <w:tcPr>
            <w:tcW w:w="876" w:type="dxa"/>
            <w:tcBorders>
              <w:top w:val="nil"/>
              <w:left w:val="nil"/>
              <w:bottom w:val="nil"/>
              <w:right w:val="nil"/>
            </w:tcBorders>
          </w:tcPr>
          <w:p w14:paraId="6C5C3507" w14:textId="3123F82A" w:rsidR="00F361B2" w:rsidRPr="00BA227C" w:rsidRDefault="00904B4E" w:rsidP="00080985">
            <w:pPr>
              <w:jc w:val="right"/>
              <w:rPr>
                <w:sz w:val="14"/>
                <w:szCs w:val="14"/>
                <w:lang w:val="fr-CH"/>
              </w:rPr>
            </w:pPr>
            <w:r>
              <w:rPr>
                <w:sz w:val="14"/>
                <w:szCs w:val="14"/>
                <w:lang w:val="fr-CH"/>
              </w:rPr>
              <w:t>2</w:t>
            </w:r>
          </w:p>
        </w:tc>
        <w:tc>
          <w:tcPr>
            <w:tcW w:w="876" w:type="dxa"/>
            <w:tcBorders>
              <w:top w:val="nil"/>
              <w:left w:val="nil"/>
              <w:bottom w:val="nil"/>
              <w:right w:val="nil"/>
            </w:tcBorders>
          </w:tcPr>
          <w:p w14:paraId="286B2C08" w14:textId="13F8863D" w:rsidR="00F361B2" w:rsidRPr="00BA227C" w:rsidRDefault="00904B4E" w:rsidP="00080985">
            <w:pPr>
              <w:jc w:val="right"/>
              <w:rPr>
                <w:sz w:val="14"/>
                <w:szCs w:val="14"/>
                <w:lang w:val="fr-CH"/>
              </w:rPr>
            </w:pPr>
            <w:r>
              <w:rPr>
                <w:sz w:val="14"/>
                <w:szCs w:val="14"/>
                <w:lang w:val="fr-CH"/>
              </w:rPr>
              <w:t>810</w:t>
            </w:r>
          </w:p>
        </w:tc>
        <w:tc>
          <w:tcPr>
            <w:tcW w:w="876" w:type="dxa"/>
            <w:tcBorders>
              <w:top w:val="nil"/>
              <w:left w:val="nil"/>
              <w:bottom w:val="nil"/>
              <w:right w:val="nil"/>
            </w:tcBorders>
          </w:tcPr>
          <w:p w14:paraId="3284E455" w14:textId="122F6493" w:rsidR="00F361B2" w:rsidRPr="00BA227C" w:rsidRDefault="00904B4E" w:rsidP="00080985">
            <w:pPr>
              <w:jc w:val="right"/>
              <w:rPr>
                <w:sz w:val="14"/>
                <w:szCs w:val="14"/>
                <w:lang w:val="fr-CH"/>
              </w:rPr>
            </w:pPr>
            <w:r>
              <w:rPr>
                <w:sz w:val="14"/>
                <w:szCs w:val="14"/>
                <w:lang w:val="fr-CH"/>
              </w:rPr>
              <w:t>3</w:t>
            </w:r>
          </w:p>
        </w:tc>
        <w:tc>
          <w:tcPr>
            <w:tcW w:w="875" w:type="dxa"/>
            <w:tcBorders>
              <w:top w:val="nil"/>
              <w:left w:val="nil"/>
              <w:bottom w:val="nil"/>
              <w:right w:val="nil"/>
            </w:tcBorders>
          </w:tcPr>
          <w:p w14:paraId="2F3857EA" w14:textId="35C0A0B0" w:rsidR="00F361B2" w:rsidRPr="00BA227C" w:rsidRDefault="00904B4E" w:rsidP="00080985">
            <w:pPr>
              <w:jc w:val="right"/>
              <w:rPr>
                <w:sz w:val="14"/>
                <w:szCs w:val="14"/>
                <w:lang w:val="fr-CH"/>
              </w:rPr>
            </w:pPr>
            <w:r>
              <w:rPr>
                <w:sz w:val="14"/>
                <w:szCs w:val="14"/>
                <w:lang w:val="fr-CH"/>
              </w:rPr>
              <w:t>7</w:t>
            </w:r>
          </w:p>
        </w:tc>
        <w:tc>
          <w:tcPr>
            <w:tcW w:w="875" w:type="dxa"/>
            <w:tcBorders>
              <w:top w:val="nil"/>
              <w:left w:val="nil"/>
              <w:bottom w:val="nil"/>
              <w:right w:val="nil"/>
            </w:tcBorders>
          </w:tcPr>
          <w:p w14:paraId="1F9166FB" w14:textId="5804EBD3" w:rsidR="00F361B2" w:rsidRPr="00BA227C" w:rsidRDefault="00904B4E" w:rsidP="00080985">
            <w:pPr>
              <w:jc w:val="right"/>
              <w:rPr>
                <w:sz w:val="14"/>
                <w:szCs w:val="14"/>
                <w:lang w:val="fr-CH"/>
              </w:rPr>
            </w:pPr>
            <w:r>
              <w:rPr>
                <w:sz w:val="14"/>
                <w:szCs w:val="14"/>
                <w:lang w:val="fr-CH"/>
              </w:rPr>
              <w:t>2</w:t>
            </w:r>
          </w:p>
        </w:tc>
        <w:tc>
          <w:tcPr>
            <w:tcW w:w="875" w:type="dxa"/>
            <w:tcBorders>
              <w:top w:val="nil"/>
              <w:left w:val="nil"/>
              <w:bottom w:val="nil"/>
              <w:right w:val="nil"/>
            </w:tcBorders>
          </w:tcPr>
          <w:p w14:paraId="28285CCA" w14:textId="36B03D0C" w:rsidR="00F361B2" w:rsidRPr="00BA227C" w:rsidRDefault="00904B4E" w:rsidP="00080985">
            <w:pPr>
              <w:jc w:val="right"/>
              <w:rPr>
                <w:sz w:val="14"/>
                <w:szCs w:val="14"/>
                <w:lang w:val="fr-CH"/>
              </w:rPr>
            </w:pPr>
            <w:r>
              <w:rPr>
                <w:sz w:val="14"/>
                <w:szCs w:val="14"/>
                <w:lang w:val="fr-CH"/>
              </w:rPr>
              <w:t>17</w:t>
            </w:r>
          </w:p>
        </w:tc>
        <w:tc>
          <w:tcPr>
            <w:tcW w:w="875" w:type="dxa"/>
            <w:tcBorders>
              <w:top w:val="nil"/>
              <w:left w:val="nil"/>
              <w:bottom w:val="nil"/>
              <w:right w:val="nil"/>
            </w:tcBorders>
          </w:tcPr>
          <w:p w14:paraId="2F7C6E4D" w14:textId="3F7515DD" w:rsidR="00F361B2" w:rsidRPr="00BA227C" w:rsidRDefault="00904B4E" w:rsidP="00080985">
            <w:pPr>
              <w:jc w:val="right"/>
              <w:rPr>
                <w:sz w:val="14"/>
                <w:szCs w:val="14"/>
                <w:lang w:val="fr-CH"/>
              </w:rPr>
            </w:pPr>
            <w:r>
              <w:rPr>
                <w:sz w:val="14"/>
                <w:szCs w:val="14"/>
                <w:lang w:val="fr-CH"/>
              </w:rPr>
              <w:t>1</w:t>
            </w:r>
          </w:p>
        </w:tc>
        <w:tc>
          <w:tcPr>
            <w:tcW w:w="875" w:type="dxa"/>
            <w:tcBorders>
              <w:top w:val="nil"/>
              <w:left w:val="nil"/>
              <w:bottom w:val="nil"/>
              <w:right w:val="nil"/>
            </w:tcBorders>
          </w:tcPr>
          <w:p w14:paraId="53A04D4C" w14:textId="0976EED6" w:rsidR="00F361B2" w:rsidRPr="00BA227C" w:rsidRDefault="00904B4E" w:rsidP="00080985">
            <w:pPr>
              <w:jc w:val="right"/>
              <w:rPr>
                <w:sz w:val="14"/>
                <w:szCs w:val="14"/>
                <w:lang w:val="fr-CH"/>
              </w:rPr>
            </w:pPr>
            <w:r>
              <w:rPr>
                <w:sz w:val="14"/>
                <w:szCs w:val="14"/>
                <w:lang w:val="fr-CH"/>
              </w:rPr>
              <w:t>2</w:t>
            </w:r>
            <w:r w:rsidR="00BD7CEE">
              <w:rPr>
                <w:sz w:val="14"/>
                <w:szCs w:val="14"/>
                <w:lang w:val="fr-CH"/>
              </w:rPr>
              <w:t>6</w:t>
            </w:r>
          </w:p>
        </w:tc>
        <w:tc>
          <w:tcPr>
            <w:tcW w:w="875" w:type="dxa"/>
            <w:tcBorders>
              <w:top w:val="nil"/>
              <w:left w:val="nil"/>
              <w:bottom w:val="nil"/>
              <w:right w:val="nil"/>
            </w:tcBorders>
          </w:tcPr>
          <w:p w14:paraId="47C247D5" w14:textId="1609C454" w:rsidR="00F361B2" w:rsidRPr="00BA227C" w:rsidRDefault="00904B4E" w:rsidP="00080985">
            <w:pPr>
              <w:jc w:val="right"/>
              <w:rPr>
                <w:b/>
                <w:bCs/>
                <w:sz w:val="14"/>
                <w:szCs w:val="14"/>
                <w:lang w:val="fr-CH"/>
              </w:rPr>
            </w:pPr>
            <w:r>
              <w:rPr>
                <w:b/>
                <w:bCs/>
                <w:sz w:val="14"/>
                <w:szCs w:val="14"/>
                <w:lang w:val="fr-CH"/>
              </w:rPr>
              <w:t>8</w:t>
            </w:r>
          </w:p>
        </w:tc>
        <w:tc>
          <w:tcPr>
            <w:tcW w:w="875" w:type="dxa"/>
            <w:tcBorders>
              <w:top w:val="nil"/>
              <w:left w:val="nil"/>
              <w:bottom w:val="nil"/>
              <w:right w:val="nil"/>
            </w:tcBorders>
          </w:tcPr>
          <w:p w14:paraId="034A8D73" w14:textId="732BE144" w:rsidR="00F361B2" w:rsidRPr="00BA227C" w:rsidRDefault="00904B4E" w:rsidP="00080985">
            <w:pPr>
              <w:jc w:val="right"/>
              <w:rPr>
                <w:b/>
                <w:bCs/>
                <w:sz w:val="14"/>
                <w:szCs w:val="14"/>
                <w:lang w:val="fr-CH"/>
              </w:rPr>
            </w:pPr>
            <w:r>
              <w:rPr>
                <w:b/>
                <w:bCs/>
                <w:sz w:val="14"/>
                <w:szCs w:val="14"/>
                <w:lang w:val="fr-CH"/>
              </w:rPr>
              <w:t>860</w:t>
            </w:r>
          </w:p>
        </w:tc>
      </w:tr>
      <w:tr w:rsidR="00F361B2" w:rsidRPr="00BA227C" w14:paraId="467D2683" w14:textId="77777777" w:rsidTr="00BD7CEE">
        <w:trPr>
          <w:jc w:val="center"/>
        </w:trPr>
        <w:tc>
          <w:tcPr>
            <w:tcW w:w="1165" w:type="dxa"/>
            <w:tcBorders>
              <w:top w:val="nil"/>
              <w:left w:val="nil"/>
              <w:bottom w:val="nil"/>
              <w:right w:val="nil"/>
            </w:tcBorders>
          </w:tcPr>
          <w:p w14:paraId="3973D2E4" w14:textId="77777777" w:rsidR="00F361B2" w:rsidRPr="00BA227C" w:rsidRDefault="00F361B2" w:rsidP="00080985">
            <w:pPr>
              <w:rPr>
                <w:b/>
                <w:bCs/>
                <w:sz w:val="14"/>
                <w:szCs w:val="14"/>
                <w:lang w:val="fr-CH"/>
              </w:rPr>
            </w:pPr>
            <w:r w:rsidRPr="00BA227C">
              <w:rPr>
                <w:b/>
                <w:bCs/>
                <w:sz w:val="14"/>
                <w:szCs w:val="14"/>
                <w:lang w:val="fr-CH"/>
              </w:rPr>
              <w:t>Asie-Pacifique</w:t>
            </w:r>
          </w:p>
        </w:tc>
        <w:tc>
          <w:tcPr>
            <w:tcW w:w="876" w:type="dxa"/>
            <w:tcBorders>
              <w:top w:val="nil"/>
              <w:left w:val="nil"/>
              <w:bottom w:val="nil"/>
              <w:right w:val="nil"/>
            </w:tcBorders>
          </w:tcPr>
          <w:p w14:paraId="2B6E4C32" w14:textId="4BF43827" w:rsidR="00F361B2" w:rsidRPr="00BA227C" w:rsidRDefault="00904B4E" w:rsidP="00080985">
            <w:pPr>
              <w:jc w:val="right"/>
              <w:rPr>
                <w:sz w:val="14"/>
                <w:szCs w:val="14"/>
                <w:lang w:val="fr-CH"/>
              </w:rPr>
            </w:pPr>
            <w:r>
              <w:rPr>
                <w:sz w:val="14"/>
                <w:szCs w:val="14"/>
                <w:lang w:val="fr-CH"/>
              </w:rPr>
              <w:t>13</w:t>
            </w:r>
          </w:p>
        </w:tc>
        <w:tc>
          <w:tcPr>
            <w:tcW w:w="876" w:type="dxa"/>
            <w:tcBorders>
              <w:top w:val="nil"/>
              <w:left w:val="nil"/>
              <w:bottom w:val="nil"/>
              <w:right w:val="nil"/>
            </w:tcBorders>
          </w:tcPr>
          <w:p w14:paraId="416DEC10" w14:textId="40428543" w:rsidR="00F361B2" w:rsidRPr="00BA227C" w:rsidRDefault="00904B4E" w:rsidP="00080985">
            <w:pPr>
              <w:jc w:val="right"/>
              <w:rPr>
                <w:sz w:val="14"/>
                <w:szCs w:val="14"/>
                <w:lang w:val="fr-CH"/>
              </w:rPr>
            </w:pPr>
            <w:r>
              <w:rPr>
                <w:sz w:val="14"/>
                <w:szCs w:val="14"/>
                <w:lang w:val="fr-CH"/>
              </w:rPr>
              <w:t>1 288</w:t>
            </w:r>
          </w:p>
        </w:tc>
        <w:tc>
          <w:tcPr>
            <w:tcW w:w="876" w:type="dxa"/>
            <w:tcBorders>
              <w:top w:val="nil"/>
              <w:left w:val="nil"/>
              <w:bottom w:val="nil"/>
              <w:right w:val="nil"/>
            </w:tcBorders>
          </w:tcPr>
          <w:p w14:paraId="3105E9BF" w14:textId="3F32219C" w:rsidR="00F361B2" w:rsidRPr="00BA227C" w:rsidRDefault="00904B4E" w:rsidP="00080985">
            <w:pPr>
              <w:jc w:val="right"/>
              <w:rPr>
                <w:sz w:val="14"/>
                <w:szCs w:val="14"/>
                <w:lang w:val="fr-CH"/>
              </w:rPr>
            </w:pPr>
            <w:r>
              <w:rPr>
                <w:sz w:val="14"/>
                <w:szCs w:val="14"/>
                <w:lang w:val="fr-CH"/>
              </w:rPr>
              <w:t>1</w:t>
            </w:r>
          </w:p>
        </w:tc>
        <w:tc>
          <w:tcPr>
            <w:tcW w:w="875" w:type="dxa"/>
            <w:tcBorders>
              <w:top w:val="nil"/>
              <w:left w:val="nil"/>
              <w:bottom w:val="nil"/>
              <w:right w:val="nil"/>
            </w:tcBorders>
          </w:tcPr>
          <w:p w14:paraId="4AE50640" w14:textId="77777777" w:rsidR="00F361B2" w:rsidRPr="00BA227C" w:rsidRDefault="00F361B2" w:rsidP="00080985">
            <w:pPr>
              <w:jc w:val="right"/>
              <w:rPr>
                <w:sz w:val="14"/>
                <w:szCs w:val="14"/>
                <w:lang w:val="fr-CH"/>
              </w:rPr>
            </w:pPr>
            <w:r w:rsidRPr="00BA227C">
              <w:rPr>
                <w:sz w:val="14"/>
                <w:szCs w:val="14"/>
                <w:lang w:val="fr-CH"/>
              </w:rPr>
              <w:t>81</w:t>
            </w:r>
          </w:p>
        </w:tc>
        <w:tc>
          <w:tcPr>
            <w:tcW w:w="875" w:type="dxa"/>
            <w:tcBorders>
              <w:top w:val="nil"/>
              <w:left w:val="nil"/>
              <w:bottom w:val="nil"/>
              <w:right w:val="nil"/>
            </w:tcBorders>
          </w:tcPr>
          <w:p w14:paraId="4F2D9220" w14:textId="092AE04A" w:rsidR="00F361B2" w:rsidRPr="00BA227C" w:rsidRDefault="00F361B2" w:rsidP="00080985">
            <w:pPr>
              <w:jc w:val="right"/>
              <w:rPr>
                <w:sz w:val="14"/>
                <w:szCs w:val="14"/>
                <w:lang w:val="fr-CH"/>
              </w:rPr>
            </w:pPr>
          </w:p>
        </w:tc>
        <w:tc>
          <w:tcPr>
            <w:tcW w:w="875" w:type="dxa"/>
            <w:tcBorders>
              <w:top w:val="nil"/>
              <w:left w:val="nil"/>
              <w:bottom w:val="nil"/>
              <w:right w:val="nil"/>
            </w:tcBorders>
          </w:tcPr>
          <w:p w14:paraId="224BBD67" w14:textId="18DF5907" w:rsidR="00F361B2" w:rsidRPr="00BA227C" w:rsidRDefault="00F361B2" w:rsidP="00080985">
            <w:pPr>
              <w:jc w:val="right"/>
              <w:rPr>
                <w:sz w:val="14"/>
                <w:szCs w:val="14"/>
                <w:lang w:val="fr-CH"/>
              </w:rPr>
            </w:pPr>
          </w:p>
        </w:tc>
        <w:tc>
          <w:tcPr>
            <w:tcW w:w="875" w:type="dxa"/>
            <w:tcBorders>
              <w:top w:val="nil"/>
              <w:left w:val="nil"/>
              <w:bottom w:val="nil"/>
              <w:right w:val="nil"/>
            </w:tcBorders>
          </w:tcPr>
          <w:p w14:paraId="4EADE1D9" w14:textId="3EFB082A" w:rsidR="00F361B2" w:rsidRPr="00BA227C" w:rsidRDefault="00F361B2" w:rsidP="00080985">
            <w:pPr>
              <w:jc w:val="right"/>
              <w:rPr>
                <w:sz w:val="14"/>
                <w:szCs w:val="14"/>
                <w:lang w:val="fr-CH"/>
              </w:rPr>
            </w:pPr>
          </w:p>
        </w:tc>
        <w:tc>
          <w:tcPr>
            <w:tcW w:w="875" w:type="dxa"/>
            <w:tcBorders>
              <w:top w:val="nil"/>
              <w:left w:val="nil"/>
              <w:bottom w:val="nil"/>
              <w:right w:val="nil"/>
            </w:tcBorders>
          </w:tcPr>
          <w:p w14:paraId="7FBE1BF8" w14:textId="09B251FC" w:rsidR="00F361B2" w:rsidRPr="00BA227C" w:rsidRDefault="00F361B2" w:rsidP="00080985">
            <w:pPr>
              <w:jc w:val="right"/>
              <w:rPr>
                <w:sz w:val="14"/>
                <w:szCs w:val="14"/>
                <w:lang w:val="fr-CH"/>
              </w:rPr>
            </w:pPr>
          </w:p>
        </w:tc>
        <w:tc>
          <w:tcPr>
            <w:tcW w:w="875" w:type="dxa"/>
            <w:tcBorders>
              <w:top w:val="nil"/>
              <w:left w:val="nil"/>
              <w:bottom w:val="nil"/>
              <w:right w:val="nil"/>
            </w:tcBorders>
          </w:tcPr>
          <w:p w14:paraId="3B43E6A4" w14:textId="0FBD8856" w:rsidR="00F361B2" w:rsidRPr="00BA227C" w:rsidRDefault="00904B4E" w:rsidP="00080985">
            <w:pPr>
              <w:jc w:val="right"/>
              <w:rPr>
                <w:b/>
                <w:bCs/>
                <w:sz w:val="14"/>
                <w:szCs w:val="14"/>
                <w:lang w:val="fr-CH"/>
              </w:rPr>
            </w:pPr>
            <w:r>
              <w:rPr>
                <w:b/>
                <w:bCs/>
                <w:sz w:val="14"/>
                <w:szCs w:val="14"/>
                <w:lang w:val="fr-CH"/>
              </w:rPr>
              <w:t>14</w:t>
            </w:r>
          </w:p>
        </w:tc>
        <w:tc>
          <w:tcPr>
            <w:tcW w:w="875" w:type="dxa"/>
            <w:tcBorders>
              <w:top w:val="nil"/>
              <w:left w:val="nil"/>
              <w:bottom w:val="nil"/>
              <w:right w:val="nil"/>
            </w:tcBorders>
          </w:tcPr>
          <w:p w14:paraId="36F3EAA2" w14:textId="756DD69A" w:rsidR="00F361B2" w:rsidRPr="00BA227C" w:rsidRDefault="00904B4E" w:rsidP="00080985">
            <w:pPr>
              <w:jc w:val="right"/>
              <w:rPr>
                <w:b/>
                <w:bCs/>
                <w:sz w:val="14"/>
                <w:szCs w:val="14"/>
                <w:lang w:val="fr-CH"/>
              </w:rPr>
            </w:pPr>
            <w:r>
              <w:rPr>
                <w:b/>
                <w:bCs/>
                <w:sz w:val="14"/>
                <w:szCs w:val="14"/>
                <w:lang w:val="fr-CH"/>
              </w:rPr>
              <w:t>1 369</w:t>
            </w:r>
          </w:p>
        </w:tc>
      </w:tr>
      <w:tr w:rsidR="00F361B2" w:rsidRPr="00BA227C" w14:paraId="3CE57C93" w14:textId="77777777" w:rsidTr="00BD7CEE">
        <w:trPr>
          <w:jc w:val="center"/>
        </w:trPr>
        <w:tc>
          <w:tcPr>
            <w:tcW w:w="1165" w:type="dxa"/>
            <w:tcBorders>
              <w:top w:val="nil"/>
              <w:left w:val="nil"/>
              <w:bottom w:val="nil"/>
              <w:right w:val="nil"/>
            </w:tcBorders>
          </w:tcPr>
          <w:p w14:paraId="4A3B4B60" w14:textId="77777777" w:rsidR="00F361B2" w:rsidRPr="00BA227C" w:rsidRDefault="00F361B2" w:rsidP="00080985">
            <w:pPr>
              <w:rPr>
                <w:b/>
                <w:bCs/>
                <w:sz w:val="14"/>
                <w:szCs w:val="14"/>
                <w:lang w:val="fr-CH"/>
              </w:rPr>
            </w:pPr>
            <w:r w:rsidRPr="00BA227C">
              <w:rPr>
                <w:b/>
                <w:bCs/>
                <w:sz w:val="14"/>
                <w:szCs w:val="14"/>
                <w:lang w:val="fr-CH"/>
              </w:rPr>
              <w:t>CEI</w:t>
            </w:r>
          </w:p>
        </w:tc>
        <w:tc>
          <w:tcPr>
            <w:tcW w:w="876" w:type="dxa"/>
            <w:tcBorders>
              <w:top w:val="nil"/>
              <w:left w:val="nil"/>
              <w:bottom w:val="nil"/>
              <w:right w:val="nil"/>
            </w:tcBorders>
          </w:tcPr>
          <w:p w14:paraId="5FC78F45" w14:textId="43A318E5" w:rsidR="00F361B2" w:rsidRPr="00BA227C" w:rsidRDefault="00F361B2" w:rsidP="00080985">
            <w:pPr>
              <w:jc w:val="right"/>
              <w:rPr>
                <w:sz w:val="14"/>
                <w:szCs w:val="14"/>
                <w:lang w:val="fr-CH"/>
              </w:rPr>
            </w:pPr>
          </w:p>
        </w:tc>
        <w:tc>
          <w:tcPr>
            <w:tcW w:w="876" w:type="dxa"/>
            <w:tcBorders>
              <w:top w:val="nil"/>
              <w:left w:val="nil"/>
              <w:bottom w:val="nil"/>
              <w:right w:val="nil"/>
            </w:tcBorders>
          </w:tcPr>
          <w:p w14:paraId="05D02B67" w14:textId="31367A1B" w:rsidR="00F361B2" w:rsidRPr="00BA227C" w:rsidRDefault="00F361B2" w:rsidP="00080985">
            <w:pPr>
              <w:jc w:val="right"/>
              <w:rPr>
                <w:sz w:val="14"/>
                <w:szCs w:val="14"/>
                <w:lang w:val="fr-CH"/>
              </w:rPr>
            </w:pPr>
          </w:p>
        </w:tc>
        <w:tc>
          <w:tcPr>
            <w:tcW w:w="876" w:type="dxa"/>
            <w:tcBorders>
              <w:top w:val="nil"/>
              <w:left w:val="nil"/>
              <w:bottom w:val="nil"/>
              <w:right w:val="nil"/>
            </w:tcBorders>
          </w:tcPr>
          <w:p w14:paraId="1E1DC006" w14:textId="692DC464" w:rsidR="00F361B2" w:rsidRPr="00BA227C" w:rsidRDefault="00F361B2" w:rsidP="00080985">
            <w:pPr>
              <w:jc w:val="right"/>
              <w:rPr>
                <w:sz w:val="14"/>
                <w:szCs w:val="14"/>
                <w:lang w:val="fr-CH"/>
              </w:rPr>
            </w:pPr>
          </w:p>
        </w:tc>
        <w:tc>
          <w:tcPr>
            <w:tcW w:w="875" w:type="dxa"/>
            <w:tcBorders>
              <w:top w:val="nil"/>
              <w:left w:val="nil"/>
              <w:bottom w:val="nil"/>
              <w:right w:val="nil"/>
            </w:tcBorders>
          </w:tcPr>
          <w:p w14:paraId="765C6318" w14:textId="33D6FFB6" w:rsidR="00F361B2" w:rsidRPr="00BA227C" w:rsidRDefault="00F361B2" w:rsidP="00080985">
            <w:pPr>
              <w:jc w:val="right"/>
              <w:rPr>
                <w:sz w:val="14"/>
                <w:szCs w:val="14"/>
                <w:lang w:val="fr-CH"/>
              </w:rPr>
            </w:pPr>
          </w:p>
        </w:tc>
        <w:tc>
          <w:tcPr>
            <w:tcW w:w="875" w:type="dxa"/>
            <w:tcBorders>
              <w:top w:val="nil"/>
              <w:left w:val="nil"/>
              <w:bottom w:val="nil"/>
              <w:right w:val="nil"/>
            </w:tcBorders>
          </w:tcPr>
          <w:p w14:paraId="51528368" w14:textId="4CEB2244" w:rsidR="00F361B2" w:rsidRPr="00BA227C" w:rsidRDefault="00F361B2" w:rsidP="00080985">
            <w:pPr>
              <w:jc w:val="right"/>
              <w:rPr>
                <w:sz w:val="14"/>
                <w:szCs w:val="14"/>
                <w:lang w:val="fr-CH"/>
              </w:rPr>
            </w:pPr>
          </w:p>
        </w:tc>
        <w:tc>
          <w:tcPr>
            <w:tcW w:w="875" w:type="dxa"/>
            <w:tcBorders>
              <w:top w:val="nil"/>
              <w:left w:val="nil"/>
              <w:bottom w:val="nil"/>
              <w:right w:val="nil"/>
            </w:tcBorders>
          </w:tcPr>
          <w:p w14:paraId="65881800" w14:textId="4B672069" w:rsidR="00F361B2" w:rsidRPr="00BA227C" w:rsidRDefault="00F361B2" w:rsidP="00080985">
            <w:pPr>
              <w:jc w:val="right"/>
              <w:rPr>
                <w:sz w:val="14"/>
                <w:szCs w:val="14"/>
                <w:lang w:val="fr-CH"/>
              </w:rPr>
            </w:pPr>
          </w:p>
        </w:tc>
        <w:tc>
          <w:tcPr>
            <w:tcW w:w="875" w:type="dxa"/>
            <w:tcBorders>
              <w:top w:val="nil"/>
              <w:left w:val="nil"/>
              <w:bottom w:val="nil"/>
              <w:right w:val="nil"/>
            </w:tcBorders>
          </w:tcPr>
          <w:p w14:paraId="310DB56E" w14:textId="77777777" w:rsidR="00F361B2" w:rsidRPr="00BA227C" w:rsidRDefault="00F361B2" w:rsidP="00080985">
            <w:pPr>
              <w:jc w:val="right"/>
              <w:rPr>
                <w:sz w:val="14"/>
                <w:szCs w:val="14"/>
                <w:lang w:val="fr-CH"/>
              </w:rPr>
            </w:pPr>
          </w:p>
        </w:tc>
        <w:tc>
          <w:tcPr>
            <w:tcW w:w="875" w:type="dxa"/>
            <w:tcBorders>
              <w:top w:val="nil"/>
              <w:left w:val="nil"/>
              <w:bottom w:val="nil"/>
              <w:right w:val="nil"/>
            </w:tcBorders>
          </w:tcPr>
          <w:p w14:paraId="75F61958" w14:textId="77777777" w:rsidR="00F361B2" w:rsidRPr="00BA227C" w:rsidRDefault="00F361B2" w:rsidP="00080985">
            <w:pPr>
              <w:jc w:val="right"/>
              <w:rPr>
                <w:sz w:val="14"/>
                <w:szCs w:val="14"/>
                <w:lang w:val="fr-CH"/>
              </w:rPr>
            </w:pPr>
          </w:p>
        </w:tc>
        <w:tc>
          <w:tcPr>
            <w:tcW w:w="875" w:type="dxa"/>
            <w:tcBorders>
              <w:top w:val="nil"/>
              <w:left w:val="nil"/>
              <w:bottom w:val="nil"/>
              <w:right w:val="nil"/>
            </w:tcBorders>
          </w:tcPr>
          <w:p w14:paraId="7D3743BE" w14:textId="7523F918" w:rsidR="00F361B2" w:rsidRPr="00BA227C" w:rsidRDefault="00904B4E" w:rsidP="00080985">
            <w:pPr>
              <w:jc w:val="right"/>
              <w:rPr>
                <w:b/>
                <w:bCs/>
                <w:sz w:val="14"/>
                <w:szCs w:val="14"/>
                <w:lang w:val="fr-CH"/>
              </w:rPr>
            </w:pPr>
            <w:r>
              <w:rPr>
                <w:b/>
                <w:bCs/>
                <w:sz w:val="14"/>
                <w:szCs w:val="14"/>
                <w:lang w:val="fr-CH"/>
              </w:rPr>
              <w:t>0</w:t>
            </w:r>
          </w:p>
        </w:tc>
        <w:tc>
          <w:tcPr>
            <w:tcW w:w="875" w:type="dxa"/>
            <w:tcBorders>
              <w:top w:val="nil"/>
              <w:left w:val="nil"/>
              <w:bottom w:val="nil"/>
              <w:right w:val="nil"/>
            </w:tcBorders>
          </w:tcPr>
          <w:p w14:paraId="4C2EDD1D" w14:textId="11CEB72D" w:rsidR="00F361B2" w:rsidRPr="00BA227C" w:rsidRDefault="00904B4E" w:rsidP="00080985">
            <w:pPr>
              <w:jc w:val="right"/>
              <w:rPr>
                <w:b/>
                <w:bCs/>
                <w:sz w:val="14"/>
                <w:szCs w:val="14"/>
                <w:lang w:val="fr-CH"/>
              </w:rPr>
            </w:pPr>
            <w:r>
              <w:rPr>
                <w:b/>
                <w:bCs/>
                <w:sz w:val="14"/>
                <w:szCs w:val="14"/>
                <w:lang w:val="fr-CH"/>
              </w:rPr>
              <w:t>0</w:t>
            </w:r>
          </w:p>
        </w:tc>
      </w:tr>
      <w:tr w:rsidR="00F361B2" w:rsidRPr="00BA227C" w14:paraId="467308C7" w14:textId="77777777" w:rsidTr="00BD7CEE">
        <w:trPr>
          <w:jc w:val="center"/>
        </w:trPr>
        <w:tc>
          <w:tcPr>
            <w:tcW w:w="1165" w:type="dxa"/>
            <w:tcBorders>
              <w:top w:val="nil"/>
              <w:left w:val="nil"/>
              <w:bottom w:val="single" w:sz="4" w:space="0" w:color="auto"/>
              <w:right w:val="nil"/>
            </w:tcBorders>
          </w:tcPr>
          <w:p w14:paraId="4AE8E17A" w14:textId="77777777" w:rsidR="00F361B2" w:rsidRPr="00BA227C" w:rsidRDefault="00F361B2" w:rsidP="00080985">
            <w:pPr>
              <w:rPr>
                <w:b/>
                <w:bCs/>
                <w:sz w:val="14"/>
                <w:szCs w:val="14"/>
                <w:lang w:val="fr-CH"/>
              </w:rPr>
            </w:pPr>
            <w:r w:rsidRPr="00BA227C">
              <w:rPr>
                <w:b/>
                <w:bCs/>
                <w:sz w:val="14"/>
                <w:szCs w:val="14"/>
                <w:lang w:val="fr-CH"/>
              </w:rPr>
              <w:t>Europe</w:t>
            </w:r>
          </w:p>
        </w:tc>
        <w:tc>
          <w:tcPr>
            <w:tcW w:w="876" w:type="dxa"/>
            <w:tcBorders>
              <w:top w:val="nil"/>
              <w:left w:val="nil"/>
              <w:bottom w:val="single" w:sz="4" w:space="0" w:color="auto"/>
              <w:right w:val="nil"/>
            </w:tcBorders>
          </w:tcPr>
          <w:p w14:paraId="631EE97F" w14:textId="731B0249" w:rsidR="00F361B2" w:rsidRPr="00BA227C" w:rsidRDefault="00904B4E" w:rsidP="00080985">
            <w:pPr>
              <w:jc w:val="right"/>
              <w:rPr>
                <w:sz w:val="14"/>
                <w:szCs w:val="14"/>
                <w:lang w:val="fr-CH"/>
              </w:rPr>
            </w:pPr>
            <w:r>
              <w:rPr>
                <w:sz w:val="14"/>
                <w:szCs w:val="14"/>
                <w:lang w:val="fr-CH"/>
              </w:rPr>
              <w:t>2</w:t>
            </w:r>
          </w:p>
        </w:tc>
        <w:tc>
          <w:tcPr>
            <w:tcW w:w="876" w:type="dxa"/>
            <w:tcBorders>
              <w:top w:val="nil"/>
              <w:left w:val="nil"/>
              <w:bottom w:val="single" w:sz="4" w:space="0" w:color="auto"/>
              <w:right w:val="nil"/>
            </w:tcBorders>
          </w:tcPr>
          <w:p w14:paraId="33F0A7B8" w14:textId="52FF3088" w:rsidR="00F361B2" w:rsidRPr="00BA227C" w:rsidRDefault="00904B4E" w:rsidP="00080985">
            <w:pPr>
              <w:jc w:val="right"/>
              <w:rPr>
                <w:sz w:val="14"/>
                <w:szCs w:val="14"/>
                <w:lang w:val="fr-CH"/>
              </w:rPr>
            </w:pPr>
            <w:r>
              <w:rPr>
                <w:sz w:val="14"/>
                <w:szCs w:val="14"/>
                <w:lang w:val="fr-CH"/>
              </w:rPr>
              <w:t>415</w:t>
            </w:r>
          </w:p>
        </w:tc>
        <w:tc>
          <w:tcPr>
            <w:tcW w:w="876" w:type="dxa"/>
            <w:tcBorders>
              <w:top w:val="nil"/>
              <w:left w:val="nil"/>
              <w:bottom w:val="single" w:sz="4" w:space="0" w:color="auto"/>
              <w:right w:val="nil"/>
            </w:tcBorders>
          </w:tcPr>
          <w:p w14:paraId="325F1DFA" w14:textId="1BD4102B" w:rsidR="00F361B2" w:rsidRPr="00BA227C" w:rsidRDefault="00F361B2" w:rsidP="00080985">
            <w:pPr>
              <w:jc w:val="right"/>
              <w:rPr>
                <w:sz w:val="14"/>
                <w:szCs w:val="14"/>
                <w:lang w:val="fr-CH"/>
              </w:rPr>
            </w:pPr>
          </w:p>
        </w:tc>
        <w:tc>
          <w:tcPr>
            <w:tcW w:w="875" w:type="dxa"/>
            <w:tcBorders>
              <w:top w:val="nil"/>
              <w:left w:val="nil"/>
              <w:bottom w:val="single" w:sz="4" w:space="0" w:color="auto"/>
              <w:right w:val="nil"/>
            </w:tcBorders>
          </w:tcPr>
          <w:p w14:paraId="060DDB63" w14:textId="5A1CACA0" w:rsidR="00F361B2" w:rsidRPr="00BA227C" w:rsidRDefault="00F361B2" w:rsidP="00080985">
            <w:pPr>
              <w:jc w:val="right"/>
              <w:rPr>
                <w:sz w:val="14"/>
                <w:szCs w:val="14"/>
                <w:lang w:val="fr-CH"/>
              </w:rPr>
            </w:pPr>
          </w:p>
        </w:tc>
        <w:tc>
          <w:tcPr>
            <w:tcW w:w="875" w:type="dxa"/>
            <w:tcBorders>
              <w:top w:val="nil"/>
              <w:left w:val="nil"/>
              <w:bottom w:val="single" w:sz="4" w:space="0" w:color="auto"/>
              <w:right w:val="nil"/>
            </w:tcBorders>
          </w:tcPr>
          <w:p w14:paraId="5CA61717" w14:textId="738E6B0F" w:rsidR="00F361B2" w:rsidRPr="00BA227C" w:rsidRDefault="00F361B2" w:rsidP="00080985">
            <w:pPr>
              <w:jc w:val="right"/>
              <w:rPr>
                <w:sz w:val="14"/>
                <w:szCs w:val="14"/>
                <w:lang w:val="fr-CH"/>
              </w:rPr>
            </w:pPr>
          </w:p>
        </w:tc>
        <w:tc>
          <w:tcPr>
            <w:tcW w:w="875" w:type="dxa"/>
            <w:tcBorders>
              <w:top w:val="nil"/>
              <w:left w:val="nil"/>
              <w:bottom w:val="single" w:sz="4" w:space="0" w:color="auto"/>
              <w:right w:val="nil"/>
            </w:tcBorders>
          </w:tcPr>
          <w:p w14:paraId="6AD0BB0C" w14:textId="4E532A55" w:rsidR="00F361B2" w:rsidRPr="00BA227C" w:rsidRDefault="00F361B2" w:rsidP="00080985">
            <w:pPr>
              <w:jc w:val="right"/>
              <w:rPr>
                <w:sz w:val="14"/>
                <w:szCs w:val="14"/>
                <w:lang w:val="fr-CH"/>
              </w:rPr>
            </w:pPr>
          </w:p>
        </w:tc>
        <w:tc>
          <w:tcPr>
            <w:tcW w:w="875" w:type="dxa"/>
            <w:tcBorders>
              <w:top w:val="nil"/>
              <w:left w:val="nil"/>
              <w:bottom w:val="single" w:sz="4" w:space="0" w:color="auto"/>
              <w:right w:val="nil"/>
            </w:tcBorders>
          </w:tcPr>
          <w:p w14:paraId="64A4B890" w14:textId="77777777" w:rsidR="00F361B2" w:rsidRPr="00BA227C" w:rsidRDefault="00F361B2" w:rsidP="00080985">
            <w:pPr>
              <w:jc w:val="right"/>
              <w:rPr>
                <w:sz w:val="14"/>
                <w:szCs w:val="14"/>
                <w:lang w:val="fr-CH"/>
              </w:rPr>
            </w:pPr>
          </w:p>
        </w:tc>
        <w:tc>
          <w:tcPr>
            <w:tcW w:w="875" w:type="dxa"/>
            <w:tcBorders>
              <w:top w:val="nil"/>
              <w:left w:val="nil"/>
              <w:bottom w:val="single" w:sz="4" w:space="0" w:color="auto"/>
              <w:right w:val="nil"/>
            </w:tcBorders>
          </w:tcPr>
          <w:p w14:paraId="1E495A3C" w14:textId="77777777" w:rsidR="00F361B2" w:rsidRPr="00BA227C" w:rsidRDefault="00F361B2" w:rsidP="00080985">
            <w:pPr>
              <w:jc w:val="right"/>
              <w:rPr>
                <w:sz w:val="14"/>
                <w:szCs w:val="14"/>
                <w:lang w:val="fr-CH"/>
              </w:rPr>
            </w:pPr>
          </w:p>
        </w:tc>
        <w:tc>
          <w:tcPr>
            <w:tcW w:w="875" w:type="dxa"/>
            <w:tcBorders>
              <w:top w:val="nil"/>
              <w:left w:val="nil"/>
              <w:bottom w:val="single" w:sz="4" w:space="0" w:color="auto"/>
              <w:right w:val="nil"/>
            </w:tcBorders>
          </w:tcPr>
          <w:p w14:paraId="7F17752D" w14:textId="593055DB" w:rsidR="00F361B2" w:rsidRPr="00BA227C" w:rsidRDefault="00904B4E" w:rsidP="00080985">
            <w:pPr>
              <w:jc w:val="right"/>
              <w:rPr>
                <w:b/>
                <w:bCs/>
                <w:sz w:val="14"/>
                <w:szCs w:val="14"/>
                <w:lang w:val="fr-CH"/>
              </w:rPr>
            </w:pPr>
            <w:r>
              <w:rPr>
                <w:b/>
                <w:bCs/>
                <w:sz w:val="14"/>
                <w:szCs w:val="14"/>
                <w:lang w:val="fr-CH"/>
              </w:rPr>
              <w:t>2</w:t>
            </w:r>
          </w:p>
        </w:tc>
        <w:tc>
          <w:tcPr>
            <w:tcW w:w="875" w:type="dxa"/>
            <w:tcBorders>
              <w:top w:val="nil"/>
              <w:left w:val="nil"/>
              <w:bottom w:val="single" w:sz="4" w:space="0" w:color="auto"/>
              <w:right w:val="nil"/>
            </w:tcBorders>
          </w:tcPr>
          <w:p w14:paraId="41F74731" w14:textId="4255FC1C" w:rsidR="00F361B2" w:rsidRPr="00BA227C" w:rsidRDefault="00904B4E" w:rsidP="00080985">
            <w:pPr>
              <w:jc w:val="right"/>
              <w:rPr>
                <w:b/>
                <w:bCs/>
                <w:sz w:val="14"/>
                <w:szCs w:val="14"/>
                <w:lang w:val="fr-CH"/>
              </w:rPr>
            </w:pPr>
            <w:r>
              <w:rPr>
                <w:b/>
                <w:bCs/>
                <w:sz w:val="14"/>
                <w:szCs w:val="14"/>
                <w:lang w:val="fr-CH"/>
              </w:rPr>
              <w:t>415</w:t>
            </w:r>
          </w:p>
        </w:tc>
      </w:tr>
      <w:tr w:rsidR="00F361B2" w:rsidRPr="00BA227C" w14:paraId="267B8200" w14:textId="77777777" w:rsidTr="00BD7CEE">
        <w:trPr>
          <w:jc w:val="center"/>
        </w:trPr>
        <w:tc>
          <w:tcPr>
            <w:tcW w:w="1165" w:type="dxa"/>
            <w:tcBorders>
              <w:top w:val="single" w:sz="4" w:space="0" w:color="auto"/>
            </w:tcBorders>
          </w:tcPr>
          <w:p w14:paraId="46249C4D" w14:textId="77777777" w:rsidR="00F361B2" w:rsidRPr="00BA227C" w:rsidRDefault="00F361B2" w:rsidP="00080985">
            <w:pPr>
              <w:rPr>
                <w:b/>
                <w:bCs/>
                <w:sz w:val="14"/>
                <w:szCs w:val="14"/>
                <w:lang w:val="fr-CH"/>
              </w:rPr>
            </w:pPr>
            <w:r w:rsidRPr="00BA227C">
              <w:rPr>
                <w:b/>
                <w:bCs/>
                <w:sz w:val="14"/>
                <w:szCs w:val="14"/>
                <w:lang w:val="fr-CH"/>
              </w:rPr>
              <w:t>Total</w:t>
            </w:r>
          </w:p>
        </w:tc>
        <w:tc>
          <w:tcPr>
            <w:tcW w:w="876" w:type="dxa"/>
            <w:tcBorders>
              <w:top w:val="single" w:sz="4" w:space="0" w:color="auto"/>
            </w:tcBorders>
          </w:tcPr>
          <w:p w14:paraId="058CFFEE" w14:textId="6E33ADB7" w:rsidR="00F361B2" w:rsidRPr="00BA227C" w:rsidRDefault="00904B4E" w:rsidP="00080985">
            <w:pPr>
              <w:jc w:val="right"/>
              <w:rPr>
                <w:b/>
                <w:bCs/>
                <w:sz w:val="14"/>
                <w:szCs w:val="14"/>
                <w:lang w:val="fr-CH"/>
              </w:rPr>
            </w:pPr>
            <w:r>
              <w:rPr>
                <w:b/>
                <w:bCs/>
                <w:sz w:val="14"/>
                <w:szCs w:val="14"/>
                <w:lang w:val="fr-CH"/>
              </w:rPr>
              <w:t>28</w:t>
            </w:r>
          </w:p>
        </w:tc>
        <w:tc>
          <w:tcPr>
            <w:tcW w:w="876" w:type="dxa"/>
            <w:tcBorders>
              <w:top w:val="single" w:sz="4" w:space="0" w:color="auto"/>
            </w:tcBorders>
          </w:tcPr>
          <w:p w14:paraId="0D430BA8" w14:textId="215AD730" w:rsidR="00F361B2" w:rsidRPr="00BA227C" w:rsidRDefault="00904B4E" w:rsidP="00080985">
            <w:pPr>
              <w:jc w:val="right"/>
              <w:rPr>
                <w:b/>
                <w:bCs/>
                <w:sz w:val="14"/>
                <w:szCs w:val="14"/>
                <w:lang w:val="fr-CH"/>
              </w:rPr>
            </w:pPr>
            <w:r>
              <w:rPr>
                <w:b/>
                <w:bCs/>
                <w:sz w:val="14"/>
                <w:szCs w:val="14"/>
                <w:lang w:val="fr-CH"/>
              </w:rPr>
              <w:t>6 463</w:t>
            </w:r>
          </w:p>
        </w:tc>
        <w:tc>
          <w:tcPr>
            <w:tcW w:w="876" w:type="dxa"/>
            <w:tcBorders>
              <w:top w:val="single" w:sz="4" w:space="0" w:color="auto"/>
            </w:tcBorders>
          </w:tcPr>
          <w:p w14:paraId="6022D65D" w14:textId="01403F15" w:rsidR="00F361B2" w:rsidRPr="00BA227C" w:rsidRDefault="00904B4E" w:rsidP="00080985">
            <w:pPr>
              <w:jc w:val="right"/>
              <w:rPr>
                <w:b/>
                <w:bCs/>
                <w:sz w:val="14"/>
                <w:szCs w:val="14"/>
                <w:lang w:val="fr-CH"/>
              </w:rPr>
            </w:pPr>
            <w:r>
              <w:rPr>
                <w:b/>
                <w:bCs/>
                <w:sz w:val="14"/>
                <w:szCs w:val="14"/>
                <w:lang w:val="fr-CH"/>
              </w:rPr>
              <w:t>10</w:t>
            </w:r>
          </w:p>
        </w:tc>
        <w:tc>
          <w:tcPr>
            <w:tcW w:w="875" w:type="dxa"/>
            <w:tcBorders>
              <w:top w:val="single" w:sz="4" w:space="0" w:color="auto"/>
            </w:tcBorders>
          </w:tcPr>
          <w:p w14:paraId="33869FAD" w14:textId="5E2557C1" w:rsidR="00F361B2" w:rsidRPr="00BA227C" w:rsidRDefault="00904B4E" w:rsidP="00080985">
            <w:pPr>
              <w:jc w:val="right"/>
              <w:rPr>
                <w:b/>
                <w:bCs/>
                <w:sz w:val="14"/>
                <w:szCs w:val="14"/>
                <w:lang w:val="fr-CH"/>
              </w:rPr>
            </w:pPr>
            <w:r>
              <w:rPr>
                <w:b/>
                <w:bCs/>
                <w:sz w:val="14"/>
                <w:szCs w:val="14"/>
                <w:lang w:val="fr-CH"/>
              </w:rPr>
              <w:t>2 605</w:t>
            </w:r>
          </w:p>
        </w:tc>
        <w:tc>
          <w:tcPr>
            <w:tcW w:w="875" w:type="dxa"/>
            <w:tcBorders>
              <w:top w:val="single" w:sz="4" w:space="0" w:color="auto"/>
            </w:tcBorders>
          </w:tcPr>
          <w:p w14:paraId="4EA88D48" w14:textId="162A7425" w:rsidR="00F361B2" w:rsidRPr="00BA227C" w:rsidRDefault="00904B4E" w:rsidP="00080985">
            <w:pPr>
              <w:jc w:val="right"/>
              <w:rPr>
                <w:b/>
                <w:bCs/>
                <w:sz w:val="14"/>
                <w:szCs w:val="14"/>
                <w:lang w:val="fr-CH"/>
              </w:rPr>
            </w:pPr>
            <w:r>
              <w:rPr>
                <w:b/>
                <w:bCs/>
                <w:sz w:val="14"/>
                <w:szCs w:val="14"/>
                <w:lang w:val="fr-CH"/>
              </w:rPr>
              <w:t>9</w:t>
            </w:r>
          </w:p>
        </w:tc>
        <w:tc>
          <w:tcPr>
            <w:tcW w:w="875" w:type="dxa"/>
            <w:tcBorders>
              <w:top w:val="single" w:sz="4" w:space="0" w:color="auto"/>
            </w:tcBorders>
          </w:tcPr>
          <w:p w14:paraId="3340F067" w14:textId="74A998C0" w:rsidR="00F361B2" w:rsidRPr="00BA227C" w:rsidRDefault="00904B4E" w:rsidP="00080985">
            <w:pPr>
              <w:jc w:val="right"/>
              <w:rPr>
                <w:b/>
                <w:bCs/>
                <w:sz w:val="14"/>
                <w:szCs w:val="14"/>
                <w:lang w:val="fr-CH"/>
              </w:rPr>
            </w:pPr>
            <w:r>
              <w:rPr>
                <w:b/>
                <w:bCs/>
                <w:sz w:val="14"/>
                <w:szCs w:val="14"/>
                <w:lang w:val="fr-CH"/>
              </w:rPr>
              <w:t>334</w:t>
            </w:r>
          </w:p>
        </w:tc>
        <w:tc>
          <w:tcPr>
            <w:tcW w:w="875" w:type="dxa"/>
            <w:tcBorders>
              <w:top w:val="single" w:sz="4" w:space="0" w:color="auto"/>
            </w:tcBorders>
          </w:tcPr>
          <w:p w14:paraId="5D5372D0" w14:textId="62331470" w:rsidR="00F361B2" w:rsidRPr="00BA227C" w:rsidRDefault="00904B4E" w:rsidP="00080985">
            <w:pPr>
              <w:jc w:val="right"/>
              <w:rPr>
                <w:b/>
                <w:bCs/>
                <w:sz w:val="14"/>
                <w:szCs w:val="14"/>
                <w:lang w:val="fr-CH"/>
              </w:rPr>
            </w:pPr>
            <w:r>
              <w:rPr>
                <w:b/>
                <w:bCs/>
                <w:sz w:val="14"/>
                <w:szCs w:val="14"/>
                <w:lang w:val="fr-CH"/>
              </w:rPr>
              <w:t>1</w:t>
            </w:r>
          </w:p>
        </w:tc>
        <w:tc>
          <w:tcPr>
            <w:tcW w:w="875" w:type="dxa"/>
            <w:tcBorders>
              <w:top w:val="single" w:sz="4" w:space="0" w:color="auto"/>
            </w:tcBorders>
          </w:tcPr>
          <w:p w14:paraId="656875C5" w14:textId="1AC64D11" w:rsidR="00F361B2" w:rsidRPr="00BA227C" w:rsidRDefault="00904B4E" w:rsidP="00080985">
            <w:pPr>
              <w:jc w:val="right"/>
              <w:rPr>
                <w:b/>
                <w:bCs/>
                <w:sz w:val="14"/>
                <w:szCs w:val="14"/>
                <w:lang w:val="fr-CH"/>
              </w:rPr>
            </w:pPr>
            <w:r>
              <w:rPr>
                <w:b/>
                <w:bCs/>
                <w:sz w:val="14"/>
                <w:szCs w:val="14"/>
                <w:lang w:val="fr-CH"/>
              </w:rPr>
              <w:t>26</w:t>
            </w:r>
          </w:p>
        </w:tc>
        <w:tc>
          <w:tcPr>
            <w:tcW w:w="875" w:type="dxa"/>
            <w:tcBorders>
              <w:top w:val="single" w:sz="4" w:space="0" w:color="auto"/>
            </w:tcBorders>
          </w:tcPr>
          <w:p w14:paraId="737AE918" w14:textId="12F9CBD1" w:rsidR="00F361B2" w:rsidRPr="00BA227C" w:rsidRDefault="00904B4E" w:rsidP="00080985">
            <w:pPr>
              <w:jc w:val="right"/>
              <w:rPr>
                <w:b/>
                <w:bCs/>
                <w:sz w:val="14"/>
                <w:szCs w:val="14"/>
                <w:lang w:val="fr-CH"/>
              </w:rPr>
            </w:pPr>
            <w:r>
              <w:rPr>
                <w:b/>
                <w:bCs/>
                <w:sz w:val="14"/>
                <w:szCs w:val="14"/>
                <w:lang w:val="fr-CH"/>
              </w:rPr>
              <w:t>48</w:t>
            </w:r>
          </w:p>
        </w:tc>
        <w:tc>
          <w:tcPr>
            <w:tcW w:w="875" w:type="dxa"/>
            <w:tcBorders>
              <w:top w:val="single" w:sz="4" w:space="0" w:color="auto"/>
            </w:tcBorders>
          </w:tcPr>
          <w:p w14:paraId="4D4D3873" w14:textId="4A27C5F5" w:rsidR="00F361B2" w:rsidRPr="00BA227C" w:rsidRDefault="00904B4E" w:rsidP="00080985">
            <w:pPr>
              <w:jc w:val="right"/>
              <w:rPr>
                <w:b/>
                <w:bCs/>
                <w:sz w:val="14"/>
                <w:szCs w:val="14"/>
                <w:lang w:val="fr-CH"/>
              </w:rPr>
            </w:pPr>
            <w:r>
              <w:rPr>
                <w:b/>
                <w:bCs/>
                <w:sz w:val="14"/>
                <w:szCs w:val="14"/>
                <w:lang w:val="fr-CH"/>
              </w:rPr>
              <w:t>9 428</w:t>
            </w:r>
          </w:p>
        </w:tc>
      </w:tr>
    </w:tbl>
    <w:p w14:paraId="20902E5C" w14:textId="77777777" w:rsidR="002735DB" w:rsidRPr="00A9327A" w:rsidRDefault="002735DB" w:rsidP="00080985">
      <w:pPr>
        <w:pStyle w:val="Heading2"/>
        <w:rPr>
          <w:lang w:val="fr-CH"/>
        </w:rPr>
      </w:pPr>
      <w:r w:rsidRPr="00A9327A">
        <w:rPr>
          <w:lang w:val="fr-CH"/>
        </w:rPr>
        <w:t>2.4</w:t>
      </w:r>
      <w:r w:rsidRPr="00A9327A">
        <w:rPr>
          <w:lang w:val="fr-CH"/>
        </w:rPr>
        <w:tab/>
        <w:t>Région Afrique</w:t>
      </w:r>
    </w:p>
    <w:p w14:paraId="564F32AC" w14:textId="670012E8" w:rsidR="003B2B02" w:rsidRPr="00A9327A" w:rsidRDefault="002735DB" w:rsidP="00080985">
      <w:pPr>
        <w:rPr>
          <w:lang w:val="fr-CH"/>
        </w:rPr>
      </w:pPr>
      <w:r w:rsidRPr="00A9327A">
        <w:rPr>
          <w:lang w:val="fr-CH"/>
        </w:rPr>
        <w:t>2</w:t>
      </w:r>
      <w:r w:rsidR="003B2B02" w:rsidRPr="00A9327A">
        <w:rPr>
          <w:lang w:val="fr-CH"/>
        </w:rPr>
        <w:t>.4</w:t>
      </w:r>
      <w:r w:rsidRPr="00A9327A">
        <w:rPr>
          <w:lang w:val="fr-CH"/>
        </w:rPr>
        <w:t>.1</w:t>
      </w:r>
      <w:r w:rsidRPr="00A9327A">
        <w:rPr>
          <w:lang w:val="fr-CH"/>
        </w:rPr>
        <w:tab/>
      </w:r>
      <w:r w:rsidR="003B2B02" w:rsidRPr="00A9327A">
        <w:rPr>
          <w:lang w:val="fr-CH"/>
        </w:rPr>
        <w:t xml:space="preserve">En 2017, </w:t>
      </w:r>
      <w:r w:rsidR="00976ED1">
        <w:rPr>
          <w:lang w:val="fr-CH"/>
        </w:rPr>
        <w:t xml:space="preserve">dans la région Afrique, </w:t>
      </w:r>
      <w:r w:rsidR="003B2B02" w:rsidRPr="00A9327A">
        <w:rPr>
          <w:lang w:val="fr-CH"/>
        </w:rPr>
        <w:t xml:space="preserve">le BDT a mis en oeuvre des activités au titre de 13 projets de coopération technique pour un montant total de </w:t>
      </w:r>
      <w:r w:rsidR="00976ED1">
        <w:rPr>
          <w:lang w:val="fr-CH"/>
        </w:rPr>
        <w:t xml:space="preserve">3 millions </w:t>
      </w:r>
      <w:r w:rsidR="003B2B02" w:rsidRPr="00A9327A">
        <w:rPr>
          <w:lang w:val="fr-CH"/>
        </w:rPr>
        <w:t xml:space="preserve">CHF </w:t>
      </w:r>
      <w:r w:rsidR="00976ED1">
        <w:rPr>
          <w:lang w:val="fr-CH"/>
        </w:rPr>
        <w:t>environ</w:t>
      </w:r>
      <w:r w:rsidR="003B2B02" w:rsidRPr="00A9327A">
        <w:rPr>
          <w:lang w:val="fr-CH"/>
        </w:rPr>
        <w:t xml:space="preserve">, en collaboration avec </w:t>
      </w:r>
      <w:r w:rsidR="00976ED1">
        <w:rPr>
          <w:lang w:val="fr-CH"/>
        </w:rPr>
        <w:t>l</w:t>
      </w:r>
      <w:r w:rsidR="003B2B02" w:rsidRPr="00A9327A">
        <w:rPr>
          <w:lang w:val="fr-CH"/>
        </w:rPr>
        <w:t>es Etats Membres. En outre, des activités concernant 48 actions ont été mises en oeuvre pour un montant de 597 000 CHF.</w:t>
      </w:r>
    </w:p>
    <w:p w14:paraId="3757D39E" w14:textId="52A3628F" w:rsidR="002735DB" w:rsidRPr="00A9327A" w:rsidRDefault="003B2B02" w:rsidP="00080985">
      <w:pPr>
        <w:rPr>
          <w:lang w:val="fr-CH"/>
        </w:rPr>
      </w:pPr>
      <w:r w:rsidRPr="00A9327A">
        <w:rPr>
          <w:lang w:val="fr-CH"/>
        </w:rPr>
        <w:t>2.4.2</w:t>
      </w:r>
      <w:r w:rsidRPr="00A9327A">
        <w:rPr>
          <w:lang w:val="fr-CH"/>
        </w:rPr>
        <w:tab/>
        <w:t>L'UIT a aidé l'Union africaine des télécommunications</w:t>
      </w:r>
      <w:r w:rsidR="00976ED1">
        <w:rPr>
          <w:lang w:val="fr-CH"/>
        </w:rPr>
        <w:t xml:space="preserve"> (UAT)</w:t>
      </w:r>
      <w:r w:rsidRPr="00A9327A">
        <w:rPr>
          <w:lang w:val="fr-CH"/>
        </w:rPr>
        <w:t xml:space="preserve"> à organiser les réunions préparatoires visant à définir des positions africaines communes en vue de la CMDT et de la CMR. L'UIT a </w:t>
      </w:r>
      <w:r w:rsidR="002735DB" w:rsidRPr="00A9327A">
        <w:rPr>
          <w:lang w:val="fr-CH"/>
        </w:rPr>
        <w:t xml:space="preserve">facilité l'harmonisation des politiques et des cadres réglementaires dans la région, </w:t>
      </w:r>
      <w:r w:rsidR="00976ED1">
        <w:rPr>
          <w:lang w:val="fr-CH"/>
        </w:rPr>
        <w:t>en ce qui concerne la</w:t>
      </w:r>
      <w:r w:rsidR="002735DB" w:rsidRPr="00A9327A">
        <w:rPr>
          <w:lang w:val="fr-CH"/>
        </w:rPr>
        <w:t xml:space="preserve"> généralisation du large bande, </w:t>
      </w:r>
      <w:r w:rsidR="00976ED1">
        <w:rPr>
          <w:lang w:val="fr-CH"/>
        </w:rPr>
        <w:t>les</w:t>
      </w:r>
      <w:r w:rsidR="002735DB" w:rsidRPr="00A9327A">
        <w:rPr>
          <w:lang w:val="fr-CH"/>
        </w:rPr>
        <w:t xml:space="preserve"> dispositifs mobiles</w:t>
      </w:r>
      <w:r w:rsidR="00976ED1">
        <w:rPr>
          <w:lang w:val="fr-CH"/>
        </w:rPr>
        <w:t xml:space="preserve"> au service de la cybersanté</w:t>
      </w:r>
      <w:r w:rsidR="002735DB" w:rsidRPr="00A9327A">
        <w:rPr>
          <w:lang w:val="fr-CH"/>
        </w:rPr>
        <w:t xml:space="preserve"> et la mise en place de points d'échange Internet (IXP) régionaux et sous-régionaux pour réduire les coûts du trafic.</w:t>
      </w:r>
      <w:r w:rsidR="002735DB" w:rsidRPr="00A9327A">
        <w:rPr>
          <w:szCs w:val="24"/>
          <w:lang w:val="fr-CH"/>
        </w:rPr>
        <w:t xml:space="preserve"> </w:t>
      </w:r>
      <w:r w:rsidRPr="00A9327A">
        <w:rPr>
          <w:szCs w:val="24"/>
          <w:lang w:val="fr-CH"/>
        </w:rPr>
        <w:t>Une assistance a été apportée aux pays de la région dans de nombreux domaines, concernant</w:t>
      </w:r>
      <w:r w:rsidR="00976ED1">
        <w:rPr>
          <w:szCs w:val="24"/>
          <w:lang w:val="fr-CH"/>
        </w:rPr>
        <w:t xml:space="preserve"> notamment </w:t>
      </w:r>
      <w:r w:rsidR="009B6D13" w:rsidRPr="00A9327A">
        <w:rPr>
          <w:szCs w:val="24"/>
          <w:lang w:val="fr-CH"/>
        </w:rPr>
        <w:t xml:space="preserve">les </w:t>
      </w:r>
      <w:r w:rsidR="009B6D13" w:rsidRPr="00A9327A">
        <w:rPr>
          <w:color w:val="000000"/>
          <w:lang w:val="fr-CH"/>
        </w:rPr>
        <w:t xml:space="preserve">modèles de plans nationaux sur le large bande, l'élaboration de politiques en matière d'économie numérique, </w:t>
      </w:r>
      <w:r w:rsidR="00976ED1">
        <w:rPr>
          <w:color w:val="000000"/>
          <w:lang w:val="fr-CH"/>
        </w:rPr>
        <w:t xml:space="preserve">ou encore </w:t>
      </w:r>
      <w:r w:rsidR="009B6D13" w:rsidRPr="00A9327A">
        <w:rPr>
          <w:color w:val="000000"/>
          <w:lang w:val="fr-CH"/>
        </w:rPr>
        <w:t>la mise au point de stratégies et de plans stratégiques institutionnels pour les institutions.</w:t>
      </w:r>
    </w:p>
    <w:p w14:paraId="3F5E13CA" w14:textId="24F6D55D" w:rsidR="002735DB" w:rsidRPr="00A9327A" w:rsidRDefault="002735DB" w:rsidP="00080985">
      <w:pPr>
        <w:rPr>
          <w:color w:val="000000"/>
          <w:lang w:val="fr-CH"/>
        </w:rPr>
      </w:pPr>
      <w:r w:rsidRPr="00A9327A">
        <w:rPr>
          <w:szCs w:val="24"/>
          <w:lang w:val="fr-CH"/>
        </w:rPr>
        <w:t>2</w:t>
      </w:r>
      <w:r w:rsidR="009B6D13" w:rsidRPr="00A9327A">
        <w:rPr>
          <w:szCs w:val="24"/>
          <w:lang w:val="fr-CH"/>
        </w:rPr>
        <w:t>.4</w:t>
      </w:r>
      <w:r w:rsidRPr="00A9327A">
        <w:rPr>
          <w:szCs w:val="24"/>
          <w:lang w:val="fr-CH"/>
        </w:rPr>
        <w:t>.3</w:t>
      </w:r>
      <w:r w:rsidRPr="00A9327A">
        <w:rPr>
          <w:szCs w:val="24"/>
          <w:lang w:val="fr-CH"/>
        </w:rPr>
        <w:tab/>
      </w:r>
      <w:r w:rsidR="009B6D13" w:rsidRPr="00A9327A">
        <w:rPr>
          <w:szCs w:val="24"/>
          <w:lang w:val="fr-CH"/>
        </w:rPr>
        <w:t xml:space="preserve">Un certain nombre de projets sont en cours dans des domaines tels que la réforme institutionnelle, la télémédecine, le large bande hertzien, la formation des juges, la mise en place et le renforcement d'équipes CIRT, </w:t>
      </w:r>
      <w:r w:rsidR="00976ED1">
        <w:rPr>
          <w:szCs w:val="24"/>
          <w:lang w:val="fr-CH"/>
        </w:rPr>
        <w:t xml:space="preserve">ainsi que </w:t>
      </w:r>
      <w:r w:rsidR="009B6D13" w:rsidRPr="00A9327A">
        <w:rPr>
          <w:szCs w:val="24"/>
          <w:lang w:val="fr-CH"/>
        </w:rPr>
        <w:t xml:space="preserve">les programmes de santé sur mobile au service de la lutte contre le diabète et le cancer du col de l'utérus. Plusieurs ateliers et forums régionaux ont été organisés en 2017 dans la région concernant notamment la conformité et l'interopérabilité, le protocole IPv6, la cybersécurité et les cyberexercices, l'Internet des objets, les aspects économiques et financiers des TIC, la qualité de service et la qualité d'expérience, l'itinérance internationale, ainsi que l'accessibilité des TIC et l'inclusion numérique. Plusieurs ateliers ont été organisés à l'échelle </w:t>
      </w:r>
      <w:r w:rsidR="00A9327A" w:rsidRPr="00A9327A">
        <w:rPr>
          <w:szCs w:val="24"/>
          <w:lang w:val="fr-CH"/>
        </w:rPr>
        <w:t>nationale</w:t>
      </w:r>
      <w:r w:rsidR="009B6D13" w:rsidRPr="00A9327A">
        <w:rPr>
          <w:szCs w:val="24"/>
          <w:lang w:val="fr-CH"/>
        </w:rPr>
        <w:t xml:space="preserve"> sur des sujets tels que la gestion du spectre, les </w:t>
      </w:r>
      <w:r w:rsidR="00053275" w:rsidRPr="00A9327A">
        <w:rPr>
          <w:szCs w:val="24"/>
          <w:lang w:val="fr-CH"/>
        </w:rPr>
        <w:t xml:space="preserve">mesures et les indicateurs des TIC, la gestion des équipes CIRT, la formation des formateurs en matière de compétences en TIC, </w:t>
      </w:r>
      <w:r w:rsidR="00053275" w:rsidRPr="00A9327A">
        <w:rPr>
          <w:color w:val="000000"/>
          <w:lang w:val="fr-CH"/>
        </w:rPr>
        <w:t xml:space="preserve">la protection en ligne des enfants, l'examen du niveau de maturité </w:t>
      </w:r>
      <w:r w:rsidR="00976ED1" w:rsidRPr="00A9327A">
        <w:rPr>
          <w:color w:val="000000"/>
          <w:lang w:val="fr-CH"/>
        </w:rPr>
        <w:t xml:space="preserve">et les stratégies </w:t>
      </w:r>
      <w:r w:rsidR="00053275" w:rsidRPr="00A9327A">
        <w:rPr>
          <w:color w:val="000000"/>
          <w:lang w:val="fr-CH"/>
        </w:rPr>
        <w:t>en matière de cybersécurité, les plans de gestion de crise, la formation des juges, ainsi que la qualité de service et la qualité d'expérience.</w:t>
      </w:r>
    </w:p>
    <w:p w14:paraId="4054E05D" w14:textId="77777777" w:rsidR="002735DB" w:rsidRPr="00A9327A" w:rsidRDefault="002735DB" w:rsidP="00080985">
      <w:pPr>
        <w:pStyle w:val="Heading2"/>
        <w:rPr>
          <w:lang w:val="fr-CH"/>
        </w:rPr>
      </w:pPr>
      <w:r w:rsidRPr="00A9327A">
        <w:rPr>
          <w:lang w:val="fr-CH"/>
        </w:rPr>
        <w:t>2.</w:t>
      </w:r>
      <w:r w:rsidR="00844E96" w:rsidRPr="00A9327A">
        <w:rPr>
          <w:lang w:val="fr-CH"/>
        </w:rPr>
        <w:t>5</w:t>
      </w:r>
      <w:r w:rsidRPr="00A9327A">
        <w:rPr>
          <w:lang w:val="fr-CH"/>
        </w:rPr>
        <w:tab/>
        <w:t>Région Amériques</w:t>
      </w:r>
    </w:p>
    <w:p w14:paraId="13303338" w14:textId="34679F6E" w:rsidR="002735DB" w:rsidRPr="00A9327A" w:rsidRDefault="00844E96" w:rsidP="00080985">
      <w:pPr>
        <w:tabs>
          <w:tab w:val="left" w:pos="709"/>
        </w:tabs>
        <w:rPr>
          <w:lang w:val="fr-CH"/>
        </w:rPr>
      </w:pPr>
      <w:r w:rsidRPr="00A9327A">
        <w:rPr>
          <w:lang w:val="fr-CH"/>
        </w:rPr>
        <w:t>2.5.1</w:t>
      </w:r>
      <w:r w:rsidRPr="00A9327A">
        <w:rPr>
          <w:lang w:val="fr-CH"/>
        </w:rPr>
        <w:tab/>
        <w:t xml:space="preserve">En 2017, </w:t>
      </w:r>
      <w:r w:rsidR="00976ED1">
        <w:rPr>
          <w:lang w:val="fr-CH"/>
        </w:rPr>
        <w:t xml:space="preserve">dans la région Amériques, </w:t>
      </w:r>
      <w:r w:rsidRPr="00A9327A">
        <w:rPr>
          <w:lang w:val="fr-CH"/>
        </w:rPr>
        <w:t>le BDT a mis en oeuv</w:t>
      </w:r>
      <w:r w:rsidR="00BD7CEE">
        <w:rPr>
          <w:lang w:val="fr-CH"/>
        </w:rPr>
        <w:t>re des activités au titre de 11 </w:t>
      </w:r>
      <w:r w:rsidRPr="00A9327A">
        <w:rPr>
          <w:lang w:val="fr-CH"/>
        </w:rPr>
        <w:t xml:space="preserve">projets de coopération technique pour un montant total de </w:t>
      </w:r>
      <w:r w:rsidR="00976ED1">
        <w:rPr>
          <w:lang w:val="fr-CH"/>
        </w:rPr>
        <w:t xml:space="preserve">3,8 millions </w:t>
      </w:r>
      <w:r w:rsidRPr="00A9327A">
        <w:rPr>
          <w:lang w:val="fr-CH"/>
        </w:rPr>
        <w:t>CHF</w:t>
      </w:r>
      <w:r w:rsidR="00976ED1">
        <w:rPr>
          <w:lang w:val="fr-CH"/>
        </w:rPr>
        <w:t xml:space="preserve"> environ</w:t>
      </w:r>
      <w:r w:rsidR="00BD7CEE">
        <w:rPr>
          <w:lang w:val="fr-CH"/>
        </w:rPr>
        <w:t>, en </w:t>
      </w:r>
      <w:r w:rsidRPr="00A9327A">
        <w:rPr>
          <w:lang w:val="fr-CH"/>
        </w:rPr>
        <w:t xml:space="preserve">collaboration avec des Etats Membres. En outre, des activités </w:t>
      </w:r>
      <w:r w:rsidR="00976ED1">
        <w:rPr>
          <w:lang w:val="fr-CH"/>
        </w:rPr>
        <w:t>relatives à</w:t>
      </w:r>
      <w:r w:rsidRPr="00A9327A">
        <w:rPr>
          <w:lang w:val="fr-CH"/>
        </w:rPr>
        <w:t xml:space="preserve"> 32 </w:t>
      </w:r>
      <w:r w:rsidR="00976ED1">
        <w:rPr>
          <w:lang w:val="fr-CH"/>
        </w:rPr>
        <w:t>mesures</w:t>
      </w:r>
      <w:r w:rsidRPr="00A9327A">
        <w:rPr>
          <w:lang w:val="fr-CH"/>
        </w:rPr>
        <w:t xml:space="preserve"> ont été mises en oeuvre pour un montant de 649 000 CHF.</w:t>
      </w:r>
    </w:p>
    <w:p w14:paraId="3B29A03E" w14:textId="23CBB69E" w:rsidR="00844E96" w:rsidRPr="00A9327A" w:rsidRDefault="00844E96" w:rsidP="00080985">
      <w:pPr>
        <w:tabs>
          <w:tab w:val="left" w:pos="709"/>
        </w:tabs>
        <w:rPr>
          <w:color w:val="000000"/>
          <w:lang w:val="fr-CH"/>
        </w:rPr>
      </w:pPr>
      <w:r w:rsidRPr="00A9327A">
        <w:rPr>
          <w:lang w:val="fr-CH"/>
        </w:rPr>
        <w:t>2.5.2</w:t>
      </w:r>
      <w:r w:rsidRPr="00A9327A">
        <w:rPr>
          <w:lang w:val="fr-CH"/>
        </w:rPr>
        <w:tab/>
        <w:t>Différents pays de la région ont reçu une assistance et un soutien direct</w:t>
      </w:r>
      <w:r w:rsidR="00976ED1">
        <w:rPr>
          <w:lang w:val="fr-CH"/>
        </w:rPr>
        <w:t>s</w:t>
      </w:r>
      <w:r w:rsidRPr="00A9327A">
        <w:rPr>
          <w:lang w:val="fr-CH"/>
        </w:rPr>
        <w:t xml:space="preserve"> dans des domaines tels que</w:t>
      </w:r>
      <w:r w:rsidR="00976ED1">
        <w:rPr>
          <w:lang w:val="fr-CH"/>
        </w:rPr>
        <w:t>, notamment,</w:t>
      </w:r>
      <w:r w:rsidRPr="00A9327A">
        <w:rPr>
          <w:lang w:val="fr-CH"/>
        </w:rPr>
        <w:t xml:space="preserve"> </w:t>
      </w:r>
      <w:r w:rsidRPr="00A9327A">
        <w:rPr>
          <w:color w:val="000000"/>
          <w:lang w:val="fr-CH"/>
        </w:rPr>
        <w:t xml:space="preserve">la politique </w:t>
      </w:r>
      <w:r w:rsidR="00976ED1">
        <w:rPr>
          <w:color w:val="000000"/>
          <w:lang w:val="fr-CH"/>
        </w:rPr>
        <w:t>générale</w:t>
      </w:r>
      <w:r w:rsidRPr="00A9327A">
        <w:rPr>
          <w:color w:val="000000"/>
          <w:lang w:val="fr-CH"/>
        </w:rPr>
        <w:t xml:space="preserve"> et le cadre réglementaire concernant </w:t>
      </w:r>
      <w:r w:rsidR="00976ED1">
        <w:rPr>
          <w:color w:val="000000"/>
          <w:lang w:val="fr-CH"/>
        </w:rPr>
        <w:t>la gestion des</w:t>
      </w:r>
      <w:r w:rsidRPr="00A9327A">
        <w:rPr>
          <w:color w:val="000000"/>
          <w:lang w:val="fr-CH"/>
        </w:rPr>
        <w:t xml:space="preserve"> déchets d'équipements électriques et électroniques, la mise en p</w:t>
      </w:r>
      <w:r w:rsidR="00976ED1">
        <w:rPr>
          <w:color w:val="000000"/>
          <w:lang w:val="fr-CH"/>
        </w:rPr>
        <w:t>lace de plans nationaux sur les </w:t>
      </w:r>
      <w:r w:rsidRPr="00A9327A">
        <w:rPr>
          <w:color w:val="000000"/>
          <w:lang w:val="fr-CH"/>
        </w:rPr>
        <w:t xml:space="preserve">TIC, l'élaboration de lignes directrices pour le passage de la radiodiffusion analogique à la radiodiffusion numérique, le déploiement d'infrastructures, </w:t>
      </w:r>
      <w:r w:rsidR="00976ED1">
        <w:rPr>
          <w:color w:val="000000"/>
          <w:lang w:val="fr-CH"/>
        </w:rPr>
        <w:t xml:space="preserve">ou encore </w:t>
      </w:r>
      <w:r w:rsidRPr="00A9327A">
        <w:rPr>
          <w:color w:val="000000"/>
          <w:lang w:val="fr-CH"/>
        </w:rPr>
        <w:t xml:space="preserve">la formation sur l'accessibilité du web. </w:t>
      </w:r>
      <w:r w:rsidR="00976ED1">
        <w:rPr>
          <w:color w:val="000000"/>
          <w:lang w:val="fr-CH"/>
        </w:rPr>
        <w:t>Plus de 150</w:t>
      </w:r>
      <w:r w:rsidRPr="00A9327A">
        <w:rPr>
          <w:color w:val="000000"/>
          <w:lang w:val="fr-CH"/>
        </w:rPr>
        <w:t xml:space="preserve"> personnes issues de populations autochtones de 16 pays ont bénéficié d'une formation en ligne sur les outils de communication innovants pour l'inclusion et le renforcement des populations autochtones.</w:t>
      </w:r>
    </w:p>
    <w:p w14:paraId="46F54D81" w14:textId="727F4AD9" w:rsidR="00844E96" w:rsidRPr="00A9327A" w:rsidRDefault="00844E96" w:rsidP="00080985">
      <w:pPr>
        <w:tabs>
          <w:tab w:val="left" w:pos="709"/>
        </w:tabs>
        <w:rPr>
          <w:lang w:val="fr-CH"/>
        </w:rPr>
      </w:pPr>
      <w:r w:rsidRPr="00A9327A">
        <w:rPr>
          <w:color w:val="000000"/>
          <w:lang w:val="fr-CH"/>
        </w:rPr>
        <w:t>2.5.3</w:t>
      </w:r>
      <w:r w:rsidRPr="00A9327A">
        <w:rPr>
          <w:color w:val="000000"/>
          <w:lang w:val="fr-CH"/>
        </w:rPr>
        <w:tab/>
      </w:r>
      <w:r w:rsidR="008352B2" w:rsidRPr="00A9327A">
        <w:rPr>
          <w:color w:val="000000"/>
          <w:lang w:val="fr-CH"/>
        </w:rPr>
        <w:t>Plusieurs ateliers et forums régionaux sur la conformité et</w:t>
      </w:r>
      <w:r w:rsidRPr="00A9327A">
        <w:rPr>
          <w:lang w:val="fr-CH"/>
        </w:rPr>
        <w:t xml:space="preserve"> </w:t>
      </w:r>
      <w:r w:rsidR="008352B2" w:rsidRPr="00A9327A">
        <w:rPr>
          <w:lang w:val="fr-CH"/>
        </w:rPr>
        <w:t xml:space="preserve">l'interopérabilité, la gouvernance de l'Internet, le harcèlement en ligne, l'accessibilité des TIC et l'inclusion numérique, la cybersécurité et les cyberexercices, les télécommunications d'urgence et l'Internet des objets ont été organisés en 2017 dans la région Amériques. Par le biais de l'Académie de l'UIT, </w:t>
      </w:r>
      <w:r w:rsidR="004D1EDC">
        <w:rPr>
          <w:lang w:val="fr-CH"/>
        </w:rPr>
        <w:t>plusieurs</w:t>
      </w:r>
      <w:r w:rsidR="008352B2" w:rsidRPr="00A9327A">
        <w:rPr>
          <w:lang w:val="fr-CH"/>
        </w:rPr>
        <w:t xml:space="preserve"> formations en ligne ont été proposées sur des questions pertinentes telles que</w:t>
      </w:r>
      <w:r w:rsidR="004D1EDC">
        <w:rPr>
          <w:lang w:val="fr-CH"/>
        </w:rPr>
        <w:t>, notamment,</w:t>
      </w:r>
      <w:r w:rsidR="008352B2" w:rsidRPr="00A9327A">
        <w:rPr>
          <w:lang w:val="fr-CH"/>
        </w:rPr>
        <w:t xml:space="preserve"> le spectre radioélectrique, le rôle des TIC dans les villes intelligentes et durables, les réseaux à fibre optique et les réseaux de prochaine génération, </w:t>
      </w:r>
      <w:r w:rsidR="004D1EDC">
        <w:rPr>
          <w:lang w:val="fr-CH"/>
        </w:rPr>
        <w:t xml:space="preserve">ou encore </w:t>
      </w:r>
      <w:r w:rsidR="008352B2" w:rsidRPr="00A9327A">
        <w:rPr>
          <w:lang w:val="fr-CH"/>
        </w:rPr>
        <w:t xml:space="preserve">la réglementation </w:t>
      </w:r>
      <w:r w:rsidR="009D242E" w:rsidRPr="00A9327A">
        <w:rPr>
          <w:lang w:val="fr-CH"/>
        </w:rPr>
        <w:t xml:space="preserve">du spectre et des services de télécommunication. Un projet pilote sur la mise en place d'un réseau régional alternatif pour les télécommunications d'urgence a été mis </w:t>
      </w:r>
      <w:r w:rsidR="004D1EDC">
        <w:rPr>
          <w:lang w:val="fr-CH"/>
        </w:rPr>
        <w:t>au point dans la région Amérique grâce aux</w:t>
      </w:r>
      <w:r w:rsidR="009D242E" w:rsidRPr="00A9327A">
        <w:rPr>
          <w:lang w:val="fr-CH"/>
        </w:rPr>
        <w:t xml:space="preserve"> efforts conjoints de l'UIT, de la CITEL et de la COMTELCA. Une étude d'évaluation </w:t>
      </w:r>
      <w:r w:rsidR="004D1EDC">
        <w:rPr>
          <w:lang w:val="fr-CH"/>
        </w:rPr>
        <w:t>relative à</w:t>
      </w:r>
      <w:r w:rsidR="009D242E" w:rsidRPr="00A9327A">
        <w:rPr>
          <w:lang w:val="fr-CH"/>
        </w:rPr>
        <w:t xml:space="preserve"> </w:t>
      </w:r>
      <w:r w:rsidR="004D1EDC">
        <w:rPr>
          <w:lang w:val="fr-CH"/>
        </w:rPr>
        <w:t xml:space="preserve">la </w:t>
      </w:r>
      <w:r w:rsidR="009D242E" w:rsidRPr="00A9327A">
        <w:rPr>
          <w:lang w:val="fr-CH"/>
        </w:rPr>
        <w:t xml:space="preserve">conformité et </w:t>
      </w:r>
      <w:r w:rsidR="004D1EDC">
        <w:rPr>
          <w:lang w:val="fr-CH"/>
        </w:rPr>
        <w:t xml:space="preserve">à </w:t>
      </w:r>
      <w:r w:rsidR="009D242E" w:rsidRPr="00A9327A">
        <w:rPr>
          <w:lang w:val="fr-CH"/>
        </w:rPr>
        <w:t xml:space="preserve">l'interopérabilité a été réalisée dans l'objectif principal d'élaborer des propositions </w:t>
      </w:r>
      <w:r w:rsidR="004D1EDC">
        <w:rPr>
          <w:lang w:val="fr-CH"/>
        </w:rPr>
        <w:t xml:space="preserve">concernant des solutions possibles pour </w:t>
      </w:r>
      <w:r w:rsidR="009D242E" w:rsidRPr="00A9327A">
        <w:rPr>
          <w:lang w:val="fr-CH"/>
        </w:rPr>
        <w:t>améliorer les performances de la région en matière de conformité et d'interopérabilité.</w:t>
      </w:r>
      <w:r w:rsidR="008352B2" w:rsidRPr="00A9327A">
        <w:rPr>
          <w:lang w:val="fr-CH"/>
        </w:rPr>
        <w:t xml:space="preserve"> </w:t>
      </w:r>
    </w:p>
    <w:p w14:paraId="4BAB25AE" w14:textId="77777777" w:rsidR="002735DB" w:rsidRPr="00A9327A" w:rsidRDefault="002735DB" w:rsidP="00080985">
      <w:pPr>
        <w:pStyle w:val="Headingb"/>
        <w:rPr>
          <w:lang w:val="fr-CH"/>
        </w:rPr>
      </w:pPr>
      <w:r w:rsidRPr="00A9327A">
        <w:rPr>
          <w:lang w:val="fr-CH"/>
        </w:rPr>
        <w:t>2.</w:t>
      </w:r>
      <w:r w:rsidR="009D242E" w:rsidRPr="00A9327A">
        <w:rPr>
          <w:lang w:val="fr-CH"/>
        </w:rPr>
        <w:t>6</w:t>
      </w:r>
      <w:r w:rsidRPr="00A9327A">
        <w:rPr>
          <w:lang w:val="fr-CH"/>
        </w:rPr>
        <w:tab/>
        <w:t>Région des Etats arabes</w:t>
      </w:r>
    </w:p>
    <w:p w14:paraId="7FD1598D" w14:textId="49A3AB0A" w:rsidR="002735DB" w:rsidRPr="00A9327A" w:rsidRDefault="00327A02" w:rsidP="00080985">
      <w:pPr>
        <w:rPr>
          <w:lang w:val="fr-CH"/>
        </w:rPr>
      </w:pPr>
      <w:r w:rsidRPr="00A9327A">
        <w:rPr>
          <w:lang w:val="fr-CH"/>
        </w:rPr>
        <w:t>2.6.1</w:t>
      </w:r>
      <w:r w:rsidRPr="00A9327A">
        <w:rPr>
          <w:lang w:val="fr-CH"/>
        </w:rPr>
        <w:tab/>
        <w:t xml:space="preserve">En 2017, </w:t>
      </w:r>
      <w:r w:rsidR="004D1EDC">
        <w:rPr>
          <w:lang w:val="fr-CH"/>
        </w:rPr>
        <w:t xml:space="preserve">dans la région des Etats arabes, </w:t>
      </w:r>
      <w:r w:rsidRPr="00A9327A">
        <w:rPr>
          <w:lang w:val="fr-CH"/>
        </w:rPr>
        <w:t xml:space="preserve">le BDT a mis en oeuvre des activités au titre de huit projets de coopération technique pour </w:t>
      </w:r>
      <w:r w:rsidR="004D1EDC">
        <w:rPr>
          <w:lang w:val="fr-CH"/>
        </w:rPr>
        <w:t>un montant total de 860 000 CHF</w:t>
      </w:r>
      <w:r w:rsidRPr="00A9327A">
        <w:rPr>
          <w:lang w:val="fr-CH"/>
        </w:rPr>
        <w:t xml:space="preserve">, en collaboration avec </w:t>
      </w:r>
      <w:r w:rsidR="004D1EDC">
        <w:rPr>
          <w:lang w:val="fr-CH"/>
        </w:rPr>
        <w:t>l</w:t>
      </w:r>
      <w:r w:rsidRPr="00A9327A">
        <w:rPr>
          <w:lang w:val="fr-CH"/>
        </w:rPr>
        <w:t xml:space="preserve">es Etats Membres. En outre, des activités </w:t>
      </w:r>
      <w:r w:rsidR="004D1EDC">
        <w:rPr>
          <w:lang w:val="fr-CH"/>
        </w:rPr>
        <w:t>relatives à</w:t>
      </w:r>
      <w:r w:rsidRPr="00A9327A">
        <w:rPr>
          <w:lang w:val="fr-CH"/>
        </w:rPr>
        <w:t xml:space="preserve"> 32 </w:t>
      </w:r>
      <w:r w:rsidR="004D1EDC">
        <w:rPr>
          <w:lang w:val="fr-CH"/>
        </w:rPr>
        <w:t>mesures</w:t>
      </w:r>
      <w:r w:rsidRPr="00A9327A">
        <w:rPr>
          <w:lang w:val="fr-CH"/>
        </w:rPr>
        <w:t xml:space="preserve"> ont été mises en oeuvre pour un montant de 369 000 CHF.</w:t>
      </w:r>
    </w:p>
    <w:p w14:paraId="1D657228" w14:textId="2880F3CA" w:rsidR="00327A02" w:rsidRPr="00A9327A" w:rsidRDefault="00327A02" w:rsidP="00080985">
      <w:pPr>
        <w:rPr>
          <w:color w:val="000000"/>
          <w:lang w:val="fr-CH"/>
        </w:rPr>
      </w:pPr>
      <w:r w:rsidRPr="00A9327A">
        <w:rPr>
          <w:lang w:val="fr-CH"/>
        </w:rPr>
        <w:t>2.6.2</w:t>
      </w:r>
      <w:r w:rsidRPr="00A9327A">
        <w:rPr>
          <w:lang w:val="fr-CH"/>
        </w:rPr>
        <w:tab/>
        <w:t>Par le biais du réseau des centres d'excellence de l'UIT dans les Etats arabes, dix formations sur le renforcement des capacités ont été mises en oeuvre concernant différents aspects des a</w:t>
      </w:r>
      <w:r w:rsidR="004D1EDC">
        <w:rPr>
          <w:lang w:val="fr-CH"/>
        </w:rPr>
        <w:t>pplications et des services TIC, dont</w:t>
      </w:r>
      <w:r w:rsidRPr="00A9327A">
        <w:rPr>
          <w:lang w:val="fr-CH"/>
        </w:rPr>
        <w:t xml:space="preserve"> plus de 250 participants ont pu bénéficier. Un accord de coopération a été signé avec la </w:t>
      </w:r>
      <w:r w:rsidRPr="00A9327A">
        <w:rPr>
          <w:rFonts w:asciiTheme="minorHAnsi" w:hAnsiTheme="minorHAnsi"/>
          <w:color w:val="000000"/>
          <w:szCs w:val="24"/>
          <w:lang w:val="fr-CH"/>
        </w:rPr>
        <w:t>Deutsche Gesellschaft für Internationale Zusammenarbeit (GIZ)</w:t>
      </w:r>
      <w:r w:rsidR="00627C46" w:rsidRPr="00A9327A">
        <w:rPr>
          <w:rFonts w:asciiTheme="minorHAnsi" w:hAnsiTheme="minorHAnsi"/>
          <w:color w:val="000000"/>
          <w:szCs w:val="24"/>
          <w:lang w:val="fr-CH"/>
        </w:rPr>
        <w:t xml:space="preserve"> </w:t>
      </w:r>
      <w:r w:rsidR="00627C46" w:rsidRPr="00A9327A">
        <w:rPr>
          <w:color w:val="000000"/>
          <w:lang w:val="fr-CH"/>
        </w:rPr>
        <w:t>représentée par le projet relatif à la promotion de l'emploi, en vue de l'organisation de manifestations liées à la Journée des jeunes filles dans le secteur des TIC jusqu'en 2019. Une assistance a été apportée au Réseau arabe des technoparcs et pépinières d'entreprise (ARTECNET), et une étude a été réalisée au sujet du développement des réseaux large bande et des points IXP.</w:t>
      </w:r>
    </w:p>
    <w:p w14:paraId="57D92CCA" w14:textId="1C24BE82" w:rsidR="00627C46" w:rsidRPr="00A9327A" w:rsidRDefault="00627C46" w:rsidP="00080985">
      <w:pPr>
        <w:rPr>
          <w:color w:val="000000"/>
          <w:lang w:val="fr-CH"/>
        </w:rPr>
      </w:pPr>
      <w:r w:rsidRPr="00A9327A">
        <w:rPr>
          <w:color w:val="000000"/>
          <w:lang w:val="fr-CH"/>
        </w:rPr>
        <w:t>2.6.3</w:t>
      </w:r>
      <w:r w:rsidRPr="00A9327A">
        <w:rPr>
          <w:color w:val="000000"/>
          <w:lang w:val="fr-CH"/>
        </w:rPr>
        <w:tab/>
        <w:t xml:space="preserve">Des activités de renforcement des capacités ont été organisées dans la région des Etats arabes concernant l'Internet des objets, le développement des villes intelligentes, les TIC et les changements climatiques, et les TIC pour la gestion des catastrophes. Une assistance directe a été apportée à la Palestine, à la Somalie et au Soudan concernant la portabilité des numéros mobiles, le </w:t>
      </w:r>
      <w:r w:rsidR="004D1EDC">
        <w:rPr>
          <w:color w:val="000000"/>
          <w:lang w:val="fr-CH"/>
        </w:rPr>
        <w:t xml:space="preserve">plan de </w:t>
      </w:r>
      <w:r w:rsidRPr="00A9327A">
        <w:rPr>
          <w:color w:val="000000"/>
          <w:lang w:val="fr-CH"/>
        </w:rPr>
        <w:t>numérotage national et les systèmes d'évaluation, respectivement. Par ailleurs, une assistance en matière de renforcement des capacité</w:t>
      </w:r>
      <w:r w:rsidR="004D1EDC">
        <w:rPr>
          <w:color w:val="000000"/>
          <w:lang w:val="fr-CH"/>
        </w:rPr>
        <w:t>s</w:t>
      </w:r>
      <w:r w:rsidRPr="00A9327A">
        <w:rPr>
          <w:color w:val="000000"/>
          <w:lang w:val="fr-CH"/>
        </w:rPr>
        <w:t xml:space="preserve"> a été apportée </w:t>
      </w:r>
      <w:r w:rsidR="00A34165" w:rsidRPr="00A9327A">
        <w:rPr>
          <w:color w:val="000000"/>
          <w:lang w:val="fr-CH"/>
        </w:rPr>
        <w:t xml:space="preserve">à certains pays dans le domaine de la gestion du spectre et de la coordination des fréquences. On a continué de déployer des efforts en ce qui concerne la cybersécurité dans le cadre d'un sommet </w:t>
      </w:r>
      <w:r w:rsidR="004D1EDC">
        <w:rPr>
          <w:color w:val="000000"/>
          <w:lang w:val="fr-CH"/>
        </w:rPr>
        <w:t>et de</w:t>
      </w:r>
      <w:r w:rsidR="00A34165" w:rsidRPr="00A9327A">
        <w:rPr>
          <w:color w:val="000000"/>
          <w:lang w:val="fr-CH"/>
        </w:rPr>
        <w:t xml:space="preserve"> cyberexercices régionaux annuels, ainsi que par le biais d'activités en matière de protection en ligne des enfants. On a encouragé l'accessibilité des TIC au niveau régional par le biais de l'organisation d'une semaine régionale consacrée à l'accessibilité des TIC. </w:t>
      </w:r>
    </w:p>
    <w:p w14:paraId="0613ABF5" w14:textId="77777777" w:rsidR="002735DB" w:rsidRPr="00A9327A" w:rsidRDefault="006F6300" w:rsidP="00080985">
      <w:pPr>
        <w:pStyle w:val="Heading2"/>
        <w:rPr>
          <w:color w:val="000000"/>
          <w:lang w:val="fr-CH"/>
        </w:rPr>
      </w:pPr>
      <w:r w:rsidRPr="00A9327A">
        <w:rPr>
          <w:color w:val="000000"/>
          <w:lang w:val="fr-CH"/>
        </w:rPr>
        <w:t>2.7</w:t>
      </w:r>
      <w:r w:rsidRPr="00A9327A">
        <w:rPr>
          <w:color w:val="000000"/>
          <w:lang w:val="fr-CH"/>
        </w:rPr>
        <w:tab/>
      </w:r>
      <w:r w:rsidR="002735DB" w:rsidRPr="00A9327A">
        <w:rPr>
          <w:lang w:val="fr-CH"/>
        </w:rPr>
        <w:t>Région Asie-Pacifique</w:t>
      </w:r>
    </w:p>
    <w:p w14:paraId="3BB8850F" w14:textId="60CCB6C0" w:rsidR="006F6300" w:rsidRPr="00A9327A" w:rsidRDefault="006F6300" w:rsidP="00080985">
      <w:pPr>
        <w:rPr>
          <w:lang w:val="fr-CH"/>
        </w:rPr>
      </w:pPr>
      <w:r w:rsidRPr="00A9327A">
        <w:rPr>
          <w:lang w:val="fr-CH"/>
        </w:rPr>
        <w:t>2.7.1</w:t>
      </w:r>
      <w:r w:rsidRPr="00A9327A">
        <w:rPr>
          <w:lang w:val="fr-CH"/>
        </w:rPr>
        <w:tab/>
        <w:t xml:space="preserve">En 2017, </w:t>
      </w:r>
      <w:r w:rsidR="00D5647A">
        <w:rPr>
          <w:lang w:val="fr-CH"/>
        </w:rPr>
        <w:t xml:space="preserve">dans la région Asie-Pacifique, </w:t>
      </w:r>
      <w:r w:rsidRPr="00A9327A">
        <w:rPr>
          <w:lang w:val="fr-CH"/>
        </w:rPr>
        <w:t>le BDT a mis en o</w:t>
      </w:r>
      <w:r w:rsidR="00D5647A">
        <w:rPr>
          <w:lang w:val="fr-CH"/>
        </w:rPr>
        <w:t>euvre des activités au titre de 14 </w:t>
      </w:r>
      <w:r w:rsidRPr="00A9327A">
        <w:rPr>
          <w:lang w:val="fr-CH"/>
        </w:rPr>
        <w:t xml:space="preserve">projets de coopération technique pour un montant total de </w:t>
      </w:r>
      <w:r w:rsidR="00D5647A">
        <w:rPr>
          <w:lang w:val="fr-CH"/>
        </w:rPr>
        <w:t xml:space="preserve">1,4 million </w:t>
      </w:r>
      <w:r w:rsidRPr="00A9327A">
        <w:rPr>
          <w:lang w:val="fr-CH"/>
        </w:rPr>
        <w:t xml:space="preserve">CHF </w:t>
      </w:r>
      <w:r w:rsidR="00D5647A">
        <w:rPr>
          <w:lang w:val="fr-CH"/>
        </w:rPr>
        <w:t>environ</w:t>
      </w:r>
      <w:r w:rsidRPr="00A9327A">
        <w:rPr>
          <w:lang w:val="fr-CH"/>
        </w:rPr>
        <w:t xml:space="preserve">, en collaboration avec </w:t>
      </w:r>
      <w:r w:rsidR="006834CA">
        <w:rPr>
          <w:lang w:val="fr-CH"/>
        </w:rPr>
        <w:t>l</w:t>
      </w:r>
      <w:r w:rsidRPr="00A9327A">
        <w:rPr>
          <w:lang w:val="fr-CH"/>
        </w:rPr>
        <w:t xml:space="preserve">es Etats Membres. En outre, des activités </w:t>
      </w:r>
      <w:r w:rsidR="006834CA">
        <w:rPr>
          <w:lang w:val="fr-CH"/>
        </w:rPr>
        <w:t>relatives à</w:t>
      </w:r>
      <w:r w:rsidRPr="00A9327A">
        <w:rPr>
          <w:lang w:val="fr-CH"/>
        </w:rPr>
        <w:t xml:space="preserve"> 40 </w:t>
      </w:r>
      <w:r w:rsidR="006834CA">
        <w:rPr>
          <w:lang w:val="fr-CH"/>
        </w:rPr>
        <w:t>mesures</w:t>
      </w:r>
      <w:r w:rsidRPr="00A9327A">
        <w:rPr>
          <w:lang w:val="fr-CH"/>
        </w:rPr>
        <w:t xml:space="preserve"> ont été mises en oeuvre pour un montant de 371 000 CHF.</w:t>
      </w:r>
    </w:p>
    <w:p w14:paraId="30D56CFD" w14:textId="3A14C073" w:rsidR="002735DB" w:rsidRPr="00A9327A" w:rsidRDefault="006F6300" w:rsidP="00080985">
      <w:pPr>
        <w:rPr>
          <w:lang w:val="fr-CH"/>
        </w:rPr>
      </w:pPr>
      <w:r w:rsidRPr="00A9327A">
        <w:rPr>
          <w:lang w:val="fr-CH"/>
        </w:rPr>
        <w:t>2.7.2</w:t>
      </w:r>
      <w:r w:rsidRPr="00A9327A">
        <w:rPr>
          <w:lang w:val="fr-CH"/>
        </w:rPr>
        <w:tab/>
      </w:r>
      <w:r w:rsidR="002735DB" w:rsidRPr="00A9327A">
        <w:rPr>
          <w:szCs w:val="24"/>
          <w:lang w:val="fr-CH"/>
        </w:rPr>
        <w:t>La</w:t>
      </w:r>
      <w:r w:rsidR="002735DB" w:rsidRPr="00A9327A">
        <w:rPr>
          <w:lang w:val="fr-CH"/>
        </w:rPr>
        <w:t xml:space="preserve"> priorité a été accordée au renforcement des capacités et à la fourniture d</w:t>
      </w:r>
      <w:r w:rsidR="00EC06CA" w:rsidRPr="00A9327A">
        <w:rPr>
          <w:lang w:val="fr-CH"/>
        </w:rPr>
        <w:t>'</w:t>
      </w:r>
      <w:r w:rsidR="002735DB" w:rsidRPr="00A9327A">
        <w:rPr>
          <w:lang w:val="fr-CH"/>
        </w:rPr>
        <w:t xml:space="preserve">une assistance spécialisée </w:t>
      </w:r>
      <w:r w:rsidR="002735DB" w:rsidRPr="00A9327A">
        <w:rPr>
          <w:color w:val="000000"/>
          <w:lang w:val="fr-CH"/>
        </w:rPr>
        <w:t>dans les domaines suivants: gestion du spectre et élaboration de</w:t>
      </w:r>
      <w:r w:rsidRPr="00A9327A">
        <w:rPr>
          <w:color w:val="000000"/>
          <w:lang w:val="fr-CH"/>
        </w:rPr>
        <w:t xml:space="preserve"> plans, de politiques et de cadres réglementaires en matière de contrôle du spectre, cybersécurité et protection en ligne des enfants, </w:t>
      </w:r>
      <w:r w:rsidR="002735DB" w:rsidRPr="00A9327A">
        <w:rPr>
          <w:color w:val="000000"/>
          <w:lang w:val="fr-CH"/>
        </w:rPr>
        <w:t>l</w:t>
      </w:r>
      <w:r w:rsidRPr="00A9327A">
        <w:rPr>
          <w:color w:val="000000"/>
          <w:lang w:val="fr-CH"/>
        </w:rPr>
        <w:t>arge bande, conformité,</w:t>
      </w:r>
      <w:r w:rsidR="002735DB" w:rsidRPr="00A9327A">
        <w:rPr>
          <w:color w:val="000000"/>
          <w:lang w:val="fr-CH"/>
        </w:rPr>
        <w:t xml:space="preserve"> interopérabilité</w:t>
      </w:r>
      <w:r w:rsidRPr="00A9327A">
        <w:rPr>
          <w:color w:val="000000"/>
          <w:lang w:val="fr-CH"/>
        </w:rPr>
        <w:t xml:space="preserve"> et homologations</w:t>
      </w:r>
      <w:r w:rsidR="002735DB" w:rsidRPr="00A9327A">
        <w:rPr>
          <w:color w:val="000000"/>
          <w:lang w:val="fr-CH"/>
        </w:rPr>
        <w:t>, radiodiffusion, applications TIC, octroi de licences</w:t>
      </w:r>
      <w:r w:rsidRPr="00A9327A">
        <w:rPr>
          <w:color w:val="000000"/>
          <w:lang w:val="fr-CH"/>
        </w:rPr>
        <w:t xml:space="preserve"> postconvergence</w:t>
      </w:r>
      <w:r w:rsidR="002735DB" w:rsidRPr="00A9327A">
        <w:rPr>
          <w:color w:val="000000"/>
          <w:lang w:val="fr-CH"/>
        </w:rPr>
        <w:t>,</w:t>
      </w:r>
      <w:r w:rsidRPr="00A9327A">
        <w:rPr>
          <w:color w:val="000000"/>
          <w:lang w:val="fr-CH"/>
        </w:rPr>
        <w:t xml:space="preserve"> </w:t>
      </w:r>
      <w:r w:rsidR="002735DB" w:rsidRPr="00A9327A">
        <w:rPr>
          <w:color w:val="000000"/>
          <w:lang w:val="fr-CH"/>
        </w:rPr>
        <w:t xml:space="preserve">qualité de service, indicateurs et statistiques relatifs aux TIC, Internet des objets, </w:t>
      </w:r>
      <w:r w:rsidR="002735DB" w:rsidRPr="00A9327A">
        <w:rPr>
          <w:lang w:val="fr-CH"/>
        </w:rPr>
        <w:t>échange Internet,</w:t>
      </w:r>
      <w:r w:rsidRPr="00A9327A">
        <w:rPr>
          <w:lang w:val="fr-CH"/>
        </w:rPr>
        <w:t xml:space="preserve"> </w:t>
      </w:r>
      <w:r w:rsidRPr="00A9327A">
        <w:rPr>
          <w:color w:val="000000"/>
          <w:lang w:val="fr-CH"/>
        </w:rPr>
        <w:t xml:space="preserve">interconnexion des réseaux de fourniture de contenus et application du protocole IPv6, </w:t>
      </w:r>
      <w:r w:rsidR="00925C92" w:rsidRPr="00A9327A">
        <w:rPr>
          <w:color w:val="000000"/>
          <w:lang w:val="fr-CH"/>
        </w:rPr>
        <w:t>les TIC en faveur</w:t>
      </w:r>
      <w:r w:rsidR="006834CA">
        <w:rPr>
          <w:color w:val="000000"/>
          <w:lang w:val="fr-CH"/>
        </w:rPr>
        <w:t xml:space="preserve"> de l'innovation et l'entrepreneu</w:t>
      </w:r>
      <w:r w:rsidR="00925C92" w:rsidRPr="00A9327A">
        <w:rPr>
          <w:color w:val="000000"/>
          <w:lang w:val="fr-CH"/>
        </w:rPr>
        <w:t>riat, les TIC en faveur de l'autonomisation des femmes, cybergouvernance, villes intelligentes et durables,</w:t>
      </w:r>
      <w:r w:rsidR="002735DB" w:rsidRPr="00A9327A">
        <w:rPr>
          <w:lang w:val="fr-CH"/>
        </w:rPr>
        <w:t xml:space="preserve"> cyberagriculture. D</w:t>
      </w:r>
      <w:r w:rsidR="00EC06CA" w:rsidRPr="00A9327A">
        <w:rPr>
          <w:lang w:val="fr-CH"/>
        </w:rPr>
        <w:t>'</w:t>
      </w:r>
      <w:r w:rsidR="002735DB" w:rsidRPr="00A9327A">
        <w:rPr>
          <w:lang w:val="fr-CH"/>
        </w:rPr>
        <w:t>autres formes d</w:t>
      </w:r>
      <w:r w:rsidR="00EC06CA" w:rsidRPr="00A9327A">
        <w:rPr>
          <w:lang w:val="fr-CH"/>
        </w:rPr>
        <w:t>'</w:t>
      </w:r>
      <w:r w:rsidR="002735DB" w:rsidRPr="00A9327A">
        <w:rPr>
          <w:color w:val="000000"/>
          <w:lang w:val="fr-CH"/>
        </w:rPr>
        <w:t xml:space="preserve">assistance technique et </w:t>
      </w:r>
      <w:r w:rsidR="006834CA">
        <w:rPr>
          <w:color w:val="000000"/>
          <w:lang w:val="fr-CH"/>
        </w:rPr>
        <w:t xml:space="preserve">en matière de réglementation </w:t>
      </w:r>
      <w:r w:rsidR="002735DB" w:rsidRPr="00A9327A">
        <w:rPr>
          <w:color w:val="000000"/>
          <w:lang w:val="fr-CH"/>
        </w:rPr>
        <w:t>ont également été proposées</w:t>
      </w:r>
      <w:r w:rsidR="002735DB" w:rsidRPr="00A9327A">
        <w:rPr>
          <w:lang w:val="fr-CH"/>
        </w:rPr>
        <w:t>.</w:t>
      </w:r>
    </w:p>
    <w:p w14:paraId="06C2E5E7" w14:textId="4AF40EC4" w:rsidR="002735DB" w:rsidRPr="00A9327A" w:rsidRDefault="00925C92" w:rsidP="00080985">
      <w:pPr>
        <w:rPr>
          <w:lang w:val="fr-CH"/>
        </w:rPr>
      </w:pPr>
      <w:r w:rsidRPr="00A9327A">
        <w:rPr>
          <w:lang w:val="fr-CH"/>
        </w:rPr>
        <w:t>2.7.3</w:t>
      </w:r>
      <w:r w:rsidR="002735DB" w:rsidRPr="00A9327A">
        <w:rPr>
          <w:lang w:val="fr-CH"/>
        </w:rPr>
        <w:tab/>
        <w:t>Dans le domaine de la formation, on a continué de mettre l'accent, entre autres, sur les technologies intelligentes et durables, les cyberapplications, l'informatique en nuage, la sécurité de l'infrastructure IPv6 et le passage à ce protocole, les points d'échange Internet, la cybersécurité et la protection en ligne des enfants, les indicateurs et statistiques relatifs aux TIC,</w:t>
      </w:r>
      <w:r w:rsidR="008F1DFA" w:rsidRPr="00A9327A">
        <w:rPr>
          <w:lang w:val="fr-CH"/>
        </w:rPr>
        <w:t xml:space="preserve"> </w:t>
      </w:r>
      <w:r w:rsidR="002735DB" w:rsidRPr="00A9327A">
        <w:rPr>
          <w:lang w:val="fr-CH"/>
        </w:rPr>
        <w:t>les technologies large bande et les feuilles de route dans ce domaine, la conformité et l'interopérabilité, l</w:t>
      </w:r>
      <w:r w:rsidR="00EC06CA" w:rsidRPr="00A9327A">
        <w:rPr>
          <w:lang w:val="fr-CH"/>
        </w:rPr>
        <w:t>'</w:t>
      </w:r>
      <w:r w:rsidR="002735DB" w:rsidRPr="00A9327A">
        <w:rPr>
          <w:lang w:val="fr-CH"/>
        </w:rPr>
        <w:t>Internet des objets, les aspects économiques du spectre, les outils de surveillance et d</w:t>
      </w:r>
      <w:r w:rsidR="00EC06CA" w:rsidRPr="00A9327A">
        <w:rPr>
          <w:lang w:val="fr-CH"/>
        </w:rPr>
        <w:t>'</w:t>
      </w:r>
      <w:r w:rsidR="002735DB" w:rsidRPr="00A9327A">
        <w:rPr>
          <w:lang w:val="fr-CH"/>
        </w:rPr>
        <w:t xml:space="preserve">automatisation (système </w:t>
      </w:r>
      <w:r w:rsidR="002735DB" w:rsidRPr="00A9327A">
        <w:rPr>
          <w:rFonts w:asciiTheme="minorHAnsi" w:eastAsiaTheme="minorHAnsi" w:hAnsiTheme="minorHAnsi" w:cstheme="minorBidi"/>
          <w:szCs w:val="24"/>
          <w:lang w:val="fr-CH"/>
        </w:rPr>
        <w:t>SMS4DC</w:t>
      </w:r>
      <w:r w:rsidR="002735DB" w:rsidRPr="00A9327A">
        <w:rPr>
          <w:lang w:val="fr-CH"/>
        </w:rPr>
        <w:t xml:space="preserve"> ), la préparation des conférences internationales, l</w:t>
      </w:r>
      <w:r w:rsidR="00EC06CA" w:rsidRPr="00A9327A">
        <w:rPr>
          <w:lang w:val="fr-CH"/>
        </w:rPr>
        <w:t>'</w:t>
      </w:r>
      <w:r w:rsidR="002735DB" w:rsidRPr="00A9327A">
        <w:rPr>
          <w:lang w:val="fr-CH"/>
        </w:rPr>
        <w:t>élaboration de cyberstratégies (agriculture, santé, services postaux, télécommunicatio</w:t>
      </w:r>
      <w:r w:rsidRPr="00A9327A">
        <w:rPr>
          <w:lang w:val="fr-CH"/>
        </w:rPr>
        <w:t xml:space="preserve">ns), la modélisation des coûts pour la vente </w:t>
      </w:r>
      <w:r w:rsidR="006834CA">
        <w:rPr>
          <w:lang w:val="fr-CH"/>
        </w:rPr>
        <w:t>en</w:t>
      </w:r>
      <w:r w:rsidRPr="00A9327A">
        <w:rPr>
          <w:lang w:val="fr-CH"/>
        </w:rPr>
        <w:t xml:space="preserve"> gros et </w:t>
      </w:r>
      <w:r w:rsidR="006834CA">
        <w:rPr>
          <w:lang w:val="fr-CH"/>
        </w:rPr>
        <w:t>en</w:t>
      </w:r>
      <w:r w:rsidRPr="00A9327A">
        <w:rPr>
          <w:lang w:val="fr-CH"/>
        </w:rPr>
        <w:t xml:space="preserve"> détail ainsi que pour les réseaux mobiles, </w:t>
      </w:r>
      <w:r w:rsidR="002735DB" w:rsidRPr="00A9327A">
        <w:rPr>
          <w:lang w:val="fr-CH"/>
        </w:rPr>
        <w:t>et la radiodiffusion.</w:t>
      </w:r>
    </w:p>
    <w:p w14:paraId="7DFA8709" w14:textId="77777777" w:rsidR="002735DB" w:rsidRPr="00A9327A" w:rsidRDefault="002735DB" w:rsidP="00080985">
      <w:pPr>
        <w:pStyle w:val="Headingb"/>
        <w:rPr>
          <w:lang w:val="fr-CH"/>
        </w:rPr>
      </w:pPr>
      <w:r w:rsidRPr="00A9327A">
        <w:rPr>
          <w:lang w:val="fr-CH"/>
        </w:rPr>
        <w:t>2.</w:t>
      </w:r>
      <w:r w:rsidR="00B204E3" w:rsidRPr="00A9327A">
        <w:rPr>
          <w:lang w:val="fr-CH"/>
        </w:rPr>
        <w:t>8</w:t>
      </w:r>
      <w:r w:rsidRPr="00A9327A">
        <w:rPr>
          <w:lang w:val="fr-CH"/>
        </w:rPr>
        <w:tab/>
        <w:t>Région de la CEI</w:t>
      </w:r>
    </w:p>
    <w:p w14:paraId="0F1B6659" w14:textId="38BB965F" w:rsidR="002735DB" w:rsidRPr="00A9327A" w:rsidRDefault="002735DB" w:rsidP="00080985">
      <w:pPr>
        <w:rPr>
          <w:lang w:val="fr-CH"/>
        </w:rPr>
      </w:pPr>
      <w:r w:rsidRPr="00A9327A">
        <w:rPr>
          <w:lang w:val="fr-CH"/>
        </w:rPr>
        <w:t>2.</w:t>
      </w:r>
      <w:r w:rsidR="00B204E3" w:rsidRPr="00A9327A">
        <w:rPr>
          <w:lang w:val="fr-CH"/>
        </w:rPr>
        <w:t>8.1</w:t>
      </w:r>
      <w:r w:rsidR="00B204E3" w:rsidRPr="00A9327A">
        <w:rPr>
          <w:lang w:val="fr-CH"/>
        </w:rPr>
        <w:tab/>
        <w:t xml:space="preserve">En 2017, le BDT a mis en oeuvre des activités </w:t>
      </w:r>
      <w:r w:rsidR="006834CA">
        <w:rPr>
          <w:lang w:val="fr-CH"/>
        </w:rPr>
        <w:t>relatives à</w:t>
      </w:r>
      <w:r w:rsidR="00B204E3" w:rsidRPr="00A9327A">
        <w:rPr>
          <w:lang w:val="fr-CH"/>
        </w:rPr>
        <w:t xml:space="preserve"> 19 </w:t>
      </w:r>
      <w:r w:rsidR="006834CA">
        <w:rPr>
          <w:lang w:val="fr-CH"/>
        </w:rPr>
        <w:t>mesures pour un montant de </w:t>
      </w:r>
      <w:r w:rsidR="00B204E3" w:rsidRPr="00A9327A">
        <w:rPr>
          <w:lang w:val="fr-CH"/>
        </w:rPr>
        <w:t>231 000 CHF.</w:t>
      </w:r>
    </w:p>
    <w:p w14:paraId="29322466" w14:textId="50409CD6" w:rsidR="00B204E3" w:rsidRPr="00A9327A" w:rsidRDefault="00B204E3" w:rsidP="00080985">
      <w:pPr>
        <w:rPr>
          <w:rStyle w:val="Hyperlink"/>
          <w:rFonts w:asciiTheme="minorHAnsi" w:hAnsiTheme="minorHAnsi"/>
          <w:szCs w:val="24"/>
          <w:lang w:val="fr-CH"/>
        </w:rPr>
      </w:pPr>
      <w:r w:rsidRPr="00A9327A">
        <w:rPr>
          <w:lang w:val="fr-CH"/>
        </w:rPr>
        <w:t>2.8.2</w:t>
      </w:r>
      <w:r w:rsidRPr="00A9327A">
        <w:rPr>
          <w:lang w:val="fr-CH"/>
        </w:rPr>
        <w:tab/>
        <w:t>Les cinq initiatives régionales adoptées par la CMDT</w:t>
      </w:r>
      <w:r w:rsidR="00BF07AB">
        <w:rPr>
          <w:lang w:val="fr-CH"/>
        </w:rPr>
        <w:t>-14</w:t>
      </w:r>
      <w:r w:rsidRPr="00A9327A">
        <w:rPr>
          <w:lang w:val="fr-CH"/>
        </w:rPr>
        <w:t xml:space="preserve"> ont été mises en oeuvre. En 2017</w:t>
      </w:r>
      <w:r w:rsidR="00BF07AB">
        <w:rPr>
          <w:lang w:val="fr-CH"/>
        </w:rPr>
        <w:t>,</w:t>
      </w:r>
      <w:r w:rsidR="00C2703D" w:rsidRPr="00A9327A">
        <w:rPr>
          <w:lang w:val="fr-CH"/>
        </w:rPr>
        <w:t xml:space="preserve"> dans la région de la CEI</w:t>
      </w:r>
      <w:r w:rsidRPr="00A9327A">
        <w:rPr>
          <w:lang w:val="fr-CH"/>
        </w:rPr>
        <w:t xml:space="preserve">, les initiatives régionales </w:t>
      </w:r>
      <w:r w:rsidR="00C2703D" w:rsidRPr="00A9327A">
        <w:rPr>
          <w:lang w:val="fr-CH"/>
        </w:rPr>
        <w:t xml:space="preserve">ont notamment produit les principaux résultats suivants: création d'un </w:t>
      </w:r>
      <w:r w:rsidR="00C2703D" w:rsidRPr="00A9327A">
        <w:rPr>
          <w:color w:val="000000"/>
          <w:lang w:val="fr-CH"/>
        </w:rPr>
        <w:t>Centre d'accès et de formation à l'Internet destiné aux personnes malentendantes à Vitebsk (Républ</w:t>
      </w:r>
      <w:r w:rsidR="00BF07AB">
        <w:rPr>
          <w:color w:val="000000"/>
          <w:lang w:val="fr-CH"/>
        </w:rPr>
        <w:t>ique du Bélarus), offrant cinq postes de travail, et mise en place </w:t>
      </w:r>
      <w:r w:rsidR="00C2703D" w:rsidRPr="00A9327A">
        <w:rPr>
          <w:color w:val="000000"/>
          <w:lang w:val="fr-CH"/>
        </w:rPr>
        <w:t xml:space="preserve">d'un logiciel aidant à choisir la solution la plus réaliste en </w:t>
      </w:r>
      <w:r w:rsidR="00BF07AB">
        <w:rPr>
          <w:color w:val="000000"/>
          <w:lang w:val="fr-CH"/>
        </w:rPr>
        <w:t>matière de déploiement du large </w:t>
      </w:r>
      <w:r w:rsidR="00C2703D" w:rsidRPr="00A9327A">
        <w:rPr>
          <w:color w:val="000000"/>
          <w:lang w:val="fr-CH"/>
        </w:rPr>
        <w:t xml:space="preserve">bande dans toutes les villes et les communautés </w:t>
      </w:r>
      <w:r w:rsidR="00D31E90">
        <w:rPr>
          <w:color w:val="000000"/>
          <w:lang w:val="fr-CH"/>
        </w:rPr>
        <w:t>de</w:t>
      </w:r>
      <w:r w:rsidR="00C2703D" w:rsidRPr="00A9327A">
        <w:rPr>
          <w:color w:val="000000"/>
          <w:lang w:val="fr-CH"/>
        </w:rPr>
        <w:t xml:space="preserve"> la CEI et en Géorgie (</w:t>
      </w:r>
      <w:hyperlink r:id="rId17" w:history="1">
        <w:r w:rsidR="00C2703D" w:rsidRPr="00A9327A">
          <w:rPr>
            <w:rStyle w:val="Hyperlink"/>
            <w:rFonts w:asciiTheme="minorHAnsi" w:hAnsiTheme="minorHAnsi"/>
            <w:szCs w:val="24"/>
            <w:lang w:val="fr-CH"/>
          </w:rPr>
          <w:t>https://broadbandcalculator.online</w:t>
        </w:r>
      </w:hyperlink>
      <w:r w:rsidR="00C2703D" w:rsidRPr="00A9327A">
        <w:rPr>
          <w:rStyle w:val="Hyperlink"/>
          <w:rFonts w:asciiTheme="minorHAnsi" w:hAnsiTheme="minorHAnsi"/>
          <w:color w:val="auto"/>
          <w:szCs w:val="24"/>
          <w:u w:val="none"/>
          <w:lang w:val="fr-CH"/>
        </w:rPr>
        <w:t>).</w:t>
      </w:r>
    </w:p>
    <w:p w14:paraId="03AB1C26" w14:textId="0A29C4B9" w:rsidR="00A918CE" w:rsidRPr="00A9327A" w:rsidRDefault="00C2703D" w:rsidP="00080985">
      <w:pPr>
        <w:rPr>
          <w:lang w:val="fr-CH"/>
        </w:rPr>
      </w:pPr>
      <w:r w:rsidRPr="00A9327A">
        <w:rPr>
          <w:lang w:val="fr-CH"/>
        </w:rPr>
        <w:t>2.8.3</w:t>
      </w:r>
      <w:r w:rsidRPr="00A9327A">
        <w:rPr>
          <w:lang w:val="fr-CH"/>
        </w:rPr>
        <w:tab/>
        <w:t>A la suite de la demande de membres de l'UIT issus de la région de la CEI,</w:t>
      </w:r>
      <w:r w:rsidR="00D31E90">
        <w:rPr>
          <w:lang w:val="fr-CH"/>
        </w:rPr>
        <w:t xml:space="preserve"> en 2017,</w:t>
      </w:r>
      <w:r w:rsidRPr="00A9327A">
        <w:rPr>
          <w:lang w:val="fr-CH"/>
        </w:rPr>
        <w:t xml:space="preserve"> les activités de renforcement des capacités et les débats </w:t>
      </w:r>
      <w:r w:rsidR="00D31E90">
        <w:rPr>
          <w:lang w:val="fr-CH"/>
        </w:rPr>
        <w:t>menés au niveau régional ont notamment porté</w:t>
      </w:r>
      <w:r w:rsidRPr="00A9327A">
        <w:rPr>
          <w:lang w:val="fr-CH"/>
        </w:rPr>
        <w:t xml:space="preserve"> sur l'innovation, la gestion du spectre et la radiodiffusion, les villes intelligentes et durables, les réseaux futurs, l'Internet des objets, les services financiers numériques, les questions de politique et de réglementation, ainsi que sur la cybersécurité</w:t>
      </w:r>
      <w:r w:rsidR="007A42BF" w:rsidRPr="00A9327A">
        <w:rPr>
          <w:lang w:val="fr-CH"/>
        </w:rPr>
        <w:t xml:space="preserve">. </w:t>
      </w:r>
      <w:r w:rsidR="005C73D2" w:rsidRPr="00A9327A">
        <w:rPr>
          <w:lang w:val="fr-CH"/>
        </w:rPr>
        <w:t>Tout au long</w:t>
      </w:r>
      <w:r w:rsidR="00D31E90">
        <w:rPr>
          <w:lang w:val="fr-CH"/>
        </w:rPr>
        <w:t xml:space="preserve"> de l'année, 18 </w:t>
      </w:r>
      <w:r w:rsidR="007A42BF" w:rsidRPr="00A9327A">
        <w:rPr>
          <w:lang w:val="fr-CH"/>
        </w:rPr>
        <w:t>manifestations régionales ont été organisées et s</w:t>
      </w:r>
      <w:r w:rsidR="00D31E90">
        <w:rPr>
          <w:lang w:val="fr-CH"/>
        </w:rPr>
        <w:t>e sont déroulées en présence de </w:t>
      </w:r>
      <w:r w:rsidR="007A42BF" w:rsidRPr="00A9327A">
        <w:rPr>
          <w:lang w:val="fr-CH"/>
        </w:rPr>
        <w:t>1 170 participants issus de plus de 30 pays au total. Une assistance technique a été apportée pour répondre aux demandes des Etats Membres de l'UIT dans la région dans les domaines suivants</w:t>
      </w:r>
      <w:r w:rsidR="00A918CE" w:rsidRPr="00A9327A">
        <w:rPr>
          <w:lang w:val="fr-CH"/>
        </w:rPr>
        <w:t>, notamment</w:t>
      </w:r>
      <w:r w:rsidR="007A42BF" w:rsidRPr="00A9327A">
        <w:rPr>
          <w:lang w:val="fr-CH"/>
        </w:rPr>
        <w:t xml:space="preserve">: formation des professeurs d'informatique en zone rurale, amélioration des installations d'enseignement à distance pour le renforcement des capacités, recherche concernant les </w:t>
      </w:r>
      <w:r w:rsidR="00D31E90">
        <w:rPr>
          <w:lang w:val="fr-CH"/>
        </w:rPr>
        <w:t>bonne</w:t>
      </w:r>
      <w:r w:rsidR="007A42BF" w:rsidRPr="00A9327A">
        <w:rPr>
          <w:lang w:val="fr-CH"/>
        </w:rPr>
        <w:t>s pratiques en matière de réglementation, et évaluation spécialisée de la méthodologie de tarification</w:t>
      </w:r>
      <w:r w:rsidR="00A918CE" w:rsidRPr="00A9327A">
        <w:rPr>
          <w:lang w:val="fr-CH"/>
        </w:rPr>
        <w:t xml:space="preserve"> du large bande.</w:t>
      </w:r>
    </w:p>
    <w:p w14:paraId="44730CB5" w14:textId="77777777" w:rsidR="002735DB" w:rsidRPr="00A9327A" w:rsidRDefault="00A918CE" w:rsidP="00080985">
      <w:pPr>
        <w:pStyle w:val="Heading2"/>
        <w:rPr>
          <w:lang w:val="fr-CH"/>
        </w:rPr>
      </w:pPr>
      <w:r w:rsidRPr="00A9327A">
        <w:rPr>
          <w:lang w:val="fr-CH"/>
        </w:rPr>
        <w:t>2.9</w:t>
      </w:r>
      <w:r w:rsidR="002735DB" w:rsidRPr="00A9327A">
        <w:rPr>
          <w:lang w:val="fr-CH"/>
        </w:rPr>
        <w:tab/>
        <w:t>Région Europe</w:t>
      </w:r>
    </w:p>
    <w:p w14:paraId="0CBB5DB0" w14:textId="62600D3B" w:rsidR="002735DB" w:rsidRPr="00A9327A" w:rsidRDefault="002735DB" w:rsidP="00080985">
      <w:pPr>
        <w:tabs>
          <w:tab w:val="clear" w:pos="1134"/>
          <w:tab w:val="left" w:pos="709"/>
        </w:tabs>
        <w:rPr>
          <w:szCs w:val="24"/>
          <w:lang w:val="fr-CH"/>
        </w:rPr>
      </w:pPr>
      <w:r w:rsidRPr="00A9327A">
        <w:rPr>
          <w:szCs w:val="24"/>
          <w:lang w:val="fr-CH"/>
        </w:rPr>
        <w:t>2.</w:t>
      </w:r>
      <w:r w:rsidR="00A918CE" w:rsidRPr="00A9327A">
        <w:rPr>
          <w:szCs w:val="24"/>
          <w:lang w:val="fr-CH"/>
        </w:rPr>
        <w:t>9.1</w:t>
      </w:r>
      <w:r w:rsidR="00A918CE" w:rsidRPr="00A9327A">
        <w:rPr>
          <w:szCs w:val="24"/>
          <w:lang w:val="fr-CH"/>
        </w:rPr>
        <w:tab/>
      </w:r>
      <w:r w:rsidR="00D31E90">
        <w:rPr>
          <w:szCs w:val="24"/>
          <w:lang w:val="fr-CH"/>
        </w:rPr>
        <w:t>En 2017, d</w:t>
      </w:r>
      <w:r w:rsidR="00661947" w:rsidRPr="00A9327A">
        <w:rPr>
          <w:szCs w:val="24"/>
          <w:lang w:val="fr-CH"/>
        </w:rPr>
        <w:t xml:space="preserve">ans la région Europe, le BDT a mis en oeuvre </w:t>
      </w:r>
      <w:r w:rsidR="00D31E90">
        <w:rPr>
          <w:szCs w:val="24"/>
          <w:lang w:val="fr-CH"/>
        </w:rPr>
        <w:t xml:space="preserve">des activités au titre de </w:t>
      </w:r>
      <w:r w:rsidR="00661947" w:rsidRPr="00A9327A">
        <w:rPr>
          <w:szCs w:val="24"/>
          <w:lang w:val="fr-CH"/>
        </w:rPr>
        <w:t>deux projets de coopération technique, pour un montant total de 415 000 CHF</w:t>
      </w:r>
      <w:r w:rsidR="00D31E90">
        <w:rPr>
          <w:szCs w:val="24"/>
          <w:lang w:val="fr-CH"/>
        </w:rPr>
        <w:t>,</w:t>
      </w:r>
      <w:r w:rsidR="00D31E90" w:rsidRPr="00D31E90">
        <w:rPr>
          <w:szCs w:val="24"/>
          <w:lang w:val="fr-CH"/>
        </w:rPr>
        <w:t xml:space="preserve"> </w:t>
      </w:r>
      <w:r w:rsidR="00D31E90" w:rsidRPr="00A9327A">
        <w:rPr>
          <w:szCs w:val="24"/>
          <w:lang w:val="fr-CH"/>
        </w:rPr>
        <w:t>en collaboration avec les Etats Membres</w:t>
      </w:r>
      <w:r w:rsidR="00661947" w:rsidRPr="00A9327A">
        <w:rPr>
          <w:szCs w:val="24"/>
          <w:lang w:val="fr-CH"/>
        </w:rPr>
        <w:t>. En outre, des activités relatives à 16 mesures ont été mises en oeuvre pour un montant de 223 000 CHF.</w:t>
      </w:r>
    </w:p>
    <w:p w14:paraId="5753DF35" w14:textId="77777777" w:rsidR="00BD7CEE" w:rsidRDefault="00BD7CEE" w:rsidP="00080985">
      <w:pPr>
        <w:tabs>
          <w:tab w:val="clear" w:pos="1134"/>
          <w:tab w:val="left" w:pos="709"/>
        </w:tabs>
        <w:rPr>
          <w:szCs w:val="24"/>
          <w:lang w:val="fr-CH"/>
        </w:rPr>
      </w:pPr>
      <w:r>
        <w:rPr>
          <w:szCs w:val="24"/>
          <w:lang w:val="fr-CH"/>
        </w:rPr>
        <w:br w:type="page"/>
      </w:r>
    </w:p>
    <w:p w14:paraId="0B05EBED" w14:textId="1D54BFEE" w:rsidR="00661947" w:rsidRPr="00A9327A" w:rsidRDefault="00661947" w:rsidP="00080985">
      <w:pPr>
        <w:tabs>
          <w:tab w:val="clear" w:pos="1134"/>
          <w:tab w:val="left" w:pos="709"/>
        </w:tabs>
        <w:rPr>
          <w:color w:val="000000"/>
          <w:lang w:val="fr-CH"/>
        </w:rPr>
      </w:pPr>
      <w:r w:rsidRPr="00A9327A">
        <w:rPr>
          <w:szCs w:val="24"/>
          <w:lang w:val="fr-CH"/>
        </w:rPr>
        <w:t>2.9.2</w:t>
      </w:r>
      <w:r w:rsidRPr="00A9327A">
        <w:rPr>
          <w:szCs w:val="24"/>
          <w:lang w:val="fr-CH"/>
        </w:rPr>
        <w:tab/>
      </w:r>
      <w:r w:rsidRPr="00A9327A">
        <w:rPr>
          <w:color w:val="000000"/>
          <w:lang w:val="fr-CH"/>
        </w:rPr>
        <w:t xml:space="preserve">Les initiatives visant à renforcer le mécanisme de mise en oeuvre pour la région se sont poursuivies, notamment par le biais d'une coordination des activités avec différentes organisations concernées de la région, comme la Conférence européenne des administrations des postes et des télécommunications (CEPT), l'Union européenne (UE), la Commission européenne, le Bureau européen des communications (ECO), l'Agence européenne chargée de la sécurité des réseaux et de l'information (ENISA), </w:t>
      </w:r>
      <w:r w:rsidR="00D31E90">
        <w:rPr>
          <w:color w:val="000000"/>
          <w:lang w:val="fr-CH"/>
        </w:rPr>
        <w:t xml:space="preserve">le </w:t>
      </w:r>
      <w:r w:rsidRPr="00A9327A">
        <w:rPr>
          <w:color w:val="000000"/>
          <w:lang w:val="fr-CH"/>
        </w:rPr>
        <w:t xml:space="preserve">Conseil de coopération régionale (RCC), </w:t>
      </w:r>
      <w:r w:rsidR="005C73D2" w:rsidRPr="00A9327A">
        <w:rPr>
          <w:color w:val="000000"/>
          <w:lang w:val="fr-CH"/>
        </w:rPr>
        <w:t xml:space="preserve">le Centre international pour la promotion des entreprises (ICPE) et </w:t>
      </w:r>
      <w:r w:rsidRPr="00A9327A">
        <w:rPr>
          <w:color w:val="000000"/>
          <w:lang w:val="fr-CH"/>
        </w:rPr>
        <w:t xml:space="preserve">des entités du système des Nations Unies, notamment </w:t>
      </w:r>
      <w:r w:rsidR="00D31E90">
        <w:rPr>
          <w:color w:val="000000"/>
          <w:lang w:val="fr-CH"/>
        </w:rPr>
        <w:t xml:space="preserve">la Commission </w:t>
      </w:r>
      <w:r w:rsidRPr="00A9327A">
        <w:rPr>
          <w:color w:val="000000"/>
          <w:lang w:val="fr-CH"/>
        </w:rPr>
        <w:t xml:space="preserve">économique des Nations Unies </w:t>
      </w:r>
      <w:r w:rsidR="00D31E90">
        <w:rPr>
          <w:color w:val="000000"/>
          <w:lang w:val="fr-CH"/>
        </w:rPr>
        <w:t>pour l'Europe (CEE/ONU)</w:t>
      </w:r>
      <w:r w:rsidRPr="00A9327A">
        <w:rPr>
          <w:color w:val="000000"/>
          <w:lang w:val="fr-CH"/>
        </w:rPr>
        <w:t>, le Groupe régional des Nations Unies pour le développement, l'Organisation des Nations Unies pour le développement industriel (ONUDI), la Conférence des Nations Unies sur le commerce et le développement (CNUCED)</w:t>
      </w:r>
      <w:r w:rsidR="005C73D2" w:rsidRPr="00A9327A">
        <w:rPr>
          <w:color w:val="000000"/>
          <w:lang w:val="fr-CH"/>
        </w:rPr>
        <w:t>, l'Organisation mondiale de la santé</w:t>
      </w:r>
      <w:r w:rsidRPr="00A9327A">
        <w:rPr>
          <w:color w:val="000000"/>
          <w:lang w:val="fr-CH"/>
        </w:rPr>
        <w:t xml:space="preserve"> </w:t>
      </w:r>
      <w:r w:rsidR="005C73D2" w:rsidRPr="00A9327A">
        <w:rPr>
          <w:color w:val="000000"/>
          <w:lang w:val="fr-CH"/>
        </w:rPr>
        <w:t xml:space="preserve">(OMS) </w:t>
      </w:r>
      <w:r w:rsidRPr="00A9327A">
        <w:rPr>
          <w:color w:val="000000"/>
          <w:lang w:val="fr-CH"/>
        </w:rPr>
        <w:t>et l'Organisation des Nations Unies pour l'alimentation et l'agriculture (FAO)</w:t>
      </w:r>
      <w:r w:rsidR="005C73D2" w:rsidRPr="00A9327A">
        <w:rPr>
          <w:color w:val="000000"/>
          <w:lang w:val="fr-CH"/>
        </w:rPr>
        <w:t xml:space="preserve">, ainsi que </w:t>
      </w:r>
      <w:r w:rsidR="00D31E90">
        <w:rPr>
          <w:color w:val="000000"/>
          <w:lang w:val="fr-CH"/>
        </w:rPr>
        <w:t>des équipes de pays des Nations </w:t>
      </w:r>
      <w:r w:rsidR="005C73D2" w:rsidRPr="00A9327A">
        <w:rPr>
          <w:color w:val="000000"/>
          <w:lang w:val="fr-CH"/>
        </w:rPr>
        <w:t xml:space="preserve">Unies. Tout au long de l'année, plus de 21 ateliers, séminaires et réunions de groupe d'experts consacrés à la radiodiffusion, au large bande, à l'accessibilité, à la cybersécurité, à l'innovation, </w:t>
      </w:r>
      <w:r w:rsidR="005C73D2" w:rsidRPr="005534E5">
        <w:rPr>
          <w:color w:val="000000"/>
          <w:lang w:val="fr-CH"/>
        </w:rPr>
        <w:t>aux</w:t>
      </w:r>
      <w:r w:rsidR="005C73D2" w:rsidRPr="00A9327A">
        <w:rPr>
          <w:color w:val="000000"/>
          <w:lang w:val="fr-CH"/>
        </w:rPr>
        <w:t xml:space="preserve"> </w:t>
      </w:r>
      <w:r w:rsidR="005C73D2" w:rsidRPr="005534E5">
        <w:rPr>
          <w:color w:val="000000"/>
          <w:lang w:val="fr-CH"/>
        </w:rPr>
        <w:t xml:space="preserve">TIC </w:t>
      </w:r>
      <w:r w:rsidR="00D31E90">
        <w:rPr>
          <w:color w:val="000000"/>
          <w:lang w:val="fr-CH"/>
        </w:rPr>
        <w:t>en lien avec</w:t>
      </w:r>
      <w:r w:rsidR="005C73D2" w:rsidRPr="005534E5">
        <w:rPr>
          <w:color w:val="000000"/>
          <w:lang w:val="fr-CH"/>
        </w:rPr>
        <w:t xml:space="preserve"> l'énergie et </w:t>
      </w:r>
      <w:r w:rsidR="00D31E90">
        <w:rPr>
          <w:color w:val="000000"/>
          <w:lang w:val="fr-CH"/>
        </w:rPr>
        <w:t xml:space="preserve">l'intensité </w:t>
      </w:r>
      <w:r w:rsidR="00B9147C" w:rsidRPr="005534E5">
        <w:rPr>
          <w:color w:val="000000"/>
          <w:lang w:val="fr-CH"/>
        </w:rPr>
        <w:t>des champs électromagnétiques</w:t>
      </w:r>
      <w:r w:rsidR="00D31E90">
        <w:rPr>
          <w:color w:val="000000"/>
          <w:lang w:val="fr-CH"/>
        </w:rPr>
        <w:t xml:space="preserve"> dans le contexte du déploiement de la 5G</w:t>
      </w:r>
      <w:r w:rsidR="00B9147C" w:rsidRPr="00A9327A">
        <w:rPr>
          <w:color w:val="000000"/>
          <w:lang w:val="fr-CH"/>
        </w:rPr>
        <w:t xml:space="preserve">, </w:t>
      </w:r>
      <w:r w:rsidR="005C73D2" w:rsidRPr="00A9327A">
        <w:rPr>
          <w:color w:val="000000"/>
          <w:lang w:val="fr-CH"/>
        </w:rPr>
        <w:t xml:space="preserve">et au renforcement des capacités humaines ont été organisés et ont attiré au total plus de </w:t>
      </w:r>
      <w:r w:rsidR="00B9147C" w:rsidRPr="00A9327A">
        <w:rPr>
          <w:color w:val="000000"/>
          <w:lang w:val="fr-CH"/>
        </w:rPr>
        <w:t>2</w:t>
      </w:r>
      <w:r w:rsidR="005C73D2" w:rsidRPr="00A9327A">
        <w:rPr>
          <w:color w:val="000000"/>
          <w:lang w:val="fr-CH"/>
        </w:rPr>
        <w:t xml:space="preserve"> </w:t>
      </w:r>
      <w:r w:rsidR="00B9147C" w:rsidRPr="00A9327A">
        <w:rPr>
          <w:color w:val="000000"/>
          <w:lang w:val="fr-CH"/>
        </w:rPr>
        <w:t>1</w:t>
      </w:r>
      <w:r w:rsidR="005C73D2" w:rsidRPr="00A9327A">
        <w:rPr>
          <w:color w:val="000000"/>
          <w:lang w:val="fr-CH"/>
        </w:rPr>
        <w:t>00 participants de plus de 35 pays</w:t>
      </w:r>
      <w:r w:rsidR="00B9147C" w:rsidRPr="00A9327A">
        <w:rPr>
          <w:color w:val="000000"/>
          <w:lang w:val="fr-CH"/>
        </w:rPr>
        <w:t xml:space="preserve">. Parallèlement, plus de 400 professionnels ont eu une opportunité de renforcer leurs capacités humaines en suivant l'une des 25 formations dispensées par le réseau </w:t>
      </w:r>
      <w:r w:rsidR="00D31E90">
        <w:rPr>
          <w:color w:val="000000"/>
          <w:lang w:val="fr-CH"/>
        </w:rPr>
        <w:t>européen de Centres d'excellence (CoE).</w:t>
      </w:r>
    </w:p>
    <w:p w14:paraId="7D38A568" w14:textId="66375523" w:rsidR="00B9147C" w:rsidRPr="00A9327A" w:rsidRDefault="00B9147C" w:rsidP="00BD7CEE">
      <w:pPr>
        <w:tabs>
          <w:tab w:val="clear" w:pos="1134"/>
          <w:tab w:val="left" w:pos="709"/>
        </w:tabs>
        <w:rPr>
          <w:color w:val="000000"/>
          <w:lang w:val="fr-CH"/>
        </w:rPr>
      </w:pPr>
      <w:r w:rsidRPr="00A9327A">
        <w:rPr>
          <w:color w:val="000000"/>
          <w:lang w:val="fr-CH"/>
        </w:rPr>
        <w:t>2.9.3</w:t>
      </w:r>
      <w:r w:rsidRPr="00A9327A">
        <w:rPr>
          <w:color w:val="000000"/>
          <w:lang w:val="fr-CH"/>
        </w:rPr>
        <w:tab/>
      </w:r>
      <w:r w:rsidR="0006115F" w:rsidRPr="00A9327A">
        <w:rPr>
          <w:color w:val="000000"/>
          <w:lang w:val="fr-CH"/>
        </w:rPr>
        <w:t>L'Albanie, la Bosnie-Herzégovine, le Monténégro, Chypre, la Pologne, l'ex-République yougoslave de Macédoine et la Serbie ont reçu une assistance dans les domaines de l'innovation, de la radiodiffusion, du large bande, de la cybersécurité et des applications TIC, ainsi que concernant l'élaboration de profils d'innovation numérique. Plus de dix publications et rapports ont été rédigés. Une nouvelle approche visant à offrir de manière</w:t>
      </w:r>
      <w:r w:rsidR="00D31E90">
        <w:rPr>
          <w:color w:val="000000"/>
          <w:lang w:val="fr-CH"/>
        </w:rPr>
        <w:t xml:space="preserve"> efficace,</w:t>
      </w:r>
      <w:r w:rsidR="00D31E90" w:rsidRPr="00D31E90">
        <w:rPr>
          <w:color w:val="000000"/>
          <w:lang w:val="fr-CH"/>
        </w:rPr>
        <w:t xml:space="preserve"> </w:t>
      </w:r>
      <w:r w:rsidR="00D31E90" w:rsidRPr="00A9327A">
        <w:rPr>
          <w:color w:val="000000"/>
          <w:lang w:val="fr-CH"/>
        </w:rPr>
        <w:t>au niveau national</w:t>
      </w:r>
      <w:r w:rsidR="00D31E90">
        <w:rPr>
          <w:color w:val="000000"/>
          <w:lang w:val="fr-CH"/>
        </w:rPr>
        <w:t>,</w:t>
      </w:r>
      <w:r w:rsidR="0006115F" w:rsidRPr="00A9327A">
        <w:rPr>
          <w:color w:val="000000"/>
          <w:lang w:val="fr-CH"/>
        </w:rPr>
        <w:t xml:space="preserve"> des formations sur l'accessibilité </w:t>
      </w:r>
      <w:r w:rsidR="00D31E90" w:rsidRPr="00A9327A">
        <w:rPr>
          <w:color w:val="000000"/>
          <w:lang w:val="fr-CH"/>
        </w:rPr>
        <w:t>destinées aux cadres</w:t>
      </w:r>
      <w:r w:rsidR="00D31E90">
        <w:rPr>
          <w:color w:val="000000"/>
          <w:lang w:val="fr-CH"/>
        </w:rPr>
        <w:t>, a été mise au point</w:t>
      </w:r>
      <w:r w:rsidR="0006115F" w:rsidRPr="00A9327A">
        <w:rPr>
          <w:color w:val="000000"/>
          <w:lang w:val="fr-CH"/>
        </w:rPr>
        <w:t xml:space="preserve"> dans deux pays, en collaboration avec les équipes des Nations Unies</w:t>
      </w:r>
      <w:r w:rsidR="00D31E90">
        <w:rPr>
          <w:color w:val="000000"/>
          <w:lang w:val="fr-CH"/>
        </w:rPr>
        <w:t xml:space="preserve"> présentes sur place</w:t>
      </w:r>
      <w:r w:rsidR="0006115F" w:rsidRPr="00A9327A">
        <w:rPr>
          <w:color w:val="000000"/>
          <w:lang w:val="fr-CH"/>
        </w:rPr>
        <w:t xml:space="preserve">; elle sera reproduite dans </w:t>
      </w:r>
      <w:r w:rsidR="0080654B" w:rsidRPr="00A9327A">
        <w:rPr>
          <w:color w:val="000000"/>
          <w:lang w:val="fr-CH"/>
        </w:rPr>
        <w:t xml:space="preserve">d'autres pays </w:t>
      </w:r>
      <w:r w:rsidR="00D31E90">
        <w:rPr>
          <w:color w:val="000000"/>
          <w:lang w:val="fr-CH"/>
        </w:rPr>
        <w:t xml:space="preserve">de la région </w:t>
      </w:r>
      <w:r w:rsidR="0080654B" w:rsidRPr="00A9327A">
        <w:rPr>
          <w:color w:val="000000"/>
          <w:lang w:val="fr-CH"/>
        </w:rPr>
        <w:t>Europe. La collaboration avec la Commission européenne et avec le Conseil de coopération régionale a été renforcée en vue de faire progresser l'intégration numérique des pays de l'ouest de la région des Balkans.</w:t>
      </w:r>
    </w:p>
    <w:p w14:paraId="012E7D79" w14:textId="12F8B081" w:rsidR="005C73D2" w:rsidRPr="00A9327A" w:rsidRDefault="0080654B" w:rsidP="00080985">
      <w:pPr>
        <w:tabs>
          <w:tab w:val="clear" w:pos="1134"/>
          <w:tab w:val="left" w:pos="709"/>
        </w:tabs>
        <w:rPr>
          <w:lang w:val="fr-CH"/>
        </w:rPr>
      </w:pPr>
      <w:r w:rsidRPr="00A9327A">
        <w:rPr>
          <w:color w:val="000000"/>
          <w:lang w:val="fr-CH"/>
        </w:rPr>
        <w:t>2.10</w:t>
      </w:r>
      <w:r w:rsidRPr="00A9327A">
        <w:rPr>
          <w:color w:val="000000"/>
          <w:lang w:val="fr-CH"/>
        </w:rPr>
        <w:tab/>
      </w:r>
      <w:r w:rsidR="00D82FF3" w:rsidRPr="00A9327A">
        <w:rPr>
          <w:color w:val="000000"/>
          <w:lang w:val="fr-CH"/>
        </w:rPr>
        <w:t>L</w:t>
      </w:r>
      <w:r w:rsidR="004B7604" w:rsidRPr="00A9327A">
        <w:rPr>
          <w:color w:val="000000"/>
          <w:lang w:val="fr-CH"/>
        </w:rPr>
        <w:t>a</w:t>
      </w:r>
      <w:r w:rsidR="00D82FF3" w:rsidRPr="00A9327A">
        <w:rPr>
          <w:color w:val="000000"/>
          <w:lang w:val="fr-CH"/>
        </w:rPr>
        <w:t xml:space="preserve"> septième</w:t>
      </w:r>
      <w:r w:rsidR="004B7604" w:rsidRPr="00A9327A">
        <w:rPr>
          <w:color w:val="000000"/>
          <w:lang w:val="fr-CH"/>
        </w:rPr>
        <w:t xml:space="preserve"> Conférence mondiale de développement des télécommunications (CMDT-17)</w:t>
      </w:r>
      <w:r w:rsidR="00D31E90">
        <w:rPr>
          <w:color w:val="000000"/>
          <w:lang w:val="fr-CH"/>
        </w:rPr>
        <w:t xml:space="preserve"> de l'UIT</w:t>
      </w:r>
      <w:r w:rsidR="004B7604" w:rsidRPr="00A9327A">
        <w:rPr>
          <w:color w:val="000000"/>
          <w:lang w:val="fr-CH"/>
        </w:rPr>
        <w:t>, qui s'est tenue à Buenos Aires (Argentine) du 9 au 20 octobre 2017 sur le thème "Les TIC au service d</w:t>
      </w:r>
      <w:r w:rsidR="00D31E90">
        <w:rPr>
          <w:color w:val="000000"/>
          <w:lang w:val="fr-CH"/>
        </w:rPr>
        <w:t>es Objectifs de</w:t>
      </w:r>
      <w:r w:rsidR="004B7604" w:rsidRPr="00A9327A">
        <w:rPr>
          <w:color w:val="000000"/>
          <w:lang w:val="fr-CH"/>
        </w:rPr>
        <w:t xml:space="preserve"> développement durable (ICT④SDGs)"</w:t>
      </w:r>
      <w:r w:rsidR="00D82FF3" w:rsidRPr="00A9327A">
        <w:rPr>
          <w:color w:val="000000"/>
          <w:lang w:val="fr-CH"/>
        </w:rPr>
        <w:t xml:space="preserve"> a adopté la Déclaration de Buenos Aires, la contribution de l'UIT-D au Plan stratégique de l'UIT et le Plan d'action de Buenos Aires, et notamment cinq initiatives régionales par région pour chacune des six régions.</w:t>
      </w:r>
    </w:p>
    <w:p w14:paraId="6F9033A4" w14:textId="77777777" w:rsidR="002735DB" w:rsidRPr="00A9327A" w:rsidRDefault="002735DB" w:rsidP="00080985">
      <w:pPr>
        <w:pStyle w:val="Heading1"/>
        <w:rPr>
          <w:lang w:val="fr-CH"/>
        </w:rPr>
      </w:pPr>
      <w:r w:rsidRPr="00A9327A">
        <w:rPr>
          <w:lang w:val="fr-CH"/>
        </w:rPr>
        <w:t>3</w:t>
      </w:r>
      <w:r w:rsidRPr="00A9327A">
        <w:rPr>
          <w:lang w:val="fr-CH"/>
        </w:rPr>
        <w:tab/>
        <w:t>Contributions aux travaux des autres Secteurs et du Secrétariat général</w:t>
      </w:r>
    </w:p>
    <w:p w14:paraId="0A1A0CA0" w14:textId="77777777" w:rsidR="002735DB" w:rsidRPr="00A9327A" w:rsidRDefault="002735DB" w:rsidP="00080985">
      <w:pPr>
        <w:rPr>
          <w:lang w:val="fr-CH"/>
        </w:rPr>
      </w:pPr>
      <w:r w:rsidRPr="00A9327A">
        <w:rPr>
          <w:lang w:val="fr-CH"/>
        </w:rPr>
        <w:t>3.1</w:t>
      </w:r>
      <w:r w:rsidRPr="00A9327A">
        <w:rPr>
          <w:lang w:val="fr-CH"/>
        </w:rPr>
        <w:tab/>
        <w:t>Les bureaux régionaux et les bureaux de zone ont contribué à la mise en oeuvre des plans stratégique et opérationnel de l'UIT-R, de l'UIT-T et du Secrétariat général, comme indiqué ci</w:t>
      </w:r>
      <w:r w:rsidRPr="00A9327A">
        <w:rPr>
          <w:lang w:val="fr-CH"/>
        </w:rPr>
        <w:noBreakHyphen/>
        <w:t>après:</w:t>
      </w:r>
    </w:p>
    <w:p w14:paraId="24630050" w14:textId="77777777" w:rsidR="002735DB" w:rsidRPr="00A9327A" w:rsidRDefault="002735DB" w:rsidP="00080985">
      <w:pPr>
        <w:pStyle w:val="Headingb"/>
        <w:rPr>
          <w:lang w:val="fr-CH"/>
        </w:rPr>
      </w:pPr>
      <w:r w:rsidRPr="00A9327A">
        <w:rPr>
          <w:lang w:val="fr-CH"/>
        </w:rPr>
        <w:t>3.2</w:t>
      </w:r>
      <w:r w:rsidRPr="00A9327A">
        <w:rPr>
          <w:lang w:val="fr-CH"/>
        </w:rPr>
        <w:tab/>
        <w:t>UIT-R</w:t>
      </w:r>
    </w:p>
    <w:p w14:paraId="050FBAA8" w14:textId="77777777" w:rsidR="002735DB" w:rsidRPr="00A9327A" w:rsidRDefault="002735DB" w:rsidP="00080985">
      <w:pPr>
        <w:rPr>
          <w:lang w:val="fr-CH"/>
        </w:rPr>
      </w:pPr>
      <w:r w:rsidRPr="00A9327A">
        <w:rPr>
          <w:color w:val="000000"/>
          <w:lang w:val="fr-CH"/>
        </w:rPr>
        <w:t>3.2.1</w:t>
      </w:r>
      <w:r w:rsidRPr="00A9327A">
        <w:rPr>
          <w:color w:val="000000"/>
          <w:lang w:val="fr-CH"/>
        </w:rPr>
        <w:tab/>
      </w:r>
      <w:r w:rsidRPr="00A9327A">
        <w:rPr>
          <w:lang w:val="fr-CH"/>
        </w:rPr>
        <w:t>Afin d'informer les membres de l'UIT et de leur prêter une assistance, en particulier dans les pays en développement, sur des questions se rapportant aux radiocommunications, le BDT et le BR ont continué d'organiser un certain nombre d'ateliers, de séminaires, de réunions et d'activités de renforcement des capacités dans le domaine du spectre des fréquences radioélectriques avec l</w:t>
      </w:r>
      <w:r w:rsidR="00EC06CA" w:rsidRPr="00A9327A">
        <w:rPr>
          <w:lang w:val="fr-CH"/>
        </w:rPr>
        <w:t>'</w:t>
      </w:r>
      <w:r w:rsidRPr="00A9327A">
        <w:rPr>
          <w:lang w:val="fr-CH"/>
        </w:rPr>
        <w:t>appui des bureaux régionaux et en coopération avec les organisations internationales et les autorités nationales concernées. Parmi les manifestation</w:t>
      </w:r>
      <w:r w:rsidR="00D82FF3" w:rsidRPr="00A9327A">
        <w:rPr>
          <w:lang w:val="fr-CH"/>
        </w:rPr>
        <w:t>s organisées à cet égard en 2017</w:t>
      </w:r>
      <w:r w:rsidRPr="00A9327A">
        <w:rPr>
          <w:lang w:val="fr-CH"/>
        </w:rPr>
        <w:t>, on peut notamment citer les suivantes:</w:t>
      </w:r>
    </w:p>
    <w:p w14:paraId="47787E58" w14:textId="44E729D9" w:rsidR="00D82FF3" w:rsidRPr="00A9327A" w:rsidRDefault="00013809" w:rsidP="00080985">
      <w:pPr>
        <w:pStyle w:val="enumlev1"/>
        <w:rPr>
          <w:color w:val="000000"/>
          <w:lang w:val="fr-CH"/>
        </w:rPr>
      </w:pPr>
      <w:r w:rsidRPr="00013809">
        <w:rPr>
          <w:lang w:val="fr-CH"/>
        </w:rPr>
        <w:t>•</w:t>
      </w:r>
      <w:r w:rsidR="00EC06CA" w:rsidRPr="00A9327A">
        <w:rPr>
          <w:lang w:val="fr-CH"/>
        </w:rPr>
        <w:tab/>
      </w:r>
      <w:r w:rsidR="00D82FF3" w:rsidRPr="00A9327A">
        <w:rPr>
          <w:lang w:val="fr-CH"/>
        </w:rPr>
        <w:t>Quatre</w:t>
      </w:r>
      <w:r w:rsidR="002735DB" w:rsidRPr="00A9327A">
        <w:rPr>
          <w:lang w:val="fr-CH"/>
        </w:rPr>
        <w:t xml:space="preserve"> séminaires régionaux des radiocommunications </w:t>
      </w:r>
      <w:r w:rsidR="002735DB" w:rsidRPr="00A9327A">
        <w:rPr>
          <w:color w:val="000000"/>
          <w:lang w:val="fr-CH"/>
        </w:rPr>
        <w:t xml:space="preserve">(RRS), </w:t>
      </w:r>
      <w:r w:rsidR="00D82FF3" w:rsidRPr="00A9327A">
        <w:rPr>
          <w:color w:val="000000"/>
          <w:lang w:val="fr-CH"/>
        </w:rPr>
        <w:t>à Nairobi (Kenya), Lima (Pérou), Phnom Penh (Cambodge) et Mascate (Oman); ces quatre séminaires se sont déroulés en présence de 450 participants issus de 80 pays des régions concernées.</w:t>
      </w:r>
    </w:p>
    <w:p w14:paraId="7493E276" w14:textId="1322CF16" w:rsidR="002735DB" w:rsidRPr="00A9327A" w:rsidRDefault="00013809" w:rsidP="00080985">
      <w:pPr>
        <w:pStyle w:val="enumlev1"/>
        <w:rPr>
          <w:lang w:val="fr-CH"/>
        </w:rPr>
      </w:pPr>
      <w:r w:rsidRPr="00013809">
        <w:rPr>
          <w:lang w:val="fr-CH"/>
        </w:rPr>
        <w:t>•</w:t>
      </w:r>
      <w:r w:rsidR="002735DB" w:rsidRPr="00A9327A">
        <w:rPr>
          <w:lang w:val="fr-CH"/>
        </w:rPr>
        <w:tab/>
      </w:r>
      <w:r w:rsidR="00D82FF3" w:rsidRPr="00A9327A">
        <w:rPr>
          <w:lang w:val="fr-CH"/>
        </w:rPr>
        <w:t xml:space="preserve">Deux réunions de coordination des fréquences de l'UIT </w:t>
      </w:r>
      <w:r w:rsidR="00AB3840" w:rsidRPr="00A9327A">
        <w:rPr>
          <w:lang w:val="fr-CH"/>
        </w:rPr>
        <w:t xml:space="preserve">concernant l'utilisation </w:t>
      </w:r>
      <w:r w:rsidR="00D31E90">
        <w:rPr>
          <w:lang w:val="fr-CH"/>
        </w:rPr>
        <w:t>des</w:t>
      </w:r>
      <w:r w:rsidR="00AB3840" w:rsidRPr="00A9327A">
        <w:rPr>
          <w:lang w:val="fr-CH"/>
        </w:rPr>
        <w:t xml:space="preserve"> bande</w:t>
      </w:r>
      <w:r w:rsidR="00D31E90">
        <w:rPr>
          <w:lang w:val="fr-CH"/>
        </w:rPr>
        <w:t>s</w:t>
      </w:r>
      <w:r w:rsidR="00AB3840" w:rsidRPr="00A9327A">
        <w:rPr>
          <w:lang w:val="fr-CH"/>
        </w:rPr>
        <w:t xml:space="preserve"> d'ondes métriques (174-216 MHz) et </w:t>
      </w:r>
      <w:r w:rsidR="00AB3840" w:rsidRPr="00A9327A">
        <w:rPr>
          <w:color w:val="000000"/>
          <w:lang w:val="fr-CH"/>
        </w:rPr>
        <w:t>décimétriques (470-806 MHz)</w:t>
      </w:r>
      <w:r w:rsidR="00D31E90">
        <w:rPr>
          <w:color w:val="000000"/>
          <w:lang w:val="fr-CH"/>
        </w:rPr>
        <w:t>,</w:t>
      </w:r>
      <w:r w:rsidR="00AB3840" w:rsidRPr="00A9327A">
        <w:rPr>
          <w:color w:val="000000"/>
          <w:lang w:val="fr-CH"/>
        </w:rPr>
        <w:t xml:space="preserve"> à Managua (Nicaragua), du 8 au 10 mars, et à Guatemala (Guatemala), du 28 août au 1er septembre, respectivement.</w:t>
      </w:r>
    </w:p>
    <w:p w14:paraId="6863C9AB" w14:textId="7BF55FFC" w:rsidR="002735DB" w:rsidRPr="00A9327A" w:rsidRDefault="00013809" w:rsidP="00080985">
      <w:pPr>
        <w:pStyle w:val="enumlev1"/>
        <w:rPr>
          <w:lang w:val="fr-CH"/>
        </w:rPr>
      </w:pPr>
      <w:r w:rsidRPr="00013809">
        <w:rPr>
          <w:lang w:val="fr-CH"/>
        </w:rPr>
        <w:t>•</w:t>
      </w:r>
      <w:r w:rsidR="002735DB" w:rsidRPr="00A9327A">
        <w:rPr>
          <w:lang w:val="fr-CH"/>
        </w:rPr>
        <w:tab/>
      </w:r>
      <w:r w:rsidR="00AB3840" w:rsidRPr="00A9327A">
        <w:rPr>
          <w:lang w:val="fr-CH"/>
        </w:rPr>
        <w:t>Deux colloque</w:t>
      </w:r>
      <w:r w:rsidR="00D31E90">
        <w:rPr>
          <w:lang w:val="fr-CH"/>
        </w:rPr>
        <w:t>s</w:t>
      </w:r>
      <w:r w:rsidR="00AB3840" w:rsidRPr="00A9327A">
        <w:rPr>
          <w:lang w:val="fr-CH"/>
        </w:rPr>
        <w:t xml:space="preserve"> internationaux </w:t>
      </w:r>
      <w:r w:rsidR="002735DB" w:rsidRPr="00A9327A">
        <w:rPr>
          <w:lang w:val="fr-CH"/>
        </w:rPr>
        <w:t>sur les sate</w:t>
      </w:r>
      <w:r w:rsidR="00E1587E" w:rsidRPr="00A9327A">
        <w:rPr>
          <w:lang w:val="fr-CH"/>
        </w:rPr>
        <w:t>llites, à Ba</w:t>
      </w:r>
      <w:r w:rsidR="00AB3840" w:rsidRPr="00A9327A">
        <w:rPr>
          <w:lang w:val="fr-CH"/>
        </w:rPr>
        <w:t>riloche</w:t>
      </w:r>
      <w:r w:rsidR="00E1587E" w:rsidRPr="00A9327A">
        <w:rPr>
          <w:lang w:val="fr-CH"/>
        </w:rPr>
        <w:t xml:space="preserve"> (</w:t>
      </w:r>
      <w:r w:rsidR="00AB3840" w:rsidRPr="00A9327A">
        <w:rPr>
          <w:lang w:val="fr-CH"/>
        </w:rPr>
        <w:t>Argentine</w:t>
      </w:r>
      <w:r w:rsidR="00E1587E" w:rsidRPr="00A9327A">
        <w:rPr>
          <w:lang w:val="fr-CH"/>
        </w:rPr>
        <w:t>)</w:t>
      </w:r>
      <w:r>
        <w:rPr>
          <w:lang w:val="fr-CH"/>
        </w:rPr>
        <w:t>, du 29 au 31 mai et à </w:t>
      </w:r>
      <w:r w:rsidR="00AB3840" w:rsidRPr="00A9327A">
        <w:rPr>
          <w:color w:val="000000"/>
          <w:lang w:val="fr-CH"/>
        </w:rPr>
        <w:t>Bangkok (Thaïlande), du 30 août au 1er septembre, respectivement.</w:t>
      </w:r>
    </w:p>
    <w:p w14:paraId="573C8840" w14:textId="5F575C84" w:rsidR="00AB3840" w:rsidRPr="00A9327A" w:rsidRDefault="00013809" w:rsidP="00080985">
      <w:pPr>
        <w:pStyle w:val="enumlev1"/>
        <w:rPr>
          <w:color w:val="000000"/>
          <w:lang w:val="fr-CH"/>
        </w:rPr>
      </w:pPr>
      <w:r w:rsidRPr="00013809">
        <w:rPr>
          <w:lang w:val="fr-CH"/>
        </w:rPr>
        <w:t>•</w:t>
      </w:r>
      <w:r w:rsidR="002735DB" w:rsidRPr="00A9327A">
        <w:rPr>
          <w:lang w:val="fr-CH"/>
        </w:rPr>
        <w:tab/>
      </w:r>
      <w:r w:rsidR="00AB3840" w:rsidRPr="00A9327A">
        <w:rPr>
          <w:lang w:val="fr-CH"/>
        </w:rPr>
        <w:t xml:space="preserve">Deuxième séminaire </w:t>
      </w:r>
      <w:r w:rsidR="00AB3840" w:rsidRPr="00A9327A">
        <w:rPr>
          <w:color w:val="000000"/>
          <w:lang w:val="fr-CH"/>
        </w:rPr>
        <w:t>UIT/OMM sur le thème "Utilisation du spectre radioélectrique pour la météorologie: surveillance et prévisions concernant le climat, le temps et l'eau", à Genève (Suisse), les 23 et 24 octobre.</w:t>
      </w:r>
    </w:p>
    <w:p w14:paraId="4843E501" w14:textId="4E1B4326" w:rsidR="002735DB" w:rsidRPr="00A9327A" w:rsidRDefault="00013809" w:rsidP="00080985">
      <w:pPr>
        <w:pStyle w:val="enumlev1"/>
        <w:rPr>
          <w:lang w:val="fr-CH"/>
        </w:rPr>
      </w:pPr>
      <w:r w:rsidRPr="00013809">
        <w:rPr>
          <w:lang w:val="fr-CH"/>
        </w:rPr>
        <w:t>•</w:t>
      </w:r>
      <w:r w:rsidR="00AB3840" w:rsidRPr="00A9327A">
        <w:rPr>
          <w:lang w:val="fr-CH"/>
        </w:rPr>
        <w:tab/>
        <w:t>5</w:t>
      </w:r>
      <w:r w:rsidR="00EC06CA" w:rsidRPr="00A9327A">
        <w:rPr>
          <w:lang w:val="fr-CH"/>
        </w:rPr>
        <w:t>è</w:t>
      </w:r>
      <w:r w:rsidR="002735DB" w:rsidRPr="00A9327A">
        <w:rPr>
          <w:lang w:val="fr-CH"/>
        </w:rPr>
        <w:t xml:space="preserve">me Congrès des télécommunications latino-américain, à </w:t>
      </w:r>
      <w:r w:rsidR="00AB3840" w:rsidRPr="00A9327A">
        <w:rPr>
          <w:lang w:val="fr-CH"/>
        </w:rPr>
        <w:t>Cartagena</w:t>
      </w:r>
      <w:r w:rsidR="008F1DFA" w:rsidRPr="00A9327A">
        <w:rPr>
          <w:lang w:val="fr-CH"/>
        </w:rPr>
        <w:t xml:space="preserve"> </w:t>
      </w:r>
      <w:r w:rsidR="00E1587E" w:rsidRPr="00A9327A">
        <w:rPr>
          <w:lang w:val="fr-CH"/>
        </w:rPr>
        <w:t>(</w:t>
      </w:r>
      <w:r w:rsidR="00AB3840" w:rsidRPr="00A9327A">
        <w:rPr>
          <w:lang w:val="fr-CH"/>
        </w:rPr>
        <w:t>Colombie</w:t>
      </w:r>
      <w:r w:rsidR="00E1587E" w:rsidRPr="00A9327A">
        <w:rPr>
          <w:lang w:val="fr-CH"/>
        </w:rPr>
        <w:t>)</w:t>
      </w:r>
      <w:r w:rsidR="00AB3840" w:rsidRPr="00A9327A">
        <w:rPr>
          <w:lang w:val="fr-CH"/>
        </w:rPr>
        <w:t xml:space="preserve">, du </w:t>
      </w:r>
      <w:r w:rsidR="00D31E90">
        <w:rPr>
          <w:lang w:val="fr-CH"/>
        </w:rPr>
        <w:t>20 au 23 juin</w:t>
      </w:r>
      <w:r w:rsidR="00AB3840" w:rsidRPr="00A9327A">
        <w:rPr>
          <w:lang w:val="fr-CH"/>
        </w:rPr>
        <w:t>.</w:t>
      </w:r>
    </w:p>
    <w:p w14:paraId="6FB52476" w14:textId="2248C6C8" w:rsidR="00AB3840" w:rsidRPr="00A9327A" w:rsidRDefault="00013809" w:rsidP="00080985">
      <w:pPr>
        <w:pStyle w:val="enumlev1"/>
        <w:rPr>
          <w:lang w:val="fr-CH"/>
        </w:rPr>
      </w:pPr>
      <w:r w:rsidRPr="00013809">
        <w:rPr>
          <w:lang w:val="fr-CH"/>
        </w:rPr>
        <w:t>•</w:t>
      </w:r>
      <w:r w:rsidR="00AB3840" w:rsidRPr="00A9327A">
        <w:rPr>
          <w:lang w:val="fr-CH"/>
        </w:rPr>
        <w:tab/>
        <w:t xml:space="preserve">7ème </w:t>
      </w:r>
      <w:r w:rsidR="00AB3840" w:rsidRPr="00A9327A">
        <w:rPr>
          <w:color w:val="000000"/>
          <w:lang w:val="fr-CH"/>
        </w:rPr>
        <w:t>Congrès in</w:t>
      </w:r>
      <w:r w:rsidR="00D31E90">
        <w:rPr>
          <w:color w:val="000000"/>
          <w:lang w:val="fr-CH"/>
        </w:rPr>
        <w:t xml:space="preserve">ternational sur le spectre et </w:t>
      </w:r>
      <w:r w:rsidR="00AB3840" w:rsidRPr="00A9327A">
        <w:rPr>
          <w:color w:val="000000"/>
          <w:lang w:val="fr-CH"/>
        </w:rPr>
        <w:t>atelier de l'UIT sur la coordination des fréquences à Bogota (Colombie), du 5 au 8 septembre.</w:t>
      </w:r>
    </w:p>
    <w:p w14:paraId="1344BF8D" w14:textId="77777777" w:rsidR="002735DB" w:rsidRPr="00A9327A" w:rsidRDefault="00AB3840" w:rsidP="00080985">
      <w:pPr>
        <w:rPr>
          <w:lang w:val="fr-CH"/>
        </w:rPr>
      </w:pPr>
      <w:r w:rsidRPr="00A9327A">
        <w:rPr>
          <w:lang w:val="fr-CH"/>
        </w:rPr>
        <w:t>3.2.2</w:t>
      </w:r>
      <w:r w:rsidRPr="00A9327A">
        <w:rPr>
          <w:lang w:val="fr-CH"/>
        </w:rPr>
        <w:tab/>
      </w:r>
      <w:r w:rsidR="002735DB" w:rsidRPr="00A9327A">
        <w:rPr>
          <w:lang w:val="fr-CH"/>
        </w:rPr>
        <w:t>Ces manifestations ont contribué au renforcement des capacités humaines en ce qui concerne l'utilisation du spectre des fréquences radioélectriques et des orbites de satellite, et encouragé</w:t>
      </w:r>
      <w:r w:rsidR="008F1DFA" w:rsidRPr="00A9327A">
        <w:rPr>
          <w:lang w:val="fr-CH"/>
        </w:rPr>
        <w:t xml:space="preserve"> </w:t>
      </w:r>
      <w:r w:rsidR="002735DB" w:rsidRPr="00A9327A">
        <w:rPr>
          <w:lang w:val="fr-CH"/>
        </w:rPr>
        <w:t>l'application des dispositions du Règlement des radiocommunications de l'UIT.</w:t>
      </w:r>
    </w:p>
    <w:p w14:paraId="4F75414A" w14:textId="368786A8" w:rsidR="002735DB" w:rsidRPr="00A9327A" w:rsidRDefault="00DC341D" w:rsidP="00080985">
      <w:pPr>
        <w:snapToGrid w:val="0"/>
        <w:spacing w:after="120"/>
        <w:rPr>
          <w:color w:val="000000"/>
          <w:lang w:val="fr-CH"/>
        </w:rPr>
      </w:pPr>
      <w:r w:rsidRPr="00A9327A">
        <w:rPr>
          <w:color w:val="000000"/>
          <w:lang w:val="fr-CH"/>
        </w:rPr>
        <w:t>3.2.3</w:t>
      </w:r>
      <w:r w:rsidR="002735DB" w:rsidRPr="00A9327A">
        <w:rPr>
          <w:color w:val="000000"/>
          <w:lang w:val="fr-CH"/>
        </w:rPr>
        <w:tab/>
        <w:t xml:space="preserve">En outre, </w:t>
      </w:r>
      <w:r w:rsidR="000231AF" w:rsidRPr="00A9327A">
        <w:rPr>
          <w:color w:val="000000"/>
          <w:lang w:val="fr-CH"/>
        </w:rPr>
        <w:t>plusieurs pays, y compris le Bhoutan, la Thaïlande, le Cambodge, le Sénégal, El Salvador et le Pérou</w:t>
      </w:r>
      <w:r w:rsidR="00D31E90">
        <w:rPr>
          <w:color w:val="000000"/>
          <w:lang w:val="fr-CH"/>
        </w:rPr>
        <w:t>,</w:t>
      </w:r>
      <w:r w:rsidR="000231AF" w:rsidRPr="00A9327A">
        <w:rPr>
          <w:color w:val="000000"/>
          <w:lang w:val="fr-CH"/>
        </w:rPr>
        <w:t xml:space="preserve"> </w:t>
      </w:r>
      <w:r w:rsidR="002735DB" w:rsidRPr="00A9327A">
        <w:rPr>
          <w:color w:val="000000"/>
          <w:lang w:val="fr-CH"/>
        </w:rPr>
        <w:t>ont béné</w:t>
      </w:r>
      <w:r w:rsidR="000231AF" w:rsidRPr="00A9327A">
        <w:rPr>
          <w:color w:val="000000"/>
          <w:lang w:val="fr-CH"/>
        </w:rPr>
        <w:t xml:space="preserve">ficié, </w:t>
      </w:r>
      <w:r w:rsidR="002735DB" w:rsidRPr="00A9327A">
        <w:rPr>
          <w:color w:val="000000"/>
          <w:lang w:val="fr-CH"/>
        </w:rPr>
        <w:t>à leur demande</w:t>
      </w:r>
      <w:r w:rsidR="000231AF" w:rsidRPr="00A9327A">
        <w:rPr>
          <w:color w:val="000000"/>
          <w:lang w:val="fr-CH"/>
        </w:rPr>
        <w:t>,</w:t>
      </w:r>
      <w:r w:rsidR="002735DB" w:rsidRPr="00A9327A">
        <w:rPr>
          <w:color w:val="000000"/>
          <w:lang w:val="fr-CH"/>
        </w:rPr>
        <w:t xml:space="preserve"> d</w:t>
      </w:r>
      <w:r w:rsidR="00EC06CA" w:rsidRPr="00A9327A">
        <w:rPr>
          <w:color w:val="000000"/>
          <w:lang w:val="fr-CH"/>
        </w:rPr>
        <w:t>'</w:t>
      </w:r>
      <w:r w:rsidR="002735DB" w:rsidRPr="00A9327A">
        <w:rPr>
          <w:color w:val="000000"/>
          <w:lang w:val="fr-CH"/>
        </w:rPr>
        <w:t xml:space="preserve">une assistance directe pour leurs activités de gestion nationale du spectre et la gestion à long terme des fréquences pour le large bande mobile, ainsi que pour le passage à la radiodiffusion numérique et </w:t>
      </w:r>
      <w:r w:rsidR="002735DB" w:rsidRPr="00A9327A">
        <w:rPr>
          <w:lang w:val="fr-CH"/>
        </w:rPr>
        <w:t>l'attribution des fréquences du dividende numérique</w:t>
      </w:r>
      <w:r w:rsidR="002735DB" w:rsidRPr="00A9327A">
        <w:rPr>
          <w:color w:val="000000"/>
          <w:lang w:val="fr-CH"/>
        </w:rPr>
        <w:t>.</w:t>
      </w:r>
    </w:p>
    <w:p w14:paraId="60568F25" w14:textId="77777777" w:rsidR="002735DB" w:rsidRPr="00A9327A" w:rsidRDefault="002735DB" w:rsidP="00080985">
      <w:pPr>
        <w:pStyle w:val="Heading2"/>
        <w:rPr>
          <w:lang w:val="fr-CH"/>
        </w:rPr>
      </w:pPr>
      <w:r w:rsidRPr="00A9327A">
        <w:rPr>
          <w:lang w:val="fr-CH"/>
        </w:rPr>
        <w:t>3.3</w:t>
      </w:r>
      <w:r w:rsidRPr="00A9327A">
        <w:rPr>
          <w:lang w:val="fr-CH"/>
        </w:rPr>
        <w:tab/>
        <w:t>UIT-T</w:t>
      </w:r>
    </w:p>
    <w:p w14:paraId="73BE616B" w14:textId="77777777" w:rsidR="002735DB" w:rsidRPr="00A9327A" w:rsidRDefault="002735DB" w:rsidP="00080985">
      <w:pPr>
        <w:rPr>
          <w:lang w:val="fr-CH"/>
        </w:rPr>
      </w:pPr>
      <w:r w:rsidRPr="00A9327A">
        <w:rPr>
          <w:lang w:val="fr-CH"/>
        </w:rPr>
        <w:t>3.3.1</w:t>
      </w:r>
      <w:r w:rsidRPr="00A9327A">
        <w:rPr>
          <w:lang w:val="fr-CH"/>
        </w:rPr>
        <w:tab/>
      </w:r>
      <w:r w:rsidRPr="00A9327A">
        <w:rPr>
          <w:color w:val="000000"/>
          <w:lang w:val="fr-CH"/>
        </w:rPr>
        <w:t xml:space="preserve">Les Groupes régionaux rattachés aux commissions d'études de l'UIT-T se sont révélés être des mécanismes efficaces pour contribuer à la réduction de l'écart en matière de normalisation, dans la mesure où ils encouragent une participation effective aux travaux des commissions d'études de l'UIT-T et permettent d'accroître le nombre et d'améliorer la qualité des contributions émanant des pays en développement qui pourraient </w:t>
      </w:r>
      <w:r w:rsidRPr="00A9327A">
        <w:rPr>
          <w:lang w:val="fr-CH"/>
        </w:rPr>
        <w:t>au bout du compte aboutir à des normes.</w:t>
      </w:r>
      <w:r w:rsidRPr="00A9327A">
        <w:rPr>
          <w:color w:val="000000"/>
          <w:lang w:val="fr-CH"/>
        </w:rPr>
        <w:t xml:space="preserve"> L'UIT</w:t>
      </w:r>
      <w:r w:rsidR="0091710B" w:rsidRPr="00A9327A">
        <w:rPr>
          <w:color w:val="000000"/>
          <w:lang w:val="fr-CH"/>
        </w:rPr>
        <w:t>-T compte 23 groupes régionaux, dont huit</w:t>
      </w:r>
      <w:r w:rsidRPr="00A9327A">
        <w:rPr>
          <w:color w:val="000000"/>
          <w:lang w:val="fr-CH"/>
        </w:rPr>
        <w:t xml:space="preserve"> pour l</w:t>
      </w:r>
      <w:r w:rsidR="00EC06CA" w:rsidRPr="00A9327A">
        <w:rPr>
          <w:color w:val="000000"/>
          <w:lang w:val="fr-CH"/>
        </w:rPr>
        <w:t>'</w:t>
      </w:r>
      <w:r w:rsidRPr="00A9327A">
        <w:rPr>
          <w:color w:val="000000"/>
          <w:lang w:val="fr-CH"/>
        </w:rPr>
        <w:t xml:space="preserve">Afrique, </w:t>
      </w:r>
      <w:r w:rsidR="0091710B" w:rsidRPr="00A9327A">
        <w:rPr>
          <w:color w:val="000000"/>
          <w:lang w:val="fr-CH"/>
        </w:rPr>
        <w:t>quatre</w:t>
      </w:r>
      <w:r w:rsidRPr="00A9327A">
        <w:rPr>
          <w:color w:val="000000"/>
          <w:lang w:val="fr-CH"/>
        </w:rPr>
        <w:t xml:space="preserve"> pour les Amériques, </w:t>
      </w:r>
      <w:r w:rsidR="0091710B" w:rsidRPr="00A9327A">
        <w:rPr>
          <w:color w:val="000000"/>
          <w:lang w:val="fr-CH"/>
        </w:rPr>
        <w:t>cinq</w:t>
      </w:r>
      <w:r w:rsidRPr="00A9327A">
        <w:rPr>
          <w:color w:val="000000"/>
          <w:lang w:val="fr-CH"/>
        </w:rPr>
        <w:t xml:space="preserve"> </w:t>
      </w:r>
      <w:r w:rsidRPr="00D31E90">
        <w:rPr>
          <w:color w:val="000000"/>
          <w:lang w:val="fr-CH"/>
        </w:rPr>
        <w:t>pour la région des Etats arabes, deux pour l</w:t>
      </w:r>
      <w:r w:rsidR="00EC06CA" w:rsidRPr="00D31E90">
        <w:rPr>
          <w:color w:val="000000"/>
          <w:lang w:val="fr-CH"/>
        </w:rPr>
        <w:t>'</w:t>
      </w:r>
      <w:r w:rsidRPr="00D31E90">
        <w:rPr>
          <w:color w:val="000000"/>
          <w:lang w:val="fr-CH"/>
        </w:rPr>
        <w:t xml:space="preserve">Asie et </w:t>
      </w:r>
      <w:r w:rsidR="0091710B" w:rsidRPr="00D31E90">
        <w:rPr>
          <w:color w:val="000000"/>
          <w:lang w:val="fr-CH"/>
        </w:rPr>
        <w:t>l'Océanie</w:t>
      </w:r>
      <w:r w:rsidRPr="00D31E90">
        <w:rPr>
          <w:color w:val="000000"/>
          <w:lang w:val="fr-CH"/>
        </w:rPr>
        <w:t xml:space="preserve"> et </w:t>
      </w:r>
      <w:r w:rsidR="0091710B" w:rsidRPr="00D31E90">
        <w:rPr>
          <w:color w:val="000000"/>
          <w:lang w:val="fr-CH"/>
        </w:rPr>
        <w:t>trois</w:t>
      </w:r>
      <w:r w:rsidRPr="00D31E90">
        <w:rPr>
          <w:color w:val="000000"/>
          <w:lang w:val="fr-CH"/>
        </w:rPr>
        <w:t xml:space="preserve"> </w:t>
      </w:r>
      <w:r w:rsidR="0091710B" w:rsidRPr="00D31E90">
        <w:rPr>
          <w:color w:val="000000"/>
          <w:lang w:val="fr-CH"/>
        </w:rPr>
        <w:t>pour l'Europe de l'Est, l'Asie centrale et la Transcaucasie (EECAT</w:t>
      </w:r>
      <w:r w:rsidRPr="00D31E90">
        <w:rPr>
          <w:lang w:val="fr-CH"/>
        </w:rPr>
        <w:t>)</w:t>
      </w:r>
      <w:r w:rsidR="0091710B" w:rsidRPr="00D31E90">
        <w:rPr>
          <w:lang w:val="fr-CH"/>
        </w:rPr>
        <w:t xml:space="preserve"> sont en activité</w:t>
      </w:r>
      <w:r w:rsidRPr="00D31E90">
        <w:rPr>
          <w:lang w:val="fr-CH"/>
        </w:rPr>
        <w:t>.</w:t>
      </w:r>
    </w:p>
    <w:p w14:paraId="69AC440C" w14:textId="77777777" w:rsidR="002735DB" w:rsidRPr="00A9327A" w:rsidRDefault="002735DB" w:rsidP="00080985">
      <w:pPr>
        <w:rPr>
          <w:lang w:val="fr-CH"/>
        </w:rPr>
      </w:pPr>
      <w:r w:rsidRPr="00A9327A">
        <w:rPr>
          <w:lang w:val="fr-CH"/>
        </w:rPr>
        <w:t>3.3.2</w:t>
      </w:r>
      <w:r w:rsidRPr="00A9327A">
        <w:rPr>
          <w:lang w:val="fr-CH"/>
        </w:rPr>
        <w:tab/>
        <w:t xml:space="preserve">Dans le cadre du programme de réduction de l'écart en matière de normalisation, </w:t>
      </w:r>
      <w:r w:rsidR="0091710B" w:rsidRPr="00A9327A">
        <w:rPr>
          <w:lang w:val="fr-CH"/>
        </w:rPr>
        <w:t>quatre</w:t>
      </w:r>
      <w:r w:rsidRPr="00A9327A">
        <w:rPr>
          <w:lang w:val="fr-CH"/>
        </w:rPr>
        <w:t xml:space="preserve"> forums sur la normalisation ont été organisés pour des pays en développement </w:t>
      </w:r>
      <w:r w:rsidR="00C94A35" w:rsidRPr="00A9327A">
        <w:rPr>
          <w:lang w:val="fr-CH"/>
        </w:rPr>
        <w:t>en 2017</w:t>
      </w:r>
      <w:r w:rsidRPr="00A9327A">
        <w:rPr>
          <w:lang w:val="fr-CH"/>
        </w:rPr>
        <w:t xml:space="preserve">. Ils ont porté sur un large éventail de thèmes, notamment </w:t>
      </w:r>
      <w:r w:rsidR="00C94A35" w:rsidRPr="00A9327A">
        <w:rPr>
          <w:lang w:val="fr-CH"/>
        </w:rPr>
        <w:t xml:space="preserve">les aspects opérationnels, les questions </w:t>
      </w:r>
      <w:r w:rsidR="00C94A35" w:rsidRPr="00A9327A">
        <w:rPr>
          <w:color w:val="000000"/>
          <w:lang w:val="fr-CH"/>
        </w:rPr>
        <w:t>d'économie et de politique générale, l'Internet des objets, l'intelligence artificielle et la cybersécurité, ainsi que des ateliers didactiques sur les méthodes de travail de l'UIT-T.</w:t>
      </w:r>
    </w:p>
    <w:p w14:paraId="10BB7C12" w14:textId="5E953A02" w:rsidR="002735DB" w:rsidRPr="00A9327A" w:rsidRDefault="002735DB" w:rsidP="00080985">
      <w:pPr>
        <w:rPr>
          <w:lang w:val="fr-CH"/>
        </w:rPr>
      </w:pPr>
      <w:r w:rsidRPr="00A9327A">
        <w:rPr>
          <w:lang w:val="fr-CH"/>
        </w:rPr>
        <w:t>3.3.3</w:t>
      </w:r>
      <w:r w:rsidRPr="00A9327A">
        <w:rPr>
          <w:lang w:val="fr-CH"/>
        </w:rPr>
        <w:tab/>
        <w:t>Depuis les années </w:t>
      </w:r>
      <w:r w:rsidR="00D31E90">
        <w:rPr>
          <w:lang w:val="fr-CH"/>
        </w:rPr>
        <w:t>19</w:t>
      </w:r>
      <w:r w:rsidRPr="00A9327A">
        <w:rPr>
          <w:lang w:val="fr-CH"/>
        </w:rPr>
        <w:t>90, le BDT et le TSB organisent conjointement des Forums régionaux économiques et financiers qui se tiennent immédiatement avant ou après les réunions des groupes régionaux de la CE 3. Chaque année, quatre séries de réunions de ce type sont organisées dans quatre régions (Afrique, Asie-Océanie, Etats arabes, et Amérique latine et Caraïbes).</w:t>
      </w:r>
    </w:p>
    <w:p w14:paraId="03936DBF" w14:textId="4D7C907B" w:rsidR="002735DB" w:rsidRPr="00A9327A" w:rsidRDefault="002735DB" w:rsidP="00080985">
      <w:pPr>
        <w:rPr>
          <w:lang w:val="fr-CH"/>
        </w:rPr>
      </w:pPr>
      <w:r w:rsidRPr="00A9327A">
        <w:rPr>
          <w:lang w:val="fr-CH"/>
        </w:rPr>
        <w:t>3.3.4</w:t>
      </w:r>
      <w:r w:rsidRPr="00A9327A">
        <w:rPr>
          <w:color w:val="000000"/>
          <w:lang w:val="fr-CH"/>
        </w:rPr>
        <w:t>.</w:t>
      </w:r>
      <w:r w:rsidRPr="00A9327A">
        <w:rPr>
          <w:color w:val="000000"/>
          <w:lang w:val="fr-CH"/>
        </w:rPr>
        <w:tab/>
        <w:t>Les formations pratiques sur le renforcement des capacités organisées par la CE 3 de l'UIT-T depuis le début de 2014, dont le succès ne s'est pas démenti, ont été élargies à d'autres commissions d'études et aux groupes régionaux qui s'y rattachent</w:t>
      </w:r>
      <w:r w:rsidR="00C94A35" w:rsidRPr="00A9327A">
        <w:rPr>
          <w:color w:val="000000"/>
          <w:lang w:val="fr-CH"/>
        </w:rPr>
        <w:t xml:space="preserve"> (</w:t>
      </w:r>
      <w:r w:rsidR="00D31E90" w:rsidRPr="00A9327A">
        <w:rPr>
          <w:color w:val="000000"/>
          <w:lang w:val="fr-CH"/>
        </w:rPr>
        <w:t>en 2017</w:t>
      </w:r>
      <w:r w:rsidR="00D31E90">
        <w:rPr>
          <w:color w:val="000000"/>
          <w:lang w:val="fr-CH"/>
        </w:rPr>
        <w:t xml:space="preserve">, </w:t>
      </w:r>
      <w:r w:rsidR="00C94A35" w:rsidRPr="00A9327A">
        <w:rPr>
          <w:color w:val="000000"/>
          <w:lang w:val="fr-CH"/>
        </w:rPr>
        <w:t>trois sessions ont été organisées dans les régions, et sept à Genève)</w:t>
      </w:r>
      <w:r w:rsidRPr="00A9327A">
        <w:rPr>
          <w:color w:val="000000"/>
          <w:lang w:val="fr-CH"/>
        </w:rPr>
        <w:t>. Les sessions de formation pratique sur la réduction de l</w:t>
      </w:r>
      <w:r w:rsidR="00EC06CA" w:rsidRPr="00A9327A">
        <w:rPr>
          <w:color w:val="000000"/>
          <w:lang w:val="fr-CH"/>
        </w:rPr>
        <w:t>'</w:t>
      </w:r>
      <w:r w:rsidRPr="00A9327A">
        <w:rPr>
          <w:color w:val="000000"/>
          <w:lang w:val="fr-CH"/>
        </w:rPr>
        <w:t xml:space="preserve">écart en matière de normalisation </w:t>
      </w:r>
      <w:r w:rsidR="00C94A35" w:rsidRPr="00A9327A">
        <w:rPr>
          <w:color w:val="000000"/>
          <w:lang w:val="fr-CH"/>
        </w:rPr>
        <w:t xml:space="preserve">ont </w:t>
      </w:r>
      <w:r w:rsidRPr="00A9327A">
        <w:rPr>
          <w:color w:val="000000"/>
          <w:lang w:val="fr-CH"/>
        </w:rPr>
        <w:t>vis</w:t>
      </w:r>
      <w:r w:rsidR="00C94A35" w:rsidRPr="00A9327A">
        <w:rPr>
          <w:color w:val="000000"/>
          <w:lang w:val="fr-CH"/>
        </w:rPr>
        <w:t>é</w:t>
      </w:r>
      <w:r w:rsidRPr="00A9327A">
        <w:rPr>
          <w:color w:val="000000"/>
          <w:lang w:val="fr-CH"/>
        </w:rPr>
        <w:t xml:space="preserve"> à aider les pays en développement à acquérir les compétences et les capacités nécessaires </w:t>
      </w:r>
      <w:r w:rsidRPr="00A9327A">
        <w:rPr>
          <w:lang w:val="fr-CH"/>
        </w:rPr>
        <w:t xml:space="preserve">pour prendre part au processus de normalisation internationale et élaborer des contributions pour les réunions. Ces sessions ont </w:t>
      </w:r>
      <w:r w:rsidR="00C94A35" w:rsidRPr="00A9327A">
        <w:rPr>
          <w:lang w:val="fr-CH"/>
        </w:rPr>
        <w:t xml:space="preserve">été </w:t>
      </w:r>
      <w:r w:rsidRPr="00A9327A">
        <w:rPr>
          <w:lang w:val="fr-CH"/>
        </w:rPr>
        <w:t>axées sur le développement des compétences pratiques afin d'optimiser l'efficacité de la participation des pays en développement au processus de normalisation de l'UIT</w:t>
      </w:r>
      <w:r w:rsidRPr="00A9327A">
        <w:rPr>
          <w:lang w:val="fr-CH"/>
        </w:rPr>
        <w:noBreakHyphen/>
        <w:t xml:space="preserve">T, et </w:t>
      </w:r>
      <w:r w:rsidR="00D31E90">
        <w:rPr>
          <w:lang w:val="fr-CH"/>
        </w:rPr>
        <w:t>ont couvert</w:t>
      </w:r>
      <w:r w:rsidRPr="00A9327A">
        <w:rPr>
          <w:lang w:val="fr-CH"/>
        </w:rPr>
        <w:t xml:space="preserve"> différents thèmes, notamment les stratégies relatives à la participation aux travaux des commissions d'études, l'élaboration des contributions, la présentation des propositions, les méthodes de travail collaboratives et les moyens d</w:t>
      </w:r>
      <w:r w:rsidR="00EC06CA" w:rsidRPr="00A9327A">
        <w:rPr>
          <w:lang w:val="fr-CH"/>
        </w:rPr>
        <w:t>'</w:t>
      </w:r>
      <w:r w:rsidRPr="00A9327A">
        <w:rPr>
          <w:lang w:val="fr-CH"/>
        </w:rPr>
        <w:t>obtenir un soutien ou de parvenir à un consensus.</w:t>
      </w:r>
    </w:p>
    <w:p w14:paraId="49E5FC7F" w14:textId="5A6D1A45" w:rsidR="002735DB" w:rsidRPr="00A9327A" w:rsidRDefault="002735DB" w:rsidP="00080985">
      <w:pPr>
        <w:rPr>
          <w:lang w:val="fr-CH"/>
        </w:rPr>
      </w:pPr>
      <w:r w:rsidRPr="00A9327A">
        <w:rPr>
          <w:lang w:val="fr-CH"/>
        </w:rPr>
        <w:t>3.3.5</w:t>
      </w:r>
      <w:r w:rsidRPr="00A9327A">
        <w:rPr>
          <w:lang w:val="fr-CH"/>
        </w:rPr>
        <w:tab/>
        <w:t>Afin de poursuivre et de renforcer la coordination entre les bureaux régionaux et les travaux de l</w:t>
      </w:r>
      <w:r w:rsidR="00EC06CA" w:rsidRPr="00A9327A">
        <w:rPr>
          <w:lang w:val="fr-CH"/>
        </w:rPr>
        <w:t>'</w:t>
      </w:r>
      <w:r w:rsidRPr="00A9327A">
        <w:rPr>
          <w:lang w:val="fr-CH"/>
        </w:rPr>
        <w:t>UIT-T, des communications conférence ont été programmées à intervalles réguliers entre les Directeurs des bureaux régionaux et le Directeur du TSB assisté de son équipe de direction.</w:t>
      </w:r>
      <w:r w:rsidR="00C94A35" w:rsidRPr="00A9327A">
        <w:rPr>
          <w:lang w:val="fr-CH"/>
        </w:rPr>
        <w:t xml:space="preserve"> En outre, </w:t>
      </w:r>
      <w:r w:rsidR="00D31E90">
        <w:rPr>
          <w:lang w:val="fr-CH"/>
        </w:rPr>
        <w:t>les résumés analytiques des réunions des onze</w:t>
      </w:r>
      <w:r w:rsidR="00F84B1C" w:rsidRPr="00A9327A">
        <w:rPr>
          <w:lang w:val="fr-CH"/>
        </w:rPr>
        <w:t xml:space="preserve"> commissions d'études de l'UIT-T, qui mentionnent notamment la participation de chaque région, sont transmis aux Directeurs des bureaux régionaux.</w:t>
      </w:r>
    </w:p>
    <w:p w14:paraId="17147240" w14:textId="77777777" w:rsidR="002735DB" w:rsidRPr="00A9327A" w:rsidRDefault="002735DB" w:rsidP="00080985">
      <w:pPr>
        <w:pStyle w:val="Headingb"/>
        <w:rPr>
          <w:lang w:val="fr-CH"/>
        </w:rPr>
      </w:pPr>
      <w:r w:rsidRPr="00A9327A">
        <w:rPr>
          <w:lang w:val="fr-CH"/>
        </w:rPr>
        <w:t>3.4</w:t>
      </w:r>
      <w:r w:rsidRPr="00A9327A">
        <w:rPr>
          <w:lang w:val="fr-CH"/>
        </w:rPr>
        <w:tab/>
        <w:t>Secrétariat général</w:t>
      </w:r>
    </w:p>
    <w:p w14:paraId="066FBA20" w14:textId="5B0F324A" w:rsidR="002735DB" w:rsidRPr="00A9327A" w:rsidRDefault="002735DB" w:rsidP="00080985">
      <w:pPr>
        <w:snapToGrid w:val="0"/>
        <w:spacing w:after="120"/>
        <w:rPr>
          <w:sz w:val="23"/>
          <w:szCs w:val="23"/>
          <w:lang w:val="fr-CH"/>
        </w:rPr>
      </w:pPr>
      <w:r w:rsidRPr="00A9327A">
        <w:rPr>
          <w:lang w:val="fr-CH"/>
        </w:rPr>
        <w:t>3.4.1</w:t>
      </w:r>
      <w:r w:rsidRPr="00A9327A">
        <w:rPr>
          <w:lang w:val="fr-CH"/>
        </w:rPr>
        <w:tab/>
        <w:t xml:space="preserve">Dans le cadre de la mise en oeuvre du </w:t>
      </w:r>
      <w:r w:rsidRPr="00A9327A">
        <w:rPr>
          <w:color w:val="000000"/>
          <w:lang w:val="fr-CH"/>
        </w:rPr>
        <w:t xml:space="preserve">Programme de développement durable à </w:t>
      </w:r>
      <w:r w:rsidR="00284144">
        <w:rPr>
          <w:color w:val="000000"/>
          <w:lang w:val="fr-CH"/>
        </w:rPr>
        <w:t>l'horizon </w:t>
      </w:r>
      <w:r w:rsidRPr="00A9327A">
        <w:rPr>
          <w:color w:val="000000"/>
          <w:lang w:val="fr-CH"/>
        </w:rPr>
        <w:t>2030, qui reconnaît le rôle important des TIC en tant que vecteurs essentiels pour promouvoir la réalisation des</w:t>
      </w:r>
      <w:r w:rsidRPr="00A9327A">
        <w:rPr>
          <w:lang w:val="fr-CH"/>
        </w:rPr>
        <w:t xml:space="preserve"> </w:t>
      </w:r>
      <w:r w:rsidRPr="00A9327A">
        <w:rPr>
          <w:color w:val="000000"/>
          <w:lang w:val="fr-CH"/>
        </w:rPr>
        <w:t>Objectifs de développement durable (ODD) convenus à l'échelle mondiale, la coopération des bureaux régionaux et des bureaux de zone de l'UIT avec les organisations régionales concernées et d'autres organisations internationales s'occupant de développement et de questions financières, continuera d'être renforcée. Le rôle de l'UIT, en sa qualité de membre du système de développement des Nations Unies et en tant que contributeur</w:t>
      </w:r>
      <w:r w:rsidRPr="00A9327A">
        <w:rPr>
          <w:lang w:val="fr-CH"/>
        </w:rPr>
        <w:t xml:space="preserve"> financier au</w:t>
      </w:r>
      <w:r w:rsidRPr="00A9327A">
        <w:rPr>
          <w:sz w:val="23"/>
          <w:szCs w:val="23"/>
          <w:lang w:val="fr-CH"/>
        </w:rPr>
        <w:t xml:space="preserve"> </w:t>
      </w:r>
      <w:r w:rsidRPr="00A9327A">
        <w:rPr>
          <w:color w:val="000000"/>
          <w:lang w:val="fr-CH"/>
        </w:rPr>
        <w:t>système des coordonnateurs résidents du système des Nations Unies</w:t>
      </w:r>
      <w:r w:rsidRPr="00A9327A">
        <w:rPr>
          <w:lang w:val="fr-CH"/>
        </w:rPr>
        <w:t xml:space="preserve">, pour faire en sorte que le rôle de catalyseur des TIC soit dûment pris en considération dans le </w:t>
      </w:r>
      <w:r w:rsidRPr="00A9327A">
        <w:rPr>
          <w:color w:val="000000"/>
          <w:lang w:val="fr-CH"/>
        </w:rPr>
        <w:t>Plan</w:t>
      </w:r>
      <w:r w:rsidRPr="00A9327A">
        <w:rPr>
          <w:color w:val="000000"/>
          <w:lang w:val="fr-CH"/>
        </w:rPr>
        <w:noBreakHyphen/>
        <w:t>cadre des Nations Unies pour l'aide au développement</w:t>
      </w:r>
      <w:r w:rsidRPr="00A9327A">
        <w:rPr>
          <w:sz w:val="23"/>
          <w:szCs w:val="23"/>
          <w:lang w:val="fr-CH"/>
        </w:rPr>
        <w:t xml:space="preserve"> (</w:t>
      </w:r>
      <w:r w:rsidRPr="00A9327A">
        <w:rPr>
          <w:color w:val="000000"/>
          <w:lang w:val="fr-CH"/>
        </w:rPr>
        <w:t>PNUAD</w:t>
      </w:r>
      <w:r w:rsidRPr="00A9327A">
        <w:rPr>
          <w:sz w:val="23"/>
          <w:szCs w:val="23"/>
          <w:lang w:val="fr-CH"/>
        </w:rPr>
        <w:t>) et dans les documents équivalents ainsi que dans les stratégies visant à réduire la pauvreté, sera également renforcé.</w:t>
      </w:r>
    </w:p>
    <w:p w14:paraId="07440BEF" w14:textId="35C26453" w:rsidR="00C333FB" w:rsidRPr="00A9327A" w:rsidRDefault="00C333FB" w:rsidP="00080985">
      <w:pPr>
        <w:snapToGrid w:val="0"/>
        <w:spacing w:after="120"/>
        <w:rPr>
          <w:sz w:val="23"/>
          <w:szCs w:val="23"/>
          <w:lang w:val="fr-CH"/>
        </w:rPr>
      </w:pPr>
      <w:r w:rsidRPr="00A9327A">
        <w:rPr>
          <w:sz w:val="23"/>
          <w:szCs w:val="23"/>
          <w:lang w:val="fr-CH"/>
        </w:rPr>
        <w:t>3.4.2</w:t>
      </w:r>
      <w:r w:rsidRPr="00A9327A">
        <w:rPr>
          <w:sz w:val="23"/>
          <w:szCs w:val="23"/>
          <w:lang w:val="fr-CH"/>
        </w:rPr>
        <w:tab/>
        <w:t xml:space="preserve">A sa session de 2016, le Conseil a décidé </w:t>
      </w:r>
      <w:r w:rsidRPr="00A9327A">
        <w:rPr>
          <w:color w:val="000000"/>
          <w:lang w:val="fr-CH"/>
        </w:rPr>
        <w:t>d'utiliser le cadre du SMSI comme base pour la contribution que l'UIT apporte à la réalisation du Programme 2030, dans le cadre du mandat de l'Union et dans les limites des ressources allouées dans le plan financier et le budget biennal, compte tenu du Tableau de correspondance SMSI-ODD élaboré p</w:t>
      </w:r>
      <w:r w:rsidR="00080985">
        <w:rPr>
          <w:color w:val="000000"/>
          <w:lang w:val="fr-CH"/>
        </w:rPr>
        <w:t>ar les institutions des Nations </w:t>
      </w:r>
      <w:r w:rsidRPr="00A9327A">
        <w:rPr>
          <w:color w:val="000000"/>
          <w:lang w:val="fr-CH"/>
        </w:rPr>
        <w:t xml:space="preserve">Unies. En vue de renforcer la mise en oeuvre des </w:t>
      </w:r>
      <w:r w:rsidR="00080985">
        <w:rPr>
          <w:color w:val="000000"/>
          <w:lang w:val="fr-CH"/>
        </w:rPr>
        <w:t>résultats</w:t>
      </w:r>
      <w:r w:rsidRPr="00A9327A">
        <w:rPr>
          <w:color w:val="000000"/>
          <w:lang w:val="fr-CH"/>
        </w:rPr>
        <w:t xml:space="preserve"> du SMSI au niveau régional, les bureaux régionaux et les bureaux de zone de l'UIT sont encouragés à </w:t>
      </w:r>
      <w:r w:rsidR="0021001E" w:rsidRPr="00A9327A">
        <w:rPr>
          <w:color w:val="000000"/>
          <w:lang w:val="fr-CH"/>
        </w:rPr>
        <w:t>renforcer</w:t>
      </w:r>
      <w:r w:rsidRPr="00A9327A">
        <w:rPr>
          <w:color w:val="000000"/>
          <w:lang w:val="fr-CH"/>
        </w:rPr>
        <w:t xml:space="preserve"> la coordination et la collaboration au niveau régional (avec l'aide de l'équipe en charge du SMSI) avec les commissions économiques régionales des Nations Unies </w:t>
      </w:r>
      <w:r w:rsidR="0021001E" w:rsidRPr="00A9327A">
        <w:rPr>
          <w:color w:val="000000"/>
          <w:lang w:val="fr-CH"/>
        </w:rPr>
        <w:t>et le Groupe</w:t>
      </w:r>
      <w:r w:rsidR="00080985">
        <w:rPr>
          <w:color w:val="000000"/>
          <w:lang w:val="fr-CH"/>
        </w:rPr>
        <w:t xml:space="preserve"> régional</w:t>
      </w:r>
      <w:r w:rsidR="0021001E" w:rsidRPr="00A9327A">
        <w:rPr>
          <w:color w:val="000000"/>
          <w:lang w:val="fr-CH"/>
        </w:rPr>
        <w:t xml:space="preserve"> des Nations Unies pour le développement, ainsi qu'avec toutes</w:t>
      </w:r>
      <w:r w:rsidRPr="00A9327A">
        <w:rPr>
          <w:color w:val="000000"/>
          <w:lang w:val="fr-CH"/>
        </w:rPr>
        <w:t xml:space="preserve"> les institutions d</w:t>
      </w:r>
      <w:r w:rsidR="0021001E" w:rsidRPr="00A9327A">
        <w:rPr>
          <w:color w:val="000000"/>
          <w:lang w:val="fr-CH"/>
        </w:rPr>
        <w:t>u système d</w:t>
      </w:r>
      <w:r w:rsidRPr="00A9327A">
        <w:rPr>
          <w:color w:val="000000"/>
          <w:lang w:val="fr-CH"/>
        </w:rPr>
        <w:t>es Nations Unies</w:t>
      </w:r>
      <w:r w:rsidR="0021001E" w:rsidRPr="00A9327A">
        <w:rPr>
          <w:color w:val="000000"/>
          <w:lang w:val="fr-CH"/>
        </w:rPr>
        <w:t xml:space="preserve"> (en particulier celles qui jouent le rôle de coordonnateur pour les grandes orientations du SMSI)</w:t>
      </w:r>
      <w:r w:rsidRPr="00A9327A">
        <w:rPr>
          <w:color w:val="000000"/>
          <w:lang w:val="fr-CH"/>
        </w:rPr>
        <w:t xml:space="preserve"> et les autres organisations régionales concernées, en particulier dans le domaine des télécommunications/TIC</w:t>
      </w:r>
      <w:r w:rsidR="0021001E" w:rsidRPr="00A9327A">
        <w:rPr>
          <w:color w:val="000000"/>
          <w:lang w:val="fr-CH"/>
        </w:rPr>
        <w:t>, en vue d'aligner le processus du SMSI et celui des ODD ainsi que leur mise en oeuvre, conformément à la Résolution 70/125 de l'Assemblée générale des Nations Unies, de nouer des partenariats pour la mise en oeuvre de projets interinstitutions et multi-parties prenantes, de faire progresser la mise en oeuvre des grandes orientations du SMSI et d'accélérer la réalisation des ODD</w:t>
      </w:r>
      <w:r w:rsidR="00080985">
        <w:rPr>
          <w:color w:val="000000"/>
          <w:lang w:val="fr-CH"/>
        </w:rPr>
        <w:t>,</w:t>
      </w:r>
      <w:r w:rsidR="0021001E" w:rsidRPr="00A9327A">
        <w:rPr>
          <w:color w:val="000000"/>
          <w:lang w:val="fr-CH"/>
        </w:rPr>
        <w:t xml:space="preserve"> et de renforcer les contributions régionales au Forum du SMSI, au concours pour l'attribution des prix du SMSI et à l'inventaire des activités du SMSI.</w:t>
      </w:r>
    </w:p>
    <w:p w14:paraId="588A8D0A" w14:textId="77777777" w:rsidR="002735DB" w:rsidRPr="00A9327A" w:rsidRDefault="002735DB" w:rsidP="00080985">
      <w:pPr>
        <w:pStyle w:val="Heading1"/>
        <w:rPr>
          <w:lang w:val="fr-CH"/>
        </w:rPr>
      </w:pPr>
      <w:r w:rsidRPr="00A9327A">
        <w:rPr>
          <w:lang w:val="fr-CH"/>
        </w:rPr>
        <w:t>4</w:t>
      </w:r>
      <w:r w:rsidRPr="00A9327A">
        <w:rPr>
          <w:lang w:val="fr-CH"/>
        </w:rPr>
        <w:tab/>
        <w:t>Structure et effectifs</w:t>
      </w:r>
    </w:p>
    <w:p w14:paraId="5651A1D5" w14:textId="65BB9999" w:rsidR="002735DB" w:rsidRPr="00A9327A" w:rsidRDefault="002735DB" w:rsidP="00013809">
      <w:pPr>
        <w:rPr>
          <w:lang w:val="fr-CH"/>
        </w:rPr>
      </w:pPr>
      <w:r w:rsidRPr="00A9327A">
        <w:rPr>
          <w:lang w:val="fr-CH"/>
        </w:rPr>
        <w:t>4.1</w:t>
      </w:r>
      <w:r w:rsidRPr="00A9327A">
        <w:rPr>
          <w:lang w:val="fr-CH"/>
        </w:rPr>
        <w:tab/>
      </w:r>
      <w:r w:rsidR="0021001E" w:rsidRPr="00A9327A">
        <w:rPr>
          <w:lang w:val="fr-CH"/>
        </w:rPr>
        <w:t xml:space="preserve">Les Annexes 5 et 6 du </w:t>
      </w:r>
      <w:hyperlink r:id="rId18" w:history="1">
        <w:r w:rsidR="00013809" w:rsidRPr="004B2621">
          <w:rPr>
            <w:rStyle w:val="Hyperlink"/>
          </w:rPr>
          <w:t>Document C18/INF/6</w:t>
        </w:r>
      </w:hyperlink>
      <w:r w:rsidR="0021001E" w:rsidRPr="00A9327A">
        <w:rPr>
          <w:lang w:val="fr-CH"/>
        </w:rPr>
        <w:t xml:space="preserve"> indiquent la </w:t>
      </w:r>
      <w:r w:rsidR="0021001E" w:rsidRPr="00A9327A">
        <w:rPr>
          <w:color w:val="000000"/>
          <w:lang w:val="fr-CH"/>
        </w:rPr>
        <w:t>répartition</w:t>
      </w:r>
      <w:r w:rsidR="00080985">
        <w:rPr>
          <w:color w:val="000000"/>
          <w:lang w:val="fr-CH"/>
        </w:rPr>
        <w:t>, fin 2017,</w:t>
      </w:r>
      <w:r w:rsidR="0021001E" w:rsidRPr="00A9327A">
        <w:rPr>
          <w:color w:val="000000"/>
          <w:lang w:val="fr-CH"/>
        </w:rPr>
        <w:t xml:space="preserve"> des effectifs des bureaux régionaux et des bureaux de zone par grade, par région et par bureau. La structure du BDT continue d'offrir</w:t>
      </w:r>
      <w:r w:rsidRPr="00A9327A">
        <w:rPr>
          <w:lang w:val="fr-CH"/>
        </w:rPr>
        <w:t xml:space="preserve"> une base solide pour instaurer une relation horizontale entre le siège et les bureaux hors siège aux fins de l'exécution des projets.</w:t>
      </w:r>
      <w:r w:rsidR="0021001E" w:rsidRPr="00A9327A">
        <w:rPr>
          <w:lang w:val="fr-CH"/>
        </w:rPr>
        <w:t xml:space="preserve"> </w:t>
      </w:r>
      <w:r w:rsidRPr="00A9327A">
        <w:rPr>
          <w:lang w:val="fr-CH"/>
        </w:rPr>
        <w:t>La structure des différents bureaux régionaux et bureaux de zone ainsi que leurs effectifs tiennent compte, d'une part, des recommandations du Corps commun d'inspection des Nations Unies relatives aux moyens d'améliorer la présence régionale de l'UIT et, d'autre part, de la nécessité de mieux répondre aux attentes des membres.</w:t>
      </w:r>
    </w:p>
    <w:p w14:paraId="14BA431F" w14:textId="77777777" w:rsidR="002735DB" w:rsidRPr="00A9327A" w:rsidRDefault="0021001E" w:rsidP="00080985">
      <w:pPr>
        <w:rPr>
          <w:lang w:val="fr-CH"/>
        </w:rPr>
      </w:pPr>
      <w:r w:rsidRPr="00A9327A">
        <w:rPr>
          <w:lang w:val="fr-CH"/>
        </w:rPr>
        <w:t>4.2</w:t>
      </w:r>
      <w:r w:rsidR="002735DB" w:rsidRPr="00A9327A">
        <w:rPr>
          <w:lang w:val="fr-CH"/>
        </w:rPr>
        <w:tab/>
        <w:t xml:space="preserve">Les directeurs des bureaux régionaux rendent compte directement au Directeur du BDT. </w:t>
      </w:r>
      <w:r w:rsidRPr="00A9327A">
        <w:rPr>
          <w:lang w:val="fr-CH"/>
        </w:rPr>
        <w:t>Ils</w:t>
      </w:r>
      <w:r w:rsidR="002735DB" w:rsidRPr="00A9327A">
        <w:rPr>
          <w:lang w:val="fr-CH"/>
        </w:rPr>
        <w:t xml:space="preserve"> sont membres du Comité de gestion du BDT (ManCom) et, en cette qualité, participent donc directement aux discussions sur les grandes questions de stratégie et de politique qui ont une incidence sur le fonctionnement du BDT, notamment l'établissement du budget et l'attribution des ressources.</w:t>
      </w:r>
    </w:p>
    <w:p w14:paraId="48ADAE77" w14:textId="6B1632E1" w:rsidR="002735DB" w:rsidRPr="00A9327A" w:rsidRDefault="0021001E" w:rsidP="00080985">
      <w:pPr>
        <w:rPr>
          <w:lang w:val="fr-CH"/>
        </w:rPr>
      </w:pPr>
      <w:r w:rsidRPr="00A9327A">
        <w:rPr>
          <w:lang w:val="fr-CH"/>
        </w:rPr>
        <w:t>4.3</w:t>
      </w:r>
      <w:r w:rsidRPr="00A9327A">
        <w:rPr>
          <w:lang w:val="fr-CH"/>
        </w:rPr>
        <w:tab/>
        <w:t>On a continué à renforcer les</w:t>
      </w:r>
      <w:r w:rsidR="002735DB" w:rsidRPr="00A9327A">
        <w:rPr>
          <w:lang w:val="fr-CH"/>
        </w:rPr>
        <w:t xml:space="preserve"> capacités </w:t>
      </w:r>
      <w:r w:rsidRPr="00A9327A">
        <w:rPr>
          <w:lang w:val="fr-CH"/>
        </w:rPr>
        <w:t xml:space="preserve">des bureaux régionaux et des bureaux de zone </w:t>
      </w:r>
      <w:r w:rsidR="002735DB" w:rsidRPr="00A9327A">
        <w:rPr>
          <w:lang w:val="fr-CH"/>
        </w:rPr>
        <w:t xml:space="preserve">dans des domaines de spécialisation </w:t>
      </w:r>
      <w:r w:rsidR="00080985">
        <w:rPr>
          <w:lang w:val="fr-CH"/>
        </w:rPr>
        <w:t>très poussés</w:t>
      </w:r>
      <w:r w:rsidR="002735DB" w:rsidRPr="00A9327A">
        <w:rPr>
          <w:lang w:val="fr-CH"/>
        </w:rPr>
        <w:t>, en recrutant des experts techniques associés et un personnel d'appui au titre des initi</w:t>
      </w:r>
      <w:r w:rsidR="00080985">
        <w:rPr>
          <w:lang w:val="fr-CH"/>
        </w:rPr>
        <w:t>atives et des projets régionaux, en s'appuyant sur des réseaux d'experts très spécialisés.</w:t>
      </w:r>
    </w:p>
    <w:p w14:paraId="4A0AD988" w14:textId="4E24FE2F" w:rsidR="002735DB" w:rsidRPr="00A9327A" w:rsidRDefault="0021001E" w:rsidP="00080985">
      <w:pPr>
        <w:rPr>
          <w:lang w:val="fr-CH"/>
        </w:rPr>
      </w:pPr>
      <w:r w:rsidRPr="00A9327A">
        <w:rPr>
          <w:lang w:val="fr-CH"/>
        </w:rPr>
        <w:t>4.4</w:t>
      </w:r>
      <w:r w:rsidR="00080985">
        <w:rPr>
          <w:lang w:val="fr-CH"/>
        </w:rPr>
        <w:tab/>
        <w:t>D</w:t>
      </w:r>
      <w:r w:rsidR="002735DB" w:rsidRPr="00A9327A">
        <w:rPr>
          <w:lang w:val="fr-CH"/>
        </w:rPr>
        <w:t xml:space="preserve">es efforts </w:t>
      </w:r>
      <w:r w:rsidRPr="00A9327A">
        <w:rPr>
          <w:lang w:val="fr-CH"/>
        </w:rPr>
        <w:t>sont actuellement déployés</w:t>
      </w:r>
      <w:r w:rsidR="002735DB" w:rsidRPr="00A9327A">
        <w:rPr>
          <w:lang w:val="fr-CH"/>
        </w:rPr>
        <w:t xml:space="preserve"> pour encourager les Etats Membres à réfléchir à la possibilité de détacher des experts dans les bureaux régionaux et les bureaux de zone de l'UIT, notamment dans le cadre du Programme des administrateurs auxiliaires (JPO) et du Programme des Volontaires des Nations Unies (UNV).</w:t>
      </w:r>
    </w:p>
    <w:p w14:paraId="1D480921" w14:textId="77777777" w:rsidR="002735DB" w:rsidRPr="00A9327A" w:rsidRDefault="002735DB" w:rsidP="00080985">
      <w:pPr>
        <w:pStyle w:val="Heading1"/>
        <w:rPr>
          <w:lang w:val="fr-CH"/>
        </w:rPr>
      </w:pPr>
      <w:r w:rsidRPr="00A9327A">
        <w:rPr>
          <w:lang w:val="fr-CH"/>
        </w:rPr>
        <w:t>5</w:t>
      </w:r>
      <w:r w:rsidRPr="00A9327A">
        <w:rPr>
          <w:lang w:val="fr-CH"/>
        </w:rPr>
        <w:tab/>
        <w:t>Activités d'appui à l'autonomisation des bureaux régionaux et des bureaux de zone</w:t>
      </w:r>
    </w:p>
    <w:p w14:paraId="6F92FED8" w14:textId="77777777" w:rsidR="002735DB" w:rsidRPr="00A9327A" w:rsidRDefault="002735DB" w:rsidP="00080985">
      <w:pPr>
        <w:rPr>
          <w:lang w:val="fr-CH"/>
        </w:rPr>
      </w:pPr>
      <w:r w:rsidRPr="00A9327A">
        <w:rPr>
          <w:lang w:val="fr-CH"/>
        </w:rPr>
        <w:t>5.1</w:t>
      </w:r>
      <w:r w:rsidRPr="00A9327A">
        <w:rPr>
          <w:lang w:val="fr-CH"/>
        </w:rPr>
        <w:tab/>
      </w:r>
      <w:r w:rsidR="00496317" w:rsidRPr="00A9327A">
        <w:rPr>
          <w:lang w:val="fr-CH"/>
        </w:rPr>
        <w:t>Comme indiqué dans le Document C17/25 soumis au Conseil à sa session de 2017, les</w:t>
      </w:r>
      <w:r w:rsidRPr="00A9327A">
        <w:rPr>
          <w:lang w:val="fr-CH"/>
        </w:rPr>
        <w:t xml:space="preserve"> lignes directrices sur la gestion de la trésorerie et les questions financières ont été élaborées à l</w:t>
      </w:r>
      <w:r w:rsidR="00EC06CA" w:rsidRPr="00A9327A">
        <w:rPr>
          <w:lang w:val="fr-CH"/>
        </w:rPr>
        <w:t>'</w:t>
      </w:r>
      <w:r w:rsidRPr="00A9327A">
        <w:rPr>
          <w:lang w:val="fr-CH"/>
        </w:rPr>
        <w:t>intention des bureaux régionaux/de zone et leur ont été transmises, comme recommandé par l</w:t>
      </w:r>
      <w:r w:rsidR="00EC06CA" w:rsidRPr="00A9327A">
        <w:rPr>
          <w:lang w:val="fr-CH"/>
        </w:rPr>
        <w:t>'</w:t>
      </w:r>
      <w:r w:rsidRPr="00A9327A">
        <w:rPr>
          <w:lang w:val="fr-CH"/>
        </w:rPr>
        <w:t>auditeur interne.</w:t>
      </w:r>
    </w:p>
    <w:p w14:paraId="754785B9" w14:textId="1120ECB3" w:rsidR="002735DB" w:rsidRPr="00A9327A" w:rsidRDefault="00496317" w:rsidP="00080985">
      <w:pPr>
        <w:rPr>
          <w:lang w:val="fr-CH"/>
        </w:rPr>
      </w:pPr>
      <w:r w:rsidRPr="00A9327A">
        <w:rPr>
          <w:lang w:val="fr-CH"/>
        </w:rPr>
        <w:t>5.2</w:t>
      </w:r>
      <w:r w:rsidRPr="00A9327A">
        <w:rPr>
          <w:lang w:val="fr-CH"/>
        </w:rPr>
        <w:tab/>
        <w:t xml:space="preserve">Les directeurs des bureaux régionaux </w:t>
      </w:r>
      <w:r w:rsidR="00080985">
        <w:rPr>
          <w:lang w:val="fr-CH"/>
        </w:rPr>
        <w:t>continuent</w:t>
      </w:r>
      <w:r w:rsidRPr="00A9327A">
        <w:rPr>
          <w:lang w:val="fr-CH"/>
        </w:rPr>
        <w:t xml:space="preserve"> de se voir attribuer d</w:t>
      </w:r>
      <w:r w:rsidR="002735DB" w:rsidRPr="00A9327A">
        <w:rPr>
          <w:lang w:val="fr-CH"/>
        </w:rPr>
        <w:t xml:space="preserve">e nouveaux pouvoirs, </w:t>
      </w:r>
      <w:r w:rsidRPr="00A9327A">
        <w:rPr>
          <w:lang w:val="fr-CH"/>
        </w:rPr>
        <w:t>couvrant</w:t>
      </w:r>
      <w:r w:rsidR="002735DB" w:rsidRPr="00A9327A">
        <w:rPr>
          <w:lang w:val="fr-CH"/>
        </w:rPr>
        <w:t xml:space="preserve"> non seulement les projets, mais aussi la mise en oeuvre du plan opérationnel et des initiatives régionales, à savoir:</w:t>
      </w:r>
    </w:p>
    <w:p w14:paraId="53E201B7" w14:textId="4976DA52" w:rsidR="002735DB" w:rsidRPr="00A9327A" w:rsidRDefault="00013809" w:rsidP="00080985">
      <w:pPr>
        <w:pStyle w:val="enumlev1"/>
        <w:rPr>
          <w:lang w:val="fr-CH"/>
        </w:rPr>
      </w:pPr>
      <w:r w:rsidRPr="00013809">
        <w:rPr>
          <w:lang w:val="fr-CH"/>
        </w:rPr>
        <w:t>•</w:t>
      </w:r>
      <w:r w:rsidR="002735DB" w:rsidRPr="00A9327A">
        <w:rPr>
          <w:lang w:val="fr-CH"/>
        </w:rPr>
        <w:tab/>
        <w:t>signature de projets et d'accords de coopération dont le budget n'excède pas 150 000 USD;</w:t>
      </w:r>
    </w:p>
    <w:p w14:paraId="2068BEE5" w14:textId="44371694" w:rsidR="002735DB" w:rsidRPr="00A9327A" w:rsidRDefault="00013809" w:rsidP="00080985">
      <w:pPr>
        <w:pStyle w:val="enumlev1"/>
        <w:rPr>
          <w:lang w:val="fr-CH"/>
        </w:rPr>
      </w:pPr>
      <w:r w:rsidRPr="00013809">
        <w:rPr>
          <w:lang w:val="fr-CH"/>
        </w:rPr>
        <w:t>•</w:t>
      </w:r>
      <w:r w:rsidR="002735DB" w:rsidRPr="00A9327A">
        <w:rPr>
          <w:lang w:val="fr-CH"/>
        </w:rPr>
        <w:tab/>
        <w:t>assistance ad hoc pour les nouvelles mesures; et</w:t>
      </w:r>
    </w:p>
    <w:p w14:paraId="6D7022DE" w14:textId="4FD5CC6D" w:rsidR="002735DB" w:rsidRPr="00A9327A" w:rsidRDefault="00013809" w:rsidP="00080985">
      <w:pPr>
        <w:pStyle w:val="enumlev1"/>
        <w:rPr>
          <w:lang w:val="fr-CH"/>
        </w:rPr>
      </w:pPr>
      <w:r w:rsidRPr="00013809">
        <w:rPr>
          <w:lang w:val="fr-CH"/>
        </w:rPr>
        <w:t>•</w:t>
      </w:r>
      <w:r w:rsidR="002735DB" w:rsidRPr="00A9327A">
        <w:rPr>
          <w:lang w:val="fr-CH"/>
        </w:rPr>
        <w:tab/>
        <w:t>plan opérationnel pour l'attribution et la gestion du budget.</w:t>
      </w:r>
    </w:p>
    <w:p w14:paraId="01F68A06" w14:textId="77777777" w:rsidR="002735DB" w:rsidRPr="00A9327A" w:rsidRDefault="002735DB" w:rsidP="00080985">
      <w:pPr>
        <w:rPr>
          <w:lang w:val="fr-CH"/>
        </w:rPr>
      </w:pPr>
      <w:r w:rsidRPr="00A9327A">
        <w:rPr>
          <w:lang w:val="fr-CH"/>
        </w:rPr>
        <w:t>5.3</w:t>
      </w:r>
      <w:r w:rsidRPr="00A9327A">
        <w:rPr>
          <w:lang w:val="fr-CH"/>
        </w:rPr>
        <w:tab/>
      </w:r>
      <w:r w:rsidR="007C0F91" w:rsidRPr="00A9327A">
        <w:rPr>
          <w:lang w:val="fr-CH"/>
        </w:rPr>
        <w:t>Un certain nombre de</w:t>
      </w:r>
      <w:r w:rsidRPr="00A9327A">
        <w:rPr>
          <w:lang w:val="fr-CH"/>
        </w:rPr>
        <w:t xml:space="preserve"> processus ont été améliorés et automatisés et sont désormais accessibles aux bureaux régionaux et aux bureaux de zone par l'intermédiaire d'un po</w:t>
      </w:r>
      <w:r w:rsidR="007C0F91" w:rsidRPr="00A9327A">
        <w:rPr>
          <w:lang w:val="fr-CH"/>
        </w:rPr>
        <w:t>rtail web spécialisé, notamment</w:t>
      </w:r>
      <w:r w:rsidR="007C0F91" w:rsidRPr="00A9327A">
        <w:rPr>
          <w:lang w:val="fr-CH"/>
        </w:rPr>
        <w:tab/>
        <w:t xml:space="preserve">le recrutement d'experts, </w:t>
      </w:r>
      <w:r w:rsidRPr="00A9327A">
        <w:rPr>
          <w:lang w:val="fr-CH"/>
        </w:rPr>
        <w:t>les demandes de voyage</w:t>
      </w:r>
      <w:r w:rsidR="007C0F91" w:rsidRPr="00A9327A">
        <w:rPr>
          <w:lang w:val="fr-CH"/>
        </w:rPr>
        <w:t xml:space="preserve">, </w:t>
      </w:r>
      <w:r w:rsidRPr="00A9327A">
        <w:rPr>
          <w:lang w:val="fr-CH"/>
        </w:rPr>
        <w:t>les demandes relatives à l</w:t>
      </w:r>
      <w:r w:rsidR="00EC06CA" w:rsidRPr="00A9327A">
        <w:rPr>
          <w:lang w:val="fr-CH"/>
        </w:rPr>
        <w:t>'</w:t>
      </w:r>
      <w:r w:rsidRPr="00A9327A">
        <w:rPr>
          <w:lang w:val="fr-CH"/>
        </w:rPr>
        <w:t>engagement de dépenses</w:t>
      </w:r>
      <w:r w:rsidR="007C0F91" w:rsidRPr="00A9327A">
        <w:rPr>
          <w:lang w:val="fr-CH"/>
        </w:rPr>
        <w:t xml:space="preserve">, </w:t>
      </w:r>
      <w:r w:rsidRPr="00A9327A">
        <w:rPr>
          <w:lang w:val="fr-CH"/>
        </w:rPr>
        <w:t>le système du plan d'action/opérationnel (planification, surveillance, suivi)</w:t>
      </w:r>
      <w:r w:rsidR="007C0F91" w:rsidRPr="00A9327A">
        <w:rPr>
          <w:lang w:val="fr-CH"/>
        </w:rPr>
        <w:t>,</w:t>
      </w:r>
      <w:r w:rsidRPr="00A9327A">
        <w:rPr>
          <w:lang w:val="fr-CH"/>
        </w:rPr>
        <w:t xml:space="preserve"> la gestion des relations avec les fournisseurs</w:t>
      </w:r>
      <w:r w:rsidR="007C0F91" w:rsidRPr="00A9327A">
        <w:rPr>
          <w:lang w:val="fr-CH"/>
        </w:rPr>
        <w:t xml:space="preserve"> et </w:t>
      </w:r>
      <w:r w:rsidRPr="00A9327A">
        <w:rPr>
          <w:lang w:val="fr-CH"/>
        </w:rPr>
        <w:t>la coordination des manifestations.</w:t>
      </w:r>
    </w:p>
    <w:p w14:paraId="6A19C6E4" w14:textId="086FEE7A" w:rsidR="002735DB" w:rsidRPr="00A9327A" w:rsidRDefault="002735DB" w:rsidP="00080985">
      <w:pPr>
        <w:rPr>
          <w:lang w:val="fr-CH"/>
        </w:rPr>
      </w:pPr>
      <w:r w:rsidRPr="00A9327A">
        <w:rPr>
          <w:lang w:val="fr-CH"/>
        </w:rPr>
        <w:t>5.4</w:t>
      </w:r>
      <w:r w:rsidRPr="00A9327A">
        <w:rPr>
          <w:lang w:val="fr-CH"/>
        </w:rPr>
        <w:tab/>
        <w:t>L'accès aux méthodes de travail a été encore amélioré –</w:t>
      </w:r>
      <w:r w:rsidR="008F1DFA" w:rsidRPr="00A9327A">
        <w:rPr>
          <w:lang w:val="fr-CH"/>
        </w:rPr>
        <w:t xml:space="preserve"> </w:t>
      </w:r>
      <w:r w:rsidRPr="00A9327A">
        <w:rPr>
          <w:lang w:val="fr-CH"/>
        </w:rPr>
        <w:t xml:space="preserve">notamment </w:t>
      </w:r>
      <w:r w:rsidR="007C0F91" w:rsidRPr="00A9327A">
        <w:rPr>
          <w:lang w:val="fr-CH"/>
        </w:rPr>
        <w:t>par le biais d'</w:t>
      </w:r>
      <w:r w:rsidRPr="00A9327A">
        <w:rPr>
          <w:lang w:val="fr-CH"/>
        </w:rPr>
        <w:t>outils nécessaires à la planification des mesures/projets, au suivi et à l</w:t>
      </w:r>
      <w:r w:rsidR="00EC06CA" w:rsidRPr="00A9327A">
        <w:rPr>
          <w:lang w:val="fr-CH"/>
        </w:rPr>
        <w:t>'</w:t>
      </w:r>
      <w:r w:rsidRPr="00A9327A">
        <w:rPr>
          <w:lang w:val="fr-CH"/>
        </w:rPr>
        <w:t>établissement des rapports – de même que le système du plan opérationnel (OPS)</w:t>
      </w:r>
      <w:r w:rsidRPr="00A9327A">
        <w:rPr>
          <w:color w:val="000000"/>
          <w:lang w:val="fr-CH"/>
        </w:rPr>
        <w:t>. Des efforts importants ont été déployés pour réduire au minimum les coûts induits par l</w:t>
      </w:r>
      <w:r w:rsidR="00EC06CA" w:rsidRPr="00A9327A">
        <w:rPr>
          <w:color w:val="000000"/>
          <w:lang w:val="fr-CH"/>
        </w:rPr>
        <w:t>'</w:t>
      </w:r>
      <w:r w:rsidRPr="00A9327A">
        <w:rPr>
          <w:color w:val="000000"/>
          <w:lang w:val="fr-CH"/>
        </w:rPr>
        <w:t>utilisation des moyens informatiques lors des six Réun</w:t>
      </w:r>
      <w:r w:rsidR="007C0F91" w:rsidRPr="00A9327A">
        <w:rPr>
          <w:color w:val="000000"/>
          <w:lang w:val="fr-CH"/>
        </w:rPr>
        <w:t>ions préparatoires régionales. Pour ces réunions, l</w:t>
      </w:r>
      <w:r w:rsidRPr="00A9327A">
        <w:rPr>
          <w:color w:val="000000"/>
          <w:lang w:val="fr-CH"/>
        </w:rPr>
        <w:t>a réévaluation des exigences opérationnelles et des besoins en termes d</w:t>
      </w:r>
      <w:r w:rsidR="00EC06CA" w:rsidRPr="00A9327A">
        <w:rPr>
          <w:color w:val="000000"/>
          <w:lang w:val="fr-CH"/>
        </w:rPr>
        <w:t>'</w:t>
      </w:r>
      <w:r w:rsidRPr="00A9327A">
        <w:rPr>
          <w:color w:val="000000"/>
          <w:lang w:val="fr-CH"/>
        </w:rPr>
        <w:t>infrastructures a entraîné une réduction drastique du nombre d</w:t>
      </w:r>
      <w:r w:rsidR="00EC06CA" w:rsidRPr="00A9327A">
        <w:rPr>
          <w:color w:val="000000"/>
          <w:lang w:val="fr-CH"/>
        </w:rPr>
        <w:t>'</w:t>
      </w:r>
      <w:r w:rsidRPr="00A9327A">
        <w:rPr>
          <w:color w:val="000000"/>
          <w:lang w:val="fr-CH"/>
        </w:rPr>
        <w:t>équipements envoyés sur place, et l</w:t>
      </w:r>
      <w:r w:rsidR="00EC06CA" w:rsidRPr="00A9327A">
        <w:rPr>
          <w:color w:val="000000"/>
          <w:lang w:val="fr-CH"/>
        </w:rPr>
        <w:t>'</w:t>
      </w:r>
      <w:r w:rsidRPr="00A9327A">
        <w:rPr>
          <w:color w:val="000000"/>
          <w:lang w:val="fr-CH"/>
        </w:rPr>
        <w:t>appui informatique</w:t>
      </w:r>
      <w:r w:rsidR="00013809">
        <w:rPr>
          <w:color w:val="000000"/>
          <w:lang w:val="fr-CH"/>
        </w:rPr>
        <w:t xml:space="preserve"> a été assuré à distance par le </w:t>
      </w:r>
      <w:r w:rsidRPr="00A9327A">
        <w:rPr>
          <w:color w:val="000000"/>
          <w:lang w:val="fr-CH"/>
        </w:rPr>
        <w:t>BDT, depuis le siège de l</w:t>
      </w:r>
      <w:r w:rsidR="00EC06CA" w:rsidRPr="00A9327A">
        <w:rPr>
          <w:color w:val="000000"/>
          <w:lang w:val="fr-CH"/>
        </w:rPr>
        <w:t>'</w:t>
      </w:r>
      <w:r w:rsidRPr="00A9327A">
        <w:rPr>
          <w:color w:val="000000"/>
          <w:lang w:val="fr-CH"/>
        </w:rPr>
        <w:t>UIT, à Genève.</w:t>
      </w:r>
    </w:p>
    <w:p w14:paraId="79F01A4E" w14:textId="4C6D8A1F" w:rsidR="002735DB" w:rsidRPr="00A9327A" w:rsidRDefault="002735DB" w:rsidP="00080985">
      <w:pPr>
        <w:rPr>
          <w:lang w:val="fr-CH"/>
        </w:rPr>
      </w:pPr>
      <w:r w:rsidRPr="00A9327A">
        <w:rPr>
          <w:lang w:val="fr-CH"/>
        </w:rPr>
        <w:t>5.5</w:t>
      </w:r>
      <w:r w:rsidRPr="00A9327A">
        <w:rPr>
          <w:lang w:val="fr-CH"/>
        </w:rPr>
        <w:tab/>
        <w:t xml:space="preserve">La connectivité et les équipements informatiques des bureaux régionaux et des bureaux de zone ont été sensiblement améliorés. Une nouvelle spécification </w:t>
      </w:r>
      <w:r w:rsidR="007C0F91" w:rsidRPr="00A9327A">
        <w:rPr>
          <w:lang w:val="fr-CH"/>
        </w:rPr>
        <w:t>approuvée par le</w:t>
      </w:r>
      <w:r w:rsidRPr="00A9327A">
        <w:rPr>
          <w:lang w:val="fr-CH"/>
        </w:rPr>
        <w:t xml:space="preserve"> BDT relative aux équipements informatiques et à leur cycle de vie, qui accorde la priorité aux besoins des bureaux </w:t>
      </w:r>
      <w:r w:rsidR="008F1DFA" w:rsidRPr="00A9327A">
        <w:rPr>
          <w:lang w:val="fr-CH"/>
        </w:rPr>
        <w:t xml:space="preserve">hors siège </w:t>
      </w:r>
      <w:r w:rsidRPr="00A9327A">
        <w:rPr>
          <w:lang w:val="fr-CH"/>
        </w:rPr>
        <w:t xml:space="preserve">tout en servant les intérêts du BDT dans son ensemble, </w:t>
      </w:r>
      <w:r w:rsidR="007C0F91" w:rsidRPr="00A9327A">
        <w:rPr>
          <w:lang w:val="fr-CH"/>
        </w:rPr>
        <w:t>a pris</w:t>
      </w:r>
      <w:r w:rsidRPr="00A9327A">
        <w:rPr>
          <w:lang w:val="fr-CH"/>
        </w:rPr>
        <w:t xml:space="preserve"> effet en 2017. Compte tenu du fait que certains équipements assurant la</w:t>
      </w:r>
      <w:r w:rsidRPr="00A9327A">
        <w:rPr>
          <w:rFonts w:cstheme="minorHAnsi"/>
          <w:lang w:val="fr-CH"/>
        </w:rPr>
        <w:t xml:space="preserve"> connectivité dans les bureaux régionaux arrivent en fin de vie, de nouveaux équipements ont été achetés </w:t>
      </w:r>
      <w:r w:rsidR="007C0F91" w:rsidRPr="00A9327A">
        <w:rPr>
          <w:rFonts w:cstheme="minorHAnsi"/>
          <w:lang w:val="fr-CH"/>
        </w:rPr>
        <w:t>et installés</w:t>
      </w:r>
      <w:r w:rsidRPr="00A9327A">
        <w:rPr>
          <w:rFonts w:cstheme="minorHAnsi"/>
          <w:lang w:val="fr-CH"/>
        </w:rPr>
        <w:t xml:space="preserve"> en 2017, </w:t>
      </w:r>
      <w:r w:rsidR="007C0F91" w:rsidRPr="00A9327A">
        <w:rPr>
          <w:rFonts w:cstheme="minorHAnsi"/>
          <w:lang w:val="fr-CH"/>
        </w:rPr>
        <w:t>en</w:t>
      </w:r>
      <w:r w:rsidRPr="00A9327A">
        <w:rPr>
          <w:rFonts w:cstheme="minorHAnsi"/>
          <w:lang w:val="fr-CH"/>
        </w:rPr>
        <w:t xml:space="preserve"> remplacement de plusieurs systèmes dans l</w:t>
      </w:r>
      <w:r w:rsidR="00EC06CA" w:rsidRPr="00A9327A">
        <w:rPr>
          <w:rFonts w:cstheme="minorHAnsi"/>
          <w:lang w:val="fr-CH"/>
        </w:rPr>
        <w:t>'</w:t>
      </w:r>
      <w:r w:rsidR="007C0F91" w:rsidRPr="00A9327A">
        <w:rPr>
          <w:rFonts w:cstheme="minorHAnsi"/>
          <w:lang w:val="fr-CH"/>
        </w:rPr>
        <w:t>ensemble les bureaux régionaux.</w:t>
      </w:r>
      <w:r w:rsidRPr="00A9327A">
        <w:rPr>
          <w:rFonts w:cstheme="minorHAnsi"/>
          <w:lang w:val="fr-CH"/>
        </w:rPr>
        <w:t xml:space="preserve"> </w:t>
      </w:r>
      <w:r w:rsidR="007C0F91" w:rsidRPr="00A9327A">
        <w:rPr>
          <w:rFonts w:cstheme="minorHAnsi"/>
          <w:lang w:val="fr-CH"/>
        </w:rPr>
        <w:t xml:space="preserve">Cela </w:t>
      </w:r>
      <w:r w:rsidR="00080985">
        <w:rPr>
          <w:rFonts w:cstheme="minorHAnsi"/>
          <w:lang w:val="fr-CH"/>
        </w:rPr>
        <w:t>permet</w:t>
      </w:r>
      <w:r w:rsidRPr="00A9327A">
        <w:rPr>
          <w:rFonts w:cstheme="minorHAnsi"/>
          <w:lang w:val="fr-CH"/>
        </w:rPr>
        <w:t xml:space="preserve"> d</w:t>
      </w:r>
      <w:r w:rsidR="00EC06CA" w:rsidRPr="00A9327A">
        <w:rPr>
          <w:rFonts w:cstheme="minorHAnsi"/>
          <w:lang w:val="fr-CH"/>
        </w:rPr>
        <w:t>'</w:t>
      </w:r>
      <w:r w:rsidRPr="00A9327A">
        <w:rPr>
          <w:rFonts w:cstheme="minorHAnsi"/>
          <w:lang w:val="fr-CH"/>
        </w:rPr>
        <w:t>optimiser l</w:t>
      </w:r>
      <w:r w:rsidR="00EC06CA" w:rsidRPr="00A9327A">
        <w:rPr>
          <w:rFonts w:cstheme="minorHAnsi"/>
          <w:lang w:val="fr-CH"/>
        </w:rPr>
        <w:t>'</w:t>
      </w:r>
      <w:r w:rsidRPr="00A9327A">
        <w:rPr>
          <w:rFonts w:cstheme="minorHAnsi"/>
          <w:lang w:val="fr-CH"/>
        </w:rPr>
        <w:t>efficacité des flux de données, d</w:t>
      </w:r>
      <w:r w:rsidR="00EC06CA" w:rsidRPr="00A9327A">
        <w:rPr>
          <w:rFonts w:cstheme="minorHAnsi"/>
          <w:lang w:val="fr-CH"/>
        </w:rPr>
        <w:t>'</w:t>
      </w:r>
      <w:r w:rsidRPr="00A9327A">
        <w:rPr>
          <w:rFonts w:cstheme="minorHAnsi"/>
          <w:lang w:val="fr-CH"/>
        </w:rPr>
        <w:t>étendre la connectivité de la VoIP entre les bureaux régionaux et d</w:t>
      </w:r>
      <w:r w:rsidR="00EC06CA" w:rsidRPr="00A9327A">
        <w:rPr>
          <w:rFonts w:cstheme="minorHAnsi"/>
          <w:lang w:val="fr-CH"/>
        </w:rPr>
        <w:t>'</w:t>
      </w:r>
      <w:r w:rsidRPr="00A9327A">
        <w:rPr>
          <w:rFonts w:cstheme="minorHAnsi"/>
          <w:lang w:val="fr-CH"/>
        </w:rPr>
        <w:t>améliorer la disponibilité du service dans le bureau d</w:t>
      </w:r>
      <w:r w:rsidR="00EC06CA" w:rsidRPr="00A9327A">
        <w:rPr>
          <w:rFonts w:cstheme="minorHAnsi"/>
          <w:lang w:val="fr-CH"/>
        </w:rPr>
        <w:t>'</w:t>
      </w:r>
      <w:r w:rsidRPr="00A9327A">
        <w:rPr>
          <w:rFonts w:cstheme="minorHAnsi"/>
          <w:lang w:val="fr-CH"/>
        </w:rPr>
        <w:t xml:space="preserve">Addis-Abeba. Le BDT </w:t>
      </w:r>
      <w:r w:rsidR="007C0F91" w:rsidRPr="00A9327A">
        <w:rPr>
          <w:rFonts w:cstheme="minorHAnsi"/>
          <w:lang w:val="fr-CH"/>
        </w:rPr>
        <w:t xml:space="preserve">a continué de </w:t>
      </w:r>
      <w:r w:rsidRPr="00A9327A">
        <w:rPr>
          <w:rFonts w:cstheme="minorHAnsi"/>
          <w:lang w:val="fr-CH"/>
        </w:rPr>
        <w:t>pilote</w:t>
      </w:r>
      <w:r w:rsidR="007C0F91" w:rsidRPr="00A9327A">
        <w:rPr>
          <w:rFonts w:cstheme="minorHAnsi"/>
          <w:lang w:val="fr-CH"/>
        </w:rPr>
        <w:t>r</w:t>
      </w:r>
      <w:r w:rsidRPr="00A9327A">
        <w:rPr>
          <w:rFonts w:cstheme="minorHAnsi"/>
          <w:lang w:val="fr-CH"/>
        </w:rPr>
        <w:t xml:space="preserve"> </w:t>
      </w:r>
      <w:r w:rsidR="007C0F91" w:rsidRPr="00A9327A">
        <w:rPr>
          <w:rFonts w:cstheme="minorHAnsi"/>
          <w:lang w:val="fr-CH"/>
        </w:rPr>
        <w:t>sa</w:t>
      </w:r>
      <w:r w:rsidRPr="00A9327A">
        <w:rPr>
          <w:rFonts w:cstheme="minorHAnsi"/>
          <w:lang w:val="fr-CH"/>
        </w:rPr>
        <w:t xml:space="preserve"> validation de concept avec le fabricant des terminaux de conférence en vue d</w:t>
      </w:r>
      <w:r w:rsidR="00EC06CA" w:rsidRPr="00A9327A">
        <w:rPr>
          <w:rFonts w:cstheme="minorHAnsi"/>
          <w:lang w:val="fr-CH"/>
        </w:rPr>
        <w:t>'</w:t>
      </w:r>
      <w:r w:rsidRPr="00A9327A">
        <w:rPr>
          <w:rFonts w:cstheme="minorHAnsi"/>
          <w:lang w:val="fr-CH"/>
        </w:rPr>
        <w:t>étendre l</w:t>
      </w:r>
      <w:r w:rsidR="00EC06CA" w:rsidRPr="00A9327A">
        <w:rPr>
          <w:rFonts w:cstheme="minorHAnsi"/>
          <w:lang w:val="fr-CH"/>
        </w:rPr>
        <w:t>'</w:t>
      </w:r>
      <w:r w:rsidRPr="00A9327A">
        <w:rPr>
          <w:rFonts w:cstheme="minorHAnsi"/>
          <w:lang w:val="fr-CH"/>
        </w:rPr>
        <w:t xml:space="preserve">utilisation de </w:t>
      </w:r>
      <w:r w:rsidR="007C0F91" w:rsidRPr="00A9327A">
        <w:rPr>
          <w:rFonts w:cstheme="minorHAnsi"/>
          <w:lang w:val="fr-CH"/>
        </w:rPr>
        <w:t>son système de</w:t>
      </w:r>
      <w:r w:rsidRPr="00A9327A">
        <w:rPr>
          <w:rFonts w:cstheme="minorHAnsi"/>
          <w:lang w:val="fr-CH"/>
        </w:rPr>
        <w:t xml:space="preserve"> visioconférence</w:t>
      </w:r>
      <w:r w:rsidR="007C0F91" w:rsidRPr="00A9327A">
        <w:rPr>
          <w:rFonts w:cstheme="minorHAnsi"/>
          <w:lang w:val="fr-CH"/>
        </w:rPr>
        <w:t xml:space="preserve"> interne existant</w:t>
      </w:r>
      <w:r w:rsidRPr="00A9327A">
        <w:rPr>
          <w:rFonts w:cstheme="minorHAnsi"/>
          <w:lang w:val="fr-CH"/>
        </w:rPr>
        <w:t xml:space="preserve"> aux utilisateurs externes sans porter atteinte </w:t>
      </w:r>
      <w:r w:rsidR="00080985">
        <w:rPr>
          <w:rFonts w:cstheme="minorHAnsi"/>
          <w:lang w:val="fr-CH"/>
        </w:rPr>
        <w:t xml:space="preserve">ni </w:t>
      </w:r>
      <w:r w:rsidRPr="00A9327A">
        <w:rPr>
          <w:rFonts w:cstheme="minorHAnsi"/>
          <w:lang w:val="fr-CH"/>
        </w:rPr>
        <w:t>à la sécurité, ni à l</w:t>
      </w:r>
      <w:r w:rsidR="00EC06CA" w:rsidRPr="00A9327A">
        <w:rPr>
          <w:rFonts w:cstheme="minorHAnsi"/>
          <w:lang w:val="fr-CH"/>
        </w:rPr>
        <w:t>'</w:t>
      </w:r>
      <w:r w:rsidRPr="00A9327A">
        <w:rPr>
          <w:rFonts w:cstheme="minorHAnsi"/>
          <w:lang w:val="fr-CH"/>
        </w:rPr>
        <w:t>efficacité.</w:t>
      </w:r>
      <w:r w:rsidRPr="00A9327A">
        <w:rPr>
          <w:lang w:val="fr-CH"/>
        </w:rPr>
        <w:t xml:space="preserve"> </w:t>
      </w:r>
      <w:r w:rsidR="007C0F91" w:rsidRPr="00A9327A">
        <w:rPr>
          <w:lang w:val="fr-CH"/>
        </w:rPr>
        <w:t>Ce nouvel élément sera acheté et installé dans les bâtiments du siège de l'UIT en 2018.</w:t>
      </w:r>
    </w:p>
    <w:p w14:paraId="00EA9CBF" w14:textId="3E124D0C" w:rsidR="002735DB" w:rsidRPr="00080985" w:rsidRDefault="002735DB" w:rsidP="00080985">
      <w:pPr>
        <w:rPr>
          <w:rStyle w:val="Hyperlink"/>
          <w:color w:val="auto"/>
          <w:lang w:val="fr-CH"/>
        </w:rPr>
      </w:pPr>
      <w:r w:rsidRPr="00080985">
        <w:rPr>
          <w:lang w:val="fr-CH"/>
        </w:rPr>
        <w:t>5.6</w:t>
      </w:r>
      <w:r w:rsidRPr="00080985">
        <w:rPr>
          <w:lang w:val="fr-CH"/>
        </w:rPr>
        <w:tab/>
        <w:t>Les bureaux régionaux et les bureaux de zone sont tenus dûment informés de toutes les lettres circulaires et autres courriers concernant leurs régions respectives envoyés par le secrétariat, afin de garantir un suivi adapté selon les besoins.</w:t>
      </w:r>
    </w:p>
    <w:p w14:paraId="438C0861" w14:textId="77777777" w:rsidR="004F3B87" w:rsidRPr="00080985" w:rsidRDefault="004F3B87" w:rsidP="00080985">
      <w:pPr>
        <w:pStyle w:val="Reasons"/>
        <w:rPr>
          <w:lang w:val="fr-CH"/>
        </w:rPr>
      </w:pPr>
    </w:p>
    <w:p w14:paraId="6E2A4588" w14:textId="77777777" w:rsidR="00E75AE7" w:rsidRPr="00A9327A" w:rsidRDefault="002735DB" w:rsidP="00080985">
      <w:pPr>
        <w:jc w:val="center"/>
        <w:rPr>
          <w:lang w:val="fr-CH"/>
        </w:rPr>
      </w:pPr>
      <w:r w:rsidRPr="00A9327A">
        <w:rPr>
          <w:lang w:val="fr-CH"/>
        </w:rPr>
        <w:t>______________</w:t>
      </w:r>
    </w:p>
    <w:sectPr w:rsidR="00E75AE7" w:rsidRPr="00A9327A" w:rsidSect="0046636A">
      <w:headerReference w:type="even" r:id="rId19"/>
      <w:headerReference w:type="default" r:id="rId20"/>
      <w:footerReference w:type="even" r:id="rId21"/>
      <w:footerReference w:type="default" r:id="rId22"/>
      <w:footerReference w:type="first" r:id="rId2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BB156" w14:textId="77777777" w:rsidR="00284144" w:rsidRDefault="00284144" w:rsidP="00961B4A">
      <w:pPr>
        <w:spacing w:before="0"/>
      </w:pPr>
      <w:r>
        <w:separator/>
      </w:r>
    </w:p>
  </w:endnote>
  <w:endnote w:type="continuationSeparator" w:id="0">
    <w:p w14:paraId="19DE4279" w14:textId="77777777" w:rsidR="00284144" w:rsidRDefault="00284144" w:rsidP="00961B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11B" w14:textId="77777777" w:rsidR="00284144" w:rsidRPr="00E52D00" w:rsidRDefault="00284144">
    <w:pPr>
      <w:pStyle w:val="Footer"/>
      <w:rPr>
        <w:lang w:val="en-US"/>
      </w:rPr>
    </w:pPr>
    <w:r>
      <w:fldChar w:fldCharType="begin"/>
    </w:r>
    <w:r w:rsidRPr="00E52D00">
      <w:rPr>
        <w:lang w:val="en-US"/>
      </w:rPr>
      <w:instrText xml:space="preserve"> FILENAME \p \* MERGEFORMAT </w:instrText>
    </w:r>
    <w:r>
      <w:fldChar w:fldCharType="separate"/>
    </w:r>
    <w:r>
      <w:rPr>
        <w:lang w:val="en-US"/>
      </w:rPr>
      <w:t>P:\TRAD\F\LING\Godreau\Fév 2018\SG\425096F.docx</w:t>
    </w:r>
    <w:r>
      <w:fldChar w:fldCharType="end"/>
    </w:r>
    <w:r w:rsidRPr="00E52D00">
      <w:rPr>
        <w:lang w:val="en-US"/>
      </w:rPr>
      <w:tab/>
    </w:r>
    <w:r>
      <w:fldChar w:fldCharType="begin"/>
    </w:r>
    <w:r>
      <w:instrText xml:space="preserve"> savedate \@ dd.MM.yy </w:instrText>
    </w:r>
    <w:r>
      <w:fldChar w:fldCharType="separate"/>
    </w:r>
    <w:r w:rsidR="000813F6">
      <w:t>09.03.18</w:t>
    </w:r>
    <w:r>
      <w:fldChar w:fldCharType="end"/>
    </w:r>
    <w:r w:rsidRPr="00E52D00">
      <w:rPr>
        <w:lang w:val="en-US"/>
      </w:rPr>
      <w:tab/>
    </w:r>
    <w:r>
      <w:fldChar w:fldCharType="begin"/>
    </w:r>
    <w:r>
      <w:instrText xml:space="preserve"> printdate \@ dd.MM.yy </w:instrText>
    </w:r>
    <w:r>
      <w:fldChar w:fldCharType="separate"/>
    </w:r>
    <w:r>
      <w:t>16.02.18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0297" w14:textId="77777777" w:rsidR="00284144" w:rsidRPr="00E52D00" w:rsidRDefault="00284144" w:rsidP="004F3B87">
    <w:pPr>
      <w:pStyle w:val="Footer"/>
      <w:rPr>
        <w:lang w:val="en-US"/>
      </w:rPr>
    </w:pPr>
    <w:r>
      <w:fldChar w:fldCharType="begin"/>
    </w:r>
    <w:r w:rsidRPr="00E52D00">
      <w:rPr>
        <w:lang w:val="en-US"/>
      </w:rPr>
      <w:instrText xml:space="preserve"> FILENAME \p \* MERGEFORMAT </w:instrText>
    </w:r>
    <w:r>
      <w:fldChar w:fldCharType="separate"/>
    </w:r>
    <w:r>
      <w:rPr>
        <w:lang w:val="en-US"/>
      </w:rPr>
      <w:t>P:\TRAD\F\LING\Godreau\Fév 2018\SG\425096F.docx</w:t>
    </w:r>
    <w:r>
      <w:fldChar w:fldCharType="end"/>
    </w:r>
    <w:r w:rsidRPr="00E52D00">
      <w:rPr>
        <w:lang w:val="en-US"/>
      </w:rPr>
      <w:t xml:space="preserve"> (409475)</w:t>
    </w:r>
    <w:r w:rsidRPr="00E52D00">
      <w:rPr>
        <w:lang w:val="en-US"/>
      </w:rPr>
      <w:tab/>
    </w:r>
    <w:r>
      <w:fldChar w:fldCharType="begin"/>
    </w:r>
    <w:r>
      <w:instrText xml:space="preserve"> savedate \@ dd.MM.yy </w:instrText>
    </w:r>
    <w:r>
      <w:fldChar w:fldCharType="separate"/>
    </w:r>
    <w:r w:rsidR="000813F6">
      <w:t>09.03.18</w:t>
    </w:r>
    <w:r>
      <w:fldChar w:fldCharType="end"/>
    </w:r>
    <w:r w:rsidRPr="00E52D00">
      <w:rPr>
        <w:lang w:val="en-US"/>
      </w:rPr>
      <w:tab/>
    </w:r>
    <w:r>
      <w:fldChar w:fldCharType="begin"/>
    </w:r>
    <w:r>
      <w:instrText xml:space="preserve"> printdate \@ dd.MM.yy </w:instrText>
    </w:r>
    <w:r>
      <w:fldChar w:fldCharType="separate"/>
    </w:r>
    <w:r>
      <w:t>16.02.18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360F" w14:textId="77777777" w:rsidR="00284144" w:rsidRDefault="0028414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A8199" w14:textId="77777777" w:rsidR="00284144" w:rsidRDefault="00284144" w:rsidP="00961B4A">
      <w:pPr>
        <w:spacing w:before="0"/>
      </w:pPr>
      <w:r>
        <w:separator/>
      </w:r>
    </w:p>
  </w:footnote>
  <w:footnote w:type="continuationSeparator" w:id="0">
    <w:p w14:paraId="244300BC" w14:textId="77777777" w:rsidR="00284144" w:rsidRDefault="00284144" w:rsidP="00961B4A">
      <w:pPr>
        <w:spacing w:before="0"/>
      </w:pPr>
      <w:r>
        <w:continuationSeparator/>
      </w:r>
    </w:p>
  </w:footnote>
  <w:footnote w:id="1">
    <w:p w14:paraId="2ED19A3D" w14:textId="45E281FE" w:rsidR="00284144" w:rsidRPr="001F49EA" w:rsidRDefault="00284144" w:rsidP="00F361B2">
      <w:pPr>
        <w:pStyle w:val="FootnoteText"/>
        <w:rPr>
          <w:sz w:val="20"/>
          <w:lang w:val="fr-CH"/>
        </w:rPr>
      </w:pPr>
      <w:r>
        <w:rPr>
          <w:rStyle w:val="FootnoteReference"/>
        </w:rPr>
        <w:footnoteRef/>
      </w:r>
      <w:r>
        <w:rPr>
          <w:lang w:val="fr-CH"/>
        </w:rPr>
        <w:tab/>
      </w:r>
      <w:r w:rsidRPr="001F49EA">
        <w:rPr>
          <w:sz w:val="20"/>
          <w:szCs w:val="16"/>
          <w:lang w:val="fr-CH"/>
        </w:rPr>
        <w:t xml:space="preserve">Les chiffres financiers pour l'année 2017 sont provisoires </w:t>
      </w:r>
      <w:r>
        <w:rPr>
          <w:sz w:val="20"/>
          <w:szCs w:val="16"/>
          <w:lang w:val="fr-CH"/>
        </w:rPr>
        <w:t>jusqu'à</w:t>
      </w:r>
      <w:r w:rsidRPr="001F49EA">
        <w:rPr>
          <w:sz w:val="20"/>
          <w:szCs w:val="16"/>
          <w:lang w:val="fr-CH"/>
        </w:rPr>
        <w:t xml:space="preserve"> la clôture définitive des comptes. Les chiffres relatifs à la mise en oeuvre correspondent à des fonds engagés pour la mise en oeuvre </w:t>
      </w:r>
      <w:r>
        <w:rPr>
          <w:sz w:val="20"/>
          <w:szCs w:val="16"/>
          <w:lang w:val="fr-CH"/>
        </w:rPr>
        <w:t>de mesures</w:t>
      </w:r>
      <w:r w:rsidRPr="001F49EA">
        <w:rPr>
          <w:sz w:val="20"/>
          <w:szCs w:val="16"/>
          <w:lang w:val="fr-CH"/>
        </w:rPr>
        <w:t xml:space="preserve"> ou de projets.</w:t>
      </w:r>
      <w:r w:rsidRPr="001F49EA">
        <w:rPr>
          <w:sz w:val="16"/>
          <w:szCs w:val="16"/>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C829" w14:textId="77777777" w:rsidR="00284144" w:rsidRDefault="00284144">
    <w:pPr>
      <w:pStyle w:val="Header"/>
    </w:pPr>
    <w:r>
      <w:t xml:space="preserve">- </w:t>
    </w:r>
    <w:r>
      <w:fldChar w:fldCharType="begin"/>
    </w:r>
    <w:r>
      <w:instrText>PAGE</w:instrText>
    </w:r>
    <w:r>
      <w:fldChar w:fldCharType="separate"/>
    </w:r>
    <w:r>
      <w:rPr>
        <w:noProof/>
      </w:rPr>
      <w:t>2</w:t>
    </w:r>
    <w:r>
      <w:fldChar w:fldCharType="end"/>
    </w:r>
    <w:r>
      <w:t xml:space="preserve"> -</w:t>
    </w:r>
  </w:p>
  <w:p w14:paraId="77DBA515" w14:textId="77777777" w:rsidR="00284144" w:rsidRDefault="00284144">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28E4" w14:textId="77777777" w:rsidR="00284144" w:rsidRDefault="00284144" w:rsidP="0046636A">
    <w:pPr>
      <w:pStyle w:val="Header"/>
    </w:pPr>
    <w:r>
      <w:fldChar w:fldCharType="begin"/>
    </w:r>
    <w:r>
      <w:instrText>PAGE</w:instrText>
    </w:r>
    <w:r>
      <w:fldChar w:fldCharType="separate"/>
    </w:r>
    <w:r w:rsidR="000813F6">
      <w:rPr>
        <w:noProof/>
      </w:rPr>
      <w:t>2</w:t>
    </w:r>
    <w:r>
      <w:fldChar w:fldCharType="end"/>
    </w:r>
  </w:p>
  <w:p w14:paraId="3C1F78D0" w14:textId="06E637A8" w:rsidR="00284144" w:rsidRDefault="00284144" w:rsidP="00775567">
    <w:pPr>
      <w:pStyle w:val="Header"/>
    </w:pPr>
    <w:r>
      <w:t>C18/25-F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532ED"/>
    <w:multiLevelType w:val="hybridMultilevel"/>
    <w:tmpl w:val="E272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DB"/>
    <w:rsid w:val="00013809"/>
    <w:rsid w:val="000231AF"/>
    <w:rsid w:val="00053275"/>
    <w:rsid w:val="0006115F"/>
    <w:rsid w:val="0006566D"/>
    <w:rsid w:val="00080985"/>
    <w:rsid w:val="000813F6"/>
    <w:rsid w:val="000A45B5"/>
    <w:rsid w:val="00150567"/>
    <w:rsid w:val="00160473"/>
    <w:rsid w:val="001F49EA"/>
    <w:rsid w:val="0021001E"/>
    <w:rsid w:val="002531C0"/>
    <w:rsid w:val="002735DB"/>
    <w:rsid w:val="00280EA4"/>
    <w:rsid w:val="00284144"/>
    <w:rsid w:val="002C68AC"/>
    <w:rsid w:val="00327A02"/>
    <w:rsid w:val="00384A1B"/>
    <w:rsid w:val="003A087B"/>
    <w:rsid w:val="003B2B02"/>
    <w:rsid w:val="003E2C07"/>
    <w:rsid w:val="0046636A"/>
    <w:rsid w:val="00496317"/>
    <w:rsid w:val="004A1327"/>
    <w:rsid w:val="004B7604"/>
    <w:rsid w:val="004D1EDC"/>
    <w:rsid w:val="004F3B87"/>
    <w:rsid w:val="00525D1D"/>
    <w:rsid w:val="005534E5"/>
    <w:rsid w:val="005C73D2"/>
    <w:rsid w:val="005F77FD"/>
    <w:rsid w:val="00627C46"/>
    <w:rsid w:val="00661947"/>
    <w:rsid w:val="006834CA"/>
    <w:rsid w:val="006F6300"/>
    <w:rsid w:val="00775567"/>
    <w:rsid w:val="00787358"/>
    <w:rsid w:val="007A42BF"/>
    <w:rsid w:val="007C0F91"/>
    <w:rsid w:val="007E1D1C"/>
    <w:rsid w:val="0080654B"/>
    <w:rsid w:val="008352B2"/>
    <w:rsid w:val="00844E96"/>
    <w:rsid w:val="008E3732"/>
    <w:rsid w:val="008F1DFA"/>
    <w:rsid w:val="0090051D"/>
    <w:rsid w:val="00904B4E"/>
    <w:rsid w:val="0091710B"/>
    <w:rsid w:val="00925C92"/>
    <w:rsid w:val="00961B4A"/>
    <w:rsid w:val="00976ED1"/>
    <w:rsid w:val="009B6D13"/>
    <w:rsid w:val="009D242E"/>
    <w:rsid w:val="00A16FC3"/>
    <w:rsid w:val="00A34165"/>
    <w:rsid w:val="00A918CE"/>
    <w:rsid w:val="00A9327A"/>
    <w:rsid w:val="00AA3C45"/>
    <w:rsid w:val="00AA530D"/>
    <w:rsid w:val="00AB3840"/>
    <w:rsid w:val="00AC1108"/>
    <w:rsid w:val="00AF30FD"/>
    <w:rsid w:val="00B204E3"/>
    <w:rsid w:val="00B9147C"/>
    <w:rsid w:val="00BA227C"/>
    <w:rsid w:val="00BD7CEE"/>
    <w:rsid w:val="00BF07AB"/>
    <w:rsid w:val="00C03195"/>
    <w:rsid w:val="00C2703D"/>
    <w:rsid w:val="00C333FB"/>
    <w:rsid w:val="00C57BE3"/>
    <w:rsid w:val="00C94A35"/>
    <w:rsid w:val="00CD210C"/>
    <w:rsid w:val="00D229AD"/>
    <w:rsid w:val="00D31E90"/>
    <w:rsid w:val="00D34C50"/>
    <w:rsid w:val="00D40A7F"/>
    <w:rsid w:val="00D5647A"/>
    <w:rsid w:val="00D82FF3"/>
    <w:rsid w:val="00DB4942"/>
    <w:rsid w:val="00DC1877"/>
    <w:rsid w:val="00DC341D"/>
    <w:rsid w:val="00E1587E"/>
    <w:rsid w:val="00E52D00"/>
    <w:rsid w:val="00E75AE7"/>
    <w:rsid w:val="00EC06CA"/>
    <w:rsid w:val="00EF6256"/>
    <w:rsid w:val="00F361B2"/>
    <w:rsid w:val="00F52D01"/>
    <w:rsid w:val="00F70064"/>
    <w:rsid w:val="00F84B1C"/>
    <w:rsid w:val="00FB431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4C68"/>
  <w15:docId w15:val="{13EC0106-F33B-46CF-9039-9A70FD4F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19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paragraph" w:styleId="Heading1">
    <w:name w:val="heading 1"/>
    <w:basedOn w:val="Normal"/>
    <w:next w:val="Normal"/>
    <w:link w:val="Heading1Char"/>
    <w:qFormat/>
    <w:rsid w:val="00C03195"/>
    <w:pPr>
      <w:keepNext/>
      <w:keepLines/>
      <w:spacing w:before="480"/>
      <w:ind w:left="567" w:hanging="567"/>
      <w:outlineLvl w:val="0"/>
    </w:pPr>
    <w:rPr>
      <w:b/>
      <w:sz w:val="28"/>
    </w:rPr>
  </w:style>
  <w:style w:type="paragraph" w:styleId="Heading2">
    <w:name w:val="heading 2"/>
    <w:basedOn w:val="Heading1"/>
    <w:next w:val="Normal"/>
    <w:link w:val="Heading2Char"/>
    <w:qFormat/>
    <w:rsid w:val="00C03195"/>
    <w:pPr>
      <w:spacing w:before="320"/>
      <w:outlineLvl w:val="1"/>
    </w:pPr>
    <w:rPr>
      <w:sz w:val="24"/>
    </w:rPr>
  </w:style>
  <w:style w:type="paragraph" w:styleId="Heading3">
    <w:name w:val="heading 3"/>
    <w:basedOn w:val="Heading1"/>
    <w:next w:val="Normal"/>
    <w:link w:val="Heading3Char"/>
    <w:qFormat/>
    <w:rsid w:val="00C03195"/>
    <w:pPr>
      <w:spacing w:before="200"/>
      <w:outlineLvl w:val="2"/>
    </w:pPr>
    <w:rPr>
      <w:sz w:val="24"/>
    </w:rPr>
  </w:style>
  <w:style w:type="paragraph" w:styleId="Heading4">
    <w:name w:val="heading 4"/>
    <w:basedOn w:val="Heading3"/>
    <w:next w:val="Normal"/>
    <w:link w:val="Heading4Char"/>
    <w:qFormat/>
    <w:rsid w:val="00C03195"/>
    <w:pPr>
      <w:ind w:left="1134" w:hanging="1134"/>
      <w:outlineLvl w:val="3"/>
    </w:pPr>
  </w:style>
  <w:style w:type="paragraph" w:styleId="Heading5">
    <w:name w:val="heading 5"/>
    <w:basedOn w:val="Heading4"/>
    <w:next w:val="Normal"/>
    <w:link w:val="Heading5Char"/>
    <w:qFormat/>
    <w:rsid w:val="00C03195"/>
    <w:pPr>
      <w:outlineLvl w:val="4"/>
    </w:pPr>
  </w:style>
  <w:style w:type="paragraph" w:styleId="Heading6">
    <w:name w:val="heading 6"/>
    <w:basedOn w:val="Heading4"/>
    <w:next w:val="Normal"/>
    <w:link w:val="Heading6Char"/>
    <w:qFormat/>
    <w:rsid w:val="00C03195"/>
    <w:pPr>
      <w:outlineLvl w:val="5"/>
    </w:pPr>
  </w:style>
  <w:style w:type="paragraph" w:styleId="Heading7">
    <w:name w:val="heading 7"/>
    <w:basedOn w:val="Heading4"/>
    <w:next w:val="Normal"/>
    <w:link w:val="Heading7Char"/>
    <w:qFormat/>
    <w:rsid w:val="00C03195"/>
    <w:pPr>
      <w:ind w:left="1701" w:hanging="1701"/>
      <w:outlineLvl w:val="6"/>
    </w:pPr>
  </w:style>
  <w:style w:type="paragraph" w:styleId="Heading8">
    <w:name w:val="heading 8"/>
    <w:basedOn w:val="Heading4"/>
    <w:next w:val="Normal"/>
    <w:link w:val="Heading8Char"/>
    <w:qFormat/>
    <w:rsid w:val="00C03195"/>
    <w:pPr>
      <w:ind w:left="1701" w:hanging="1701"/>
      <w:outlineLvl w:val="7"/>
    </w:pPr>
  </w:style>
  <w:style w:type="paragraph" w:styleId="Heading9">
    <w:name w:val="heading 9"/>
    <w:basedOn w:val="Heading4"/>
    <w:next w:val="Normal"/>
    <w:link w:val="Heading9Char"/>
    <w:qFormat/>
    <w:rsid w:val="00C031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DB"/>
    <w:rPr>
      <w:rFonts w:ascii="Calibri" w:eastAsia="Times New Roman" w:hAnsi="Calibri" w:cs="Times New Roman"/>
      <w:b/>
      <w:sz w:val="28"/>
      <w:szCs w:val="20"/>
    </w:rPr>
  </w:style>
  <w:style w:type="character" w:customStyle="1" w:styleId="Heading2Char">
    <w:name w:val="Heading 2 Char"/>
    <w:basedOn w:val="DefaultParagraphFont"/>
    <w:link w:val="Heading2"/>
    <w:rsid w:val="002735DB"/>
    <w:rPr>
      <w:rFonts w:ascii="Calibri" w:eastAsia="Times New Roman" w:hAnsi="Calibri" w:cs="Times New Roman"/>
      <w:b/>
      <w:sz w:val="24"/>
      <w:szCs w:val="20"/>
    </w:rPr>
  </w:style>
  <w:style w:type="character" w:customStyle="1" w:styleId="Heading3Char">
    <w:name w:val="Heading 3 Char"/>
    <w:basedOn w:val="DefaultParagraphFont"/>
    <w:link w:val="Heading3"/>
    <w:rsid w:val="002735DB"/>
    <w:rPr>
      <w:rFonts w:ascii="Calibri" w:eastAsia="Times New Roman" w:hAnsi="Calibri" w:cs="Times New Roman"/>
      <w:b/>
      <w:sz w:val="24"/>
      <w:szCs w:val="20"/>
    </w:rPr>
  </w:style>
  <w:style w:type="character" w:customStyle="1" w:styleId="Heading4Char">
    <w:name w:val="Heading 4 Char"/>
    <w:basedOn w:val="DefaultParagraphFont"/>
    <w:link w:val="Heading4"/>
    <w:rsid w:val="002735DB"/>
    <w:rPr>
      <w:rFonts w:ascii="Calibri" w:eastAsia="Times New Roman" w:hAnsi="Calibri" w:cs="Times New Roman"/>
      <w:b/>
      <w:sz w:val="24"/>
      <w:szCs w:val="20"/>
    </w:rPr>
  </w:style>
  <w:style w:type="character" w:customStyle="1" w:styleId="Heading5Char">
    <w:name w:val="Heading 5 Char"/>
    <w:basedOn w:val="DefaultParagraphFont"/>
    <w:link w:val="Heading5"/>
    <w:rsid w:val="002735DB"/>
    <w:rPr>
      <w:rFonts w:ascii="Calibri" w:eastAsia="Times New Roman" w:hAnsi="Calibri" w:cs="Times New Roman"/>
      <w:b/>
      <w:sz w:val="24"/>
      <w:szCs w:val="20"/>
    </w:rPr>
  </w:style>
  <w:style w:type="character" w:customStyle="1" w:styleId="Heading6Char">
    <w:name w:val="Heading 6 Char"/>
    <w:basedOn w:val="DefaultParagraphFont"/>
    <w:link w:val="Heading6"/>
    <w:rsid w:val="002735DB"/>
    <w:rPr>
      <w:rFonts w:ascii="Calibri" w:eastAsia="Times New Roman" w:hAnsi="Calibri" w:cs="Times New Roman"/>
      <w:b/>
      <w:sz w:val="24"/>
      <w:szCs w:val="20"/>
    </w:rPr>
  </w:style>
  <w:style w:type="character" w:customStyle="1" w:styleId="Heading7Char">
    <w:name w:val="Heading 7 Char"/>
    <w:basedOn w:val="DefaultParagraphFont"/>
    <w:link w:val="Heading7"/>
    <w:rsid w:val="002735DB"/>
    <w:rPr>
      <w:rFonts w:ascii="Calibri" w:eastAsia="Times New Roman" w:hAnsi="Calibri" w:cs="Times New Roman"/>
      <w:b/>
      <w:sz w:val="24"/>
      <w:szCs w:val="20"/>
    </w:rPr>
  </w:style>
  <w:style w:type="character" w:customStyle="1" w:styleId="Heading8Char">
    <w:name w:val="Heading 8 Char"/>
    <w:basedOn w:val="DefaultParagraphFont"/>
    <w:link w:val="Heading8"/>
    <w:rsid w:val="002735DB"/>
    <w:rPr>
      <w:rFonts w:ascii="Calibri" w:eastAsia="Times New Roman" w:hAnsi="Calibri" w:cs="Times New Roman"/>
      <w:b/>
      <w:sz w:val="24"/>
      <w:szCs w:val="20"/>
    </w:rPr>
  </w:style>
  <w:style w:type="character" w:customStyle="1" w:styleId="Heading9Char">
    <w:name w:val="Heading 9 Char"/>
    <w:basedOn w:val="DefaultParagraphFont"/>
    <w:link w:val="Heading9"/>
    <w:rsid w:val="002735DB"/>
    <w:rPr>
      <w:rFonts w:ascii="Calibri" w:eastAsia="Times New Roman" w:hAnsi="Calibri" w:cs="Times New Roman"/>
      <w:b/>
      <w:sz w:val="24"/>
      <w:szCs w:val="20"/>
    </w:rPr>
  </w:style>
  <w:style w:type="paragraph" w:styleId="TOC8">
    <w:name w:val="toc 8"/>
    <w:basedOn w:val="Normal"/>
    <w:next w:val="Normal"/>
    <w:rsid w:val="00C031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C031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C031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C031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C031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C031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C031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C0319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C03195"/>
    <w:pPr>
      <w:ind w:left="1698"/>
    </w:pPr>
  </w:style>
  <w:style w:type="paragraph" w:styleId="Index6">
    <w:name w:val="index 6"/>
    <w:basedOn w:val="Normal"/>
    <w:next w:val="Normal"/>
    <w:rsid w:val="00C03195"/>
    <w:pPr>
      <w:ind w:left="1415"/>
    </w:pPr>
  </w:style>
  <w:style w:type="paragraph" w:styleId="Index5">
    <w:name w:val="index 5"/>
    <w:basedOn w:val="Normal"/>
    <w:next w:val="Normal"/>
    <w:rsid w:val="00C03195"/>
    <w:pPr>
      <w:ind w:left="1132"/>
    </w:pPr>
  </w:style>
  <w:style w:type="paragraph" w:styleId="Index4">
    <w:name w:val="index 4"/>
    <w:basedOn w:val="Normal"/>
    <w:next w:val="Normal"/>
    <w:rsid w:val="00C03195"/>
    <w:pPr>
      <w:ind w:left="849"/>
    </w:pPr>
  </w:style>
  <w:style w:type="paragraph" w:styleId="Index3">
    <w:name w:val="index 3"/>
    <w:basedOn w:val="Normal"/>
    <w:next w:val="Normal"/>
    <w:rsid w:val="00C03195"/>
    <w:pPr>
      <w:ind w:left="566"/>
    </w:pPr>
  </w:style>
  <w:style w:type="paragraph" w:styleId="Index2">
    <w:name w:val="index 2"/>
    <w:basedOn w:val="Normal"/>
    <w:next w:val="Normal"/>
    <w:rsid w:val="00C03195"/>
    <w:pPr>
      <w:ind w:left="283"/>
    </w:pPr>
  </w:style>
  <w:style w:type="paragraph" w:styleId="Index1">
    <w:name w:val="index 1"/>
    <w:basedOn w:val="Normal"/>
    <w:next w:val="Normal"/>
    <w:rsid w:val="00C03195"/>
  </w:style>
  <w:style w:type="character" w:styleId="LineNumber">
    <w:name w:val="line number"/>
    <w:basedOn w:val="DefaultParagraphFont"/>
    <w:rsid w:val="00C03195"/>
  </w:style>
  <w:style w:type="paragraph" w:styleId="IndexHeading">
    <w:name w:val="index heading"/>
    <w:basedOn w:val="Normal"/>
    <w:next w:val="Index1"/>
    <w:rsid w:val="00C03195"/>
  </w:style>
  <w:style w:type="paragraph" w:styleId="Footer">
    <w:name w:val="footer"/>
    <w:basedOn w:val="Normal"/>
    <w:link w:val="FooterChar"/>
    <w:rsid w:val="00C0319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2735DB"/>
    <w:rPr>
      <w:rFonts w:ascii="Calibri" w:eastAsia="Times New Roman" w:hAnsi="Calibri" w:cs="Times New Roman"/>
      <w:caps/>
      <w:noProof/>
      <w:sz w:val="16"/>
      <w:szCs w:val="20"/>
    </w:rPr>
  </w:style>
  <w:style w:type="paragraph" w:styleId="Header">
    <w:name w:val="header"/>
    <w:basedOn w:val="Normal"/>
    <w:link w:val="HeaderChar"/>
    <w:rsid w:val="00C0319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735DB"/>
    <w:rPr>
      <w:rFonts w:ascii="Calibri" w:eastAsia="Times New Roman" w:hAnsi="Calibri" w:cs="Times New Roman"/>
      <w:sz w:val="18"/>
      <w:szCs w:val="20"/>
    </w:rPr>
  </w:style>
  <w:style w:type="character" w:styleId="FootnoteReference">
    <w:name w:val="footnote reference"/>
    <w:aliases w:val="Appel note de bas de p,Footnote Reference/,Footnote symbol,Ref,de nota al pie"/>
    <w:basedOn w:val="DefaultParagraphFont"/>
    <w:rsid w:val="00C03195"/>
    <w:rPr>
      <w:rFonts w:ascii="Calibri" w:hAnsi="Calibri"/>
      <w:position w:val="6"/>
      <w:sz w:val="16"/>
    </w:rPr>
  </w:style>
  <w:style w:type="paragraph" w:styleId="FootnoteText">
    <w:name w:val="footnote text"/>
    <w:basedOn w:val="Normal"/>
    <w:link w:val="FootnoteTextChar"/>
    <w:rsid w:val="00C03195"/>
    <w:pPr>
      <w:keepLines/>
      <w:tabs>
        <w:tab w:val="left" w:pos="256"/>
      </w:tabs>
      <w:ind w:left="256" w:hanging="256"/>
    </w:pPr>
  </w:style>
  <w:style w:type="character" w:customStyle="1" w:styleId="FootnoteTextChar">
    <w:name w:val="Footnote Text Char"/>
    <w:basedOn w:val="DefaultParagraphFont"/>
    <w:link w:val="FootnoteText"/>
    <w:rsid w:val="002735DB"/>
    <w:rPr>
      <w:rFonts w:ascii="Calibri" w:eastAsia="Times New Roman" w:hAnsi="Calibri" w:cs="Times New Roman"/>
      <w:sz w:val="24"/>
      <w:szCs w:val="20"/>
    </w:rPr>
  </w:style>
  <w:style w:type="paragraph" w:styleId="NormalIndent">
    <w:name w:val="Normal Indent"/>
    <w:basedOn w:val="Normal"/>
    <w:rsid w:val="00C03195"/>
    <w:pPr>
      <w:ind w:left="567"/>
    </w:pPr>
  </w:style>
  <w:style w:type="paragraph" w:customStyle="1" w:styleId="enumlev1">
    <w:name w:val="enumlev1"/>
    <w:basedOn w:val="Normal"/>
    <w:rsid w:val="00C03195"/>
    <w:pPr>
      <w:spacing w:before="86"/>
      <w:ind w:left="567" w:hanging="567"/>
    </w:pPr>
  </w:style>
  <w:style w:type="paragraph" w:customStyle="1" w:styleId="enumlev2">
    <w:name w:val="enumlev2"/>
    <w:basedOn w:val="enumlev1"/>
    <w:rsid w:val="00C03195"/>
    <w:pPr>
      <w:ind w:left="1134"/>
    </w:pPr>
  </w:style>
  <w:style w:type="paragraph" w:customStyle="1" w:styleId="enumlev3">
    <w:name w:val="enumlev3"/>
    <w:basedOn w:val="enumlev2"/>
    <w:rsid w:val="00C03195"/>
    <w:pPr>
      <w:ind w:left="1701"/>
    </w:pPr>
  </w:style>
  <w:style w:type="paragraph" w:customStyle="1" w:styleId="Equation">
    <w:name w:val="Equation"/>
    <w:basedOn w:val="Normal"/>
    <w:rsid w:val="00C03195"/>
    <w:pPr>
      <w:tabs>
        <w:tab w:val="center" w:pos="4820"/>
        <w:tab w:val="right" w:pos="9639"/>
      </w:tabs>
    </w:pPr>
  </w:style>
  <w:style w:type="paragraph" w:customStyle="1" w:styleId="Head">
    <w:name w:val="Head"/>
    <w:basedOn w:val="Normal"/>
    <w:rsid w:val="00C03195"/>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C03195"/>
    <w:pPr>
      <w:spacing w:before="240"/>
    </w:pPr>
  </w:style>
  <w:style w:type="paragraph" w:customStyle="1" w:styleId="Call">
    <w:name w:val="Call"/>
    <w:basedOn w:val="Normal"/>
    <w:next w:val="Normal"/>
    <w:rsid w:val="00C0319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C03195"/>
    <w:pPr>
      <w:tabs>
        <w:tab w:val="clear" w:pos="567"/>
        <w:tab w:val="clear" w:pos="1134"/>
        <w:tab w:val="clear" w:pos="1701"/>
        <w:tab w:val="clear" w:pos="2268"/>
        <w:tab w:val="clear" w:pos="2835"/>
        <w:tab w:val="right" w:pos="9781"/>
      </w:tabs>
    </w:pPr>
    <w:rPr>
      <w:b/>
    </w:rPr>
  </w:style>
  <w:style w:type="paragraph" w:styleId="List">
    <w:name w:val="List"/>
    <w:basedOn w:val="Normal"/>
    <w:rsid w:val="00C03195"/>
    <w:pPr>
      <w:tabs>
        <w:tab w:val="left" w:pos="2127"/>
      </w:tabs>
      <w:ind w:left="2127" w:hanging="2127"/>
    </w:pPr>
  </w:style>
  <w:style w:type="paragraph" w:customStyle="1" w:styleId="docnoted">
    <w:name w:val="docnoted"/>
    <w:basedOn w:val="Normal"/>
    <w:rsid w:val="002735DB"/>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C03195"/>
    <w:pPr>
      <w:tabs>
        <w:tab w:val="left" w:pos="1276"/>
      </w:tabs>
      <w:spacing w:before="199"/>
      <w:ind w:left="1701" w:hanging="1701"/>
    </w:pPr>
    <w:rPr>
      <w:caps/>
    </w:rPr>
  </w:style>
  <w:style w:type="paragraph" w:customStyle="1" w:styleId="Reasons">
    <w:name w:val="Reasons"/>
    <w:basedOn w:val="Normal"/>
    <w:rsid w:val="00C03195"/>
  </w:style>
  <w:style w:type="paragraph" w:customStyle="1" w:styleId="meeting">
    <w:name w:val="meeting"/>
    <w:basedOn w:val="Head"/>
    <w:next w:val="Head"/>
    <w:rsid w:val="00C03195"/>
    <w:pPr>
      <w:tabs>
        <w:tab w:val="left" w:pos="7371"/>
      </w:tabs>
      <w:spacing w:after="567"/>
    </w:pPr>
  </w:style>
  <w:style w:type="paragraph" w:customStyle="1" w:styleId="Subject">
    <w:name w:val="Subject"/>
    <w:basedOn w:val="Normal"/>
    <w:next w:val="Source"/>
    <w:rsid w:val="00C03195"/>
    <w:pPr>
      <w:tabs>
        <w:tab w:val="left" w:pos="709"/>
      </w:tabs>
      <w:spacing w:before="0"/>
      <w:ind w:left="709" w:hanging="709"/>
    </w:pPr>
  </w:style>
  <w:style w:type="paragraph" w:customStyle="1" w:styleId="Source">
    <w:name w:val="Source"/>
    <w:basedOn w:val="Normal"/>
    <w:next w:val="Title1"/>
    <w:rsid w:val="00C03195"/>
    <w:pPr>
      <w:spacing w:before="840"/>
      <w:jc w:val="center"/>
    </w:pPr>
    <w:rPr>
      <w:b/>
      <w:sz w:val="28"/>
    </w:rPr>
  </w:style>
  <w:style w:type="paragraph" w:customStyle="1" w:styleId="Object">
    <w:name w:val="Object"/>
    <w:basedOn w:val="Subject"/>
    <w:next w:val="Subject"/>
    <w:rsid w:val="00C03195"/>
  </w:style>
  <w:style w:type="paragraph" w:customStyle="1" w:styleId="Data">
    <w:name w:val="Data"/>
    <w:basedOn w:val="Subject"/>
    <w:next w:val="Subject"/>
    <w:rsid w:val="00C03195"/>
  </w:style>
  <w:style w:type="paragraph" w:customStyle="1" w:styleId="Headingb">
    <w:name w:val="Heading_b"/>
    <w:basedOn w:val="Heading3"/>
    <w:next w:val="Normal"/>
    <w:rsid w:val="00C03195"/>
    <w:pPr>
      <w:spacing w:before="160"/>
      <w:outlineLvl w:val="0"/>
    </w:pPr>
  </w:style>
  <w:style w:type="paragraph" w:customStyle="1" w:styleId="Title1">
    <w:name w:val="Title 1"/>
    <w:basedOn w:val="Source"/>
    <w:next w:val="Title2"/>
    <w:rsid w:val="00C03195"/>
    <w:pPr>
      <w:spacing w:before="240"/>
    </w:pPr>
    <w:rPr>
      <w:b w:val="0"/>
      <w:caps/>
    </w:rPr>
  </w:style>
  <w:style w:type="paragraph" w:customStyle="1" w:styleId="dnum">
    <w:name w:val="dnum"/>
    <w:basedOn w:val="Normal"/>
    <w:rsid w:val="00C03195"/>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C03195"/>
    <w:rPr>
      <w:caps w:val="0"/>
    </w:rPr>
  </w:style>
  <w:style w:type="paragraph" w:customStyle="1" w:styleId="Note">
    <w:name w:val="Note"/>
    <w:basedOn w:val="Normal"/>
    <w:rsid w:val="00C03195"/>
    <w:pPr>
      <w:spacing w:before="80"/>
    </w:pPr>
  </w:style>
  <w:style w:type="paragraph" w:styleId="TOC9">
    <w:name w:val="toc 9"/>
    <w:basedOn w:val="Normal"/>
    <w:next w:val="Normal"/>
    <w:rsid w:val="00C0319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C03195"/>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C03195"/>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C03195"/>
    <w:rPr>
      <w:color w:val="0000FF"/>
      <w:u w:val="single"/>
    </w:rPr>
  </w:style>
  <w:style w:type="character" w:styleId="FollowedHyperlink">
    <w:name w:val="FollowedHyperlink"/>
    <w:basedOn w:val="DefaultParagraphFont"/>
    <w:rsid w:val="00C03195"/>
    <w:rPr>
      <w:color w:val="800080"/>
      <w:u w:val="single"/>
    </w:rPr>
  </w:style>
  <w:style w:type="paragraph" w:customStyle="1" w:styleId="AnnexNo">
    <w:name w:val="Annex_No"/>
    <w:basedOn w:val="Normal"/>
    <w:next w:val="Annexref"/>
    <w:rsid w:val="00C03195"/>
    <w:pPr>
      <w:spacing w:before="720"/>
      <w:jc w:val="center"/>
    </w:pPr>
    <w:rPr>
      <w:caps/>
      <w:sz w:val="28"/>
    </w:rPr>
  </w:style>
  <w:style w:type="paragraph" w:customStyle="1" w:styleId="Annexref">
    <w:name w:val="Annex_ref"/>
    <w:basedOn w:val="Normal"/>
    <w:next w:val="Annextitle"/>
    <w:rsid w:val="00C03195"/>
    <w:pPr>
      <w:jc w:val="center"/>
    </w:pPr>
    <w:rPr>
      <w:sz w:val="28"/>
    </w:rPr>
  </w:style>
  <w:style w:type="paragraph" w:customStyle="1" w:styleId="Annextitle">
    <w:name w:val="Annex_title"/>
    <w:basedOn w:val="Normal"/>
    <w:next w:val="Normal"/>
    <w:rsid w:val="00C03195"/>
    <w:pPr>
      <w:spacing w:before="240" w:after="240"/>
      <w:jc w:val="center"/>
    </w:pPr>
    <w:rPr>
      <w:b/>
      <w:sz w:val="28"/>
    </w:rPr>
  </w:style>
  <w:style w:type="paragraph" w:customStyle="1" w:styleId="AppendixNo">
    <w:name w:val="Appendix_No"/>
    <w:basedOn w:val="AnnexNo"/>
    <w:next w:val="Appendixref"/>
    <w:rsid w:val="00C03195"/>
  </w:style>
  <w:style w:type="paragraph" w:customStyle="1" w:styleId="Appendixref">
    <w:name w:val="Appendix_ref"/>
    <w:basedOn w:val="Annexref"/>
    <w:next w:val="Appendixtitle"/>
    <w:rsid w:val="00C03195"/>
  </w:style>
  <w:style w:type="paragraph" w:customStyle="1" w:styleId="Appendixtitle">
    <w:name w:val="Appendix_title"/>
    <w:basedOn w:val="Annextitle"/>
    <w:next w:val="Normal"/>
    <w:rsid w:val="00C03195"/>
  </w:style>
  <w:style w:type="paragraph" w:customStyle="1" w:styleId="Artheading">
    <w:name w:val="Art_heading"/>
    <w:basedOn w:val="Normal"/>
    <w:next w:val="Normalaftertitle"/>
    <w:rsid w:val="00C0319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C0319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C0319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C03195"/>
  </w:style>
  <w:style w:type="paragraph" w:customStyle="1" w:styleId="Chaptitle">
    <w:name w:val="Chap_title"/>
    <w:basedOn w:val="Arttitle"/>
    <w:next w:val="Normal"/>
    <w:rsid w:val="00C03195"/>
  </w:style>
  <w:style w:type="character" w:styleId="EndnoteReference">
    <w:name w:val="endnote reference"/>
    <w:basedOn w:val="DefaultParagraphFont"/>
    <w:rsid w:val="002735DB"/>
    <w:rPr>
      <w:vertAlign w:val="superscript"/>
    </w:rPr>
  </w:style>
  <w:style w:type="paragraph" w:customStyle="1" w:styleId="Equationlegend">
    <w:name w:val="Equation_legend"/>
    <w:basedOn w:val="NormalIndent"/>
    <w:rsid w:val="00C03195"/>
    <w:pPr>
      <w:tabs>
        <w:tab w:val="right" w:pos="1531"/>
      </w:tabs>
      <w:spacing w:before="80"/>
      <w:ind w:left="1701" w:hanging="1701"/>
    </w:pPr>
  </w:style>
  <w:style w:type="paragraph" w:customStyle="1" w:styleId="Figure">
    <w:name w:val="Figure"/>
    <w:basedOn w:val="Normal"/>
    <w:next w:val="Figuretitle"/>
    <w:rsid w:val="00C03195"/>
    <w:pPr>
      <w:keepNext/>
      <w:keepLines/>
      <w:spacing w:after="120"/>
      <w:jc w:val="center"/>
    </w:pPr>
  </w:style>
  <w:style w:type="paragraph" w:customStyle="1" w:styleId="Figurelegend">
    <w:name w:val="Figure_legend"/>
    <w:basedOn w:val="Normal"/>
    <w:rsid w:val="00C03195"/>
    <w:pPr>
      <w:keepNext/>
      <w:keepLines/>
      <w:spacing w:before="20" w:after="20"/>
    </w:pPr>
    <w:rPr>
      <w:sz w:val="18"/>
    </w:rPr>
  </w:style>
  <w:style w:type="paragraph" w:customStyle="1" w:styleId="TableNo">
    <w:name w:val="Table_No"/>
    <w:basedOn w:val="Normal"/>
    <w:next w:val="Tabletitle"/>
    <w:rsid w:val="00C03195"/>
    <w:pPr>
      <w:keepNext/>
      <w:spacing w:before="560" w:after="120"/>
      <w:jc w:val="center"/>
    </w:pPr>
    <w:rPr>
      <w:caps/>
    </w:rPr>
  </w:style>
  <w:style w:type="paragraph" w:customStyle="1" w:styleId="Tabletitle">
    <w:name w:val="Table_title"/>
    <w:basedOn w:val="TableNo"/>
    <w:next w:val="Tabletext"/>
    <w:rsid w:val="00C031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C03195"/>
    <w:pPr>
      <w:spacing w:before="240" w:after="480"/>
    </w:pPr>
  </w:style>
  <w:style w:type="paragraph" w:customStyle="1" w:styleId="Figurewithouttitle">
    <w:name w:val="Figure_without_title"/>
    <w:basedOn w:val="Figure"/>
    <w:next w:val="Normalaftertitle"/>
    <w:rsid w:val="00C03195"/>
    <w:pPr>
      <w:keepNext w:val="0"/>
      <w:spacing w:after="240"/>
    </w:pPr>
  </w:style>
  <w:style w:type="paragraph" w:customStyle="1" w:styleId="Headingi">
    <w:name w:val="Heading_i"/>
    <w:basedOn w:val="Heading3"/>
    <w:next w:val="Normal"/>
    <w:rsid w:val="00C03195"/>
    <w:pPr>
      <w:spacing w:before="160"/>
      <w:outlineLvl w:val="0"/>
    </w:pPr>
    <w:rPr>
      <w:b w:val="0"/>
      <w:i/>
    </w:rPr>
  </w:style>
  <w:style w:type="character" w:styleId="PageNumber">
    <w:name w:val="page number"/>
    <w:basedOn w:val="DefaultParagraphFont"/>
    <w:rsid w:val="00C03195"/>
    <w:rPr>
      <w:rFonts w:ascii="Calibri" w:hAnsi="Calibri"/>
    </w:rPr>
  </w:style>
  <w:style w:type="paragraph" w:customStyle="1" w:styleId="PartNo">
    <w:name w:val="Part_No"/>
    <w:basedOn w:val="AnnexNo"/>
    <w:next w:val="Parttitle"/>
    <w:rsid w:val="00C03195"/>
  </w:style>
  <w:style w:type="paragraph" w:customStyle="1" w:styleId="Partref">
    <w:name w:val="Part_ref"/>
    <w:basedOn w:val="Annexref"/>
    <w:next w:val="Normalaftertitle"/>
    <w:rsid w:val="00C03195"/>
  </w:style>
  <w:style w:type="paragraph" w:customStyle="1" w:styleId="Parttitle">
    <w:name w:val="Part_title"/>
    <w:basedOn w:val="Annextitle"/>
    <w:next w:val="Partref"/>
    <w:rsid w:val="00C03195"/>
  </w:style>
  <w:style w:type="paragraph" w:customStyle="1" w:styleId="RecNo">
    <w:name w:val="Rec_No"/>
    <w:basedOn w:val="Normal"/>
    <w:next w:val="Rectitle"/>
    <w:rsid w:val="00C03195"/>
    <w:pPr>
      <w:spacing w:before="720"/>
      <w:jc w:val="center"/>
    </w:pPr>
    <w:rPr>
      <w:caps/>
      <w:sz w:val="28"/>
    </w:rPr>
  </w:style>
  <w:style w:type="paragraph" w:customStyle="1" w:styleId="Rectitle">
    <w:name w:val="Rec_title"/>
    <w:basedOn w:val="Normal"/>
    <w:next w:val="Heading1"/>
    <w:rsid w:val="00C03195"/>
    <w:pPr>
      <w:spacing w:before="240"/>
      <w:jc w:val="center"/>
    </w:pPr>
    <w:rPr>
      <w:b/>
      <w:sz w:val="28"/>
    </w:rPr>
  </w:style>
  <w:style w:type="paragraph" w:customStyle="1" w:styleId="Recref">
    <w:name w:val="Rec_ref"/>
    <w:basedOn w:val="Rectitle"/>
    <w:next w:val="Recdate"/>
    <w:rsid w:val="00C03195"/>
    <w:pPr>
      <w:spacing w:before="120"/>
    </w:pPr>
    <w:rPr>
      <w:rFonts w:ascii="Times New Roman" w:hAnsi="Times New Roman"/>
      <w:b w:val="0"/>
      <w:sz w:val="24"/>
    </w:rPr>
  </w:style>
  <w:style w:type="paragraph" w:customStyle="1" w:styleId="Recdate">
    <w:name w:val="Rec_date"/>
    <w:basedOn w:val="Recref"/>
    <w:next w:val="Normalaftertitle"/>
    <w:rsid w:val="00C03195"/>
    <w:pPr>
      <w:jc w:val="right"/>
    </w:pPr>
    <w:rPr>
      <w:sz w:val="22"/>
    </w:rPr>
  </w:style>
  <w:style w:type="paragraph" w:customStyle="1" w:styleId="Questiondate">
    <w:name w:val="Question_date"/>
    <w:basedOn w:val="Recdate"/>
    <w:next w:val="Normalaftertitle"/>
    <w:rsid w:val="00C03195"/>
  </w:style>
  <w:style w:type="paragraph" w:customStyle="1" w:styleId="QuestionNo">
    <w:name w:val="Question_No"/>
    <w:basedOn w:val="RecNo"/>
    <w:next w:val="Questiontitle"/>
    <w:rsid w:val="00C03195"/>
  </w:style>
  <w:style w:type="paragraph" w:customStyle="1" w:styleId="Questionref">
    <w:name w:val="Question_ref"/>
    <w:basedOn w:val="Recref"/>
    <w:next w:val="Questiondate"/>
    <w:rsid w:val="00C03195"/>
  </w:style>
  <w:style w:type="paragraph" w:customStyle="1" w:styleId="Questiontitle">
    <w:name w:val="Question_title"/>
    <w:basedOn w:val="Rectitle"/>
    <w:next w:val="Questionref"/>
    <w:rsid w:val="00C03195"/>
  </w:style>
  <w:style w:type="paragraph" w:customStyle="1" w:styleId="Reftext">
    <w:name w:val="Ref_text"/>
    <w:basedOn w:val="Normal"/>
    <w:rsid w:val="00C03195"/>
    <w:pPr>
      <w:ind w:left="567" w:hanging="567"/>
    </w:pPr>
  </w:style>
  <w:style w:type="paragraph" w:customStyle="1" w:styleId="Reftitle">
    <w:name w:val="Ref_title"/>
    <w:basedOn w:val="Normal"/>
    <w:next w:val="Reftext"/>
    <w:rsid w:val="00C03195"/>
    <w:pPr>
      <w:spacing w:before="480"/>
      <w:jc w:val="center"/>
    </w:pPr>
    <w:rPr>
      <w:caps/>
      <w:sz w:val="28"/>
    </w:rPr>
  </w:style>
  <w:style w:type="paragraph" w:customStyle="1" w:styleId="Repdate">
    <w:name w:val="Rep_date"/>
    <w:basedOn w:val="Recdate"/>
    <w:next w:val="Normalaftertitle"/>
    <w:rsid w:val="00C03195"/>
  </w:style>
  <w:style w:type="paragraph" w:customStyle="1" w:styleId="RepNo">
    <w:name w:val="Rep_No"/>
    <w:basedOn w:val="RecNo"/>
    <w:next w:val="Reptitle"/>
    <w:rsid w:val="00C03195"/>
  </w:style>
  <w:style w:type="paragraph" w:customStyle="1" w:styleId="Repref">
    <w:name w:val="Rep_ref"/>
    <w:basedOn w:val="Recref"/>
    <w:next w:val="Repdate"/>
    <w:rsid w:val="00C03195"/>
  </w:style>
  <w:style w:type="paragraph" w:customStyle="1" w:styleId="Reptitle">
    <w:name w:val="Rep_title"/>
    <w:basedOn w:val="Rectitle"/>
    <w:next w:val="Repref"/>
    <w:rsid w:val="00C03195"/>
  </w:style>
  <w:style w:type="paragraph" w:customStyle="1" w:styleId="Resdate">
    <w:name w:val="Res_date"/>
    <w:basedOn w:val="Recdate"/>
    <w:next w:val="Normalaftertitle"/>
    <w:rsid w:val="00C03195"/>
  </w:style>
  <w:style w:type="paragraph" w:customStyle="1" w:styleId="ResNo">
    <w:name w:val="Res_No"/>
    <w:basedOn w:val="AnnexNo"/>
    <w:next w:val="Restitle"/>
    <w:rsid w:val="00C03195"/>
  </w:style>
  <w:style w:type="paragraph" w:customStyle="1" w:styleId="Resref">
    <w:name w:val="Res_ref"/>
    <w:basedOn w:val="Recref"/>
    <w:next w:val="Resdate"/>
    <w:rsid w:val="00C03195"/>
  </w:style>
  <w:style w:type="paragraph" w:customStyle="1" w:styleId="Restitle">
    <w:name w:val="Res_title"/>
    <w:basedOn w:val="Annextitle"/>
    <w:next w:val="Normal"/>
    <w:rsid w:val="00C03195"/>
  </w:style>
  <w:style w:type="paragraph" w:customStyle="1" w:styleId="SectionNo">
    <w:name w:val="Section_No"/>
    <w:basedOn w:val="AnnexNo"/>
    <w:next w:val="Sectiontitle"/>
    <w:rsid w:val="00C03195"/>
  </w:style>
  <w:style w:type="paragraph" w:customStyle="1" w:styleId="Sectiontitle">
    <w:name w:val="Section_title"/>
    <w:basedOn w:val="Normal"/>
    <w:next w:val="Normalaftertitle"/>
    <w:rsid w:val="00C03195"/>
    <w:rPr>
      <w:sz w:val="28"/>
    </w:rPr>
  </w:style>
  <w:style w:type="paragraph" w:customStyle="1" w:styleId="SpecialFooter">
    <w:name w:val="Special Footer"/>
    <w:basedOn w:val="Footer"/>
    <w:rsid w:val="00C03195"/>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C0319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C03195"/>
    <w:pPr>
      <w:spacing w:before="120" w:after="120"/>
      <w:jc w:val="center"/>
    </w:pPr>
    <w:rPr>
      <w:b/>
    </w:rPr>
  </w:style>
  <w:style w:type="paragraph" w:customStyle="1" w:styleId="Tablelegend">
    <w:name w:val="Table_legend"/>
    <w:basedOn w:val="Tabletext"/>
    <w:rsid w:val="00C03195"/>
    <w:pPr>
      <w:spacing w:before="120"/>
    </w:pPr>
  </w:style>
  <w:style w:type="paragraph" w:customStyle="1" w:styleId="Tableref">
    <w:name w:val="Table_ref"/>
    <w:basedOn w:val="Normal"/>
    <w:next w:val="Tabletitle"/>
    <w:rsid w:val="00C03195"/>
    <w:pPr>
      <w:keepNext/>
      <w:spacing w:before="567"/>
      <w:jc w:val="center"/>
    </w:pPr>
  </w:style>
  <w:style w:type="paragraph" w:customStyle="1" w:styleId="Title2">
    <w:name w:val="Title 2"/>
    <w:basedOn w:val="Source"/>
    <w:next w:val="Title3"/>
    <w:rsid w:val="00C03195"/>
    <w:pPr>
      <w:spacing w:before="240"/>
    </w:pPr>
    <w:rPr>
      <w:b w:val="0"/>
      <w:caps/>
    </w:rPr>
  </w:style>
  <w:style w:type="paragraph" w:customStyle="1" w:styleId="Title3">
    <w:name w:val="Title 3"/>
    <w:basedOn w:val="Title2"/>
    <w:next w:val="Normalaftertitle"/>
    <w:rsid w:val="00C03195"/>
    <w:rPr>
      <w:caps w:val="0"/>
    </w:rPr>
  </w:style>
  <w:style w:type="paragraph" w:customStyle="1" w:styleId="Title4">
    <w:name w:val="Title 4"/>
    <w:basedOn w:val="Title3"/>
    <w:next w:val="Heading1"/>
    <w:rsid w:val="00C03195"/>
    <w:rPr>
      <w:b/>
    </w:rPr>
  </w:style>
  <w:style w:type="paragraph" w:customStyle="1" w:styleId="FigureNo">
    <w:name w:val="Figure_No"/>
    <w:basedOn w:val="Normal"/>
    <w:next w:val="Figuretitle"/>
    <w:rsid w:val="00C03195"/>
    <w:pPr>
      <w:keepNext/>
      <w:keepLines/>
      <w:spacing w:before="240" w:after="120"/>
      <w:jc w:val="center"/>
    </w:pPr>
    <w:rPr>
      <w:caps/>
    </w:rPr>
  </w:style>
  <w:style w:type="paragraph" w:customStyle="1" w:styleId="firstfooter0">
    <w:name w:val="firstfooter"/>
    <w:basedOn w:val="Normal"/>
    <w:rsid w:val="00C0319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C0319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alTimesNewRoman">
    <w:name w:val="nal + Times New Roman"/>
    <w:aliases w:val="(Complex) Bold"/>
    <w:basedOn w:val="Normal"/>
    <w:rsid w:val="002735DB"/>
    <w:rPr>
      <w:rFonts w:ascii="Times New Roman" w:hAnsi="Times New Roman"/>
      <w:bCs/>
    </w:rPr>
  </w:style>
  <w:style w:type="paragraph" w:styleId="NormalWeb">
    <w:name w:val="Normal (Web)"/>
    <w:basedOn w:val="Normal"/>
    <w:uiPriority w:val="99"/>
    <w:unhideWhenUsed/>
    <w:rsid w:val="002735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TableGrid">
    <w:name w:val="Table Grid"/>
    <w:basedOn w:val="TableNormal"/>
    <w:rsid w:val="002735DB"/>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35DB"/>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character" w:customStyle="1" w:styleId="ListParagraphChar">
    <w:name w:val="List Paragraph Char"/>
    <w:basedOn w:val="DefaultParagraphFont"/>
    <w:link w:val="ListParagraph"/>
    <w:uiPriority w:val="34"/>
    <w:rsid w:val="002735DB"/>
    <w:rPr>
      <w:rFonts w:ascii="Times New Roman" w:eastAsia="Times New Roman" w:hAnsi="Times New Roman" w:cs="Times New Roman"/>
      <w:sz w:val="24"/>
      <w:szCs w:val="24"/>
      <w:lang w:val="en-US"/>
    </w:rPr>
  </w:style>
  <w:style w:type="character" w:customStyle="1" w:styleId="ms-rtefontface-5">
    <w:name w:val="ms-rtefontface-5"/>
    <w:basedOn w:val="DefaultParagraphFont"/>
    <w:rsid w:val="002735DB"/>
  </w:style>
  <w:style w:type="character" w:styleId="Strong">
    <w:name w:val="Strong"/>
    <w:uiPriority w:val="22"/>
    <w:qFormat/>
    <w:rsid w:val="002735DB"/>
    <w:rPr>
      <w:b/>
    </w:rPr>
  </w:style>
  <w:style w:type="paragraph" w:styleId="BalloonText">
    <w:name w:val="Balloon Text"/>
    <w:basedOn w:val="Normal"/>
    <w:link w:val="BalloonTextChar"/>
    <w:semiHidden/>
    <w:unhideWhenUsed/>
    <w:rsid w:val="002735D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735DB"/>
    <w:rPr>
      <w:rFonts w:ascii="Tahoma" w:eastAsia="Times New Roman" w:hAnsi="Tahoma" w:cs="Tahoma"/>
      <w:sz w:val="16"/>
      <w:szCs w:val="16"/>
    </w:rPr>
  </w:style>
  <w:style w:type="character" w:customStyle="1" w:styleId="preferred">
    <w:name w:val="preferred"/>
    <w:basedOn w:val="DefaultParagraphFont"/>
    <w:rsid w:val="002735DB"/>
  </w:style>
  <w:style w:type="character" w:styleId="CommentReference">
    <w:name w:val="annotation reference"/>
    <w:basedOn w:val="DefaultParagraphFont"/>
    <w:semiHidden/>
    <w:unhideWhenUsed/>
    <w:rsid w:val="002735DB"/>
    <w:rPr>
      <w:sz w:val="16"/>
      <w:szCs w:val="16"/>
    </w:rPr>
  </w:style>
  <w:style w:type="paragraph" w:styleId="CommentText">
    <w:name w:val="annotation text"/>
    <w:basedOn w:val="Normal"/>
    <w:link w:val="CommentTextChar"/>
    <w:semiHidden/>
    <w:unhideWhenUsed/>
    <w:rsid w:val="002735DB"/>
    <w:rPr>
      <w:sz w:val="20"/>
    </w:rPr>
  </w:style>
  <w:style w:type="character" w:customStyle="1" w:styleId="CommentTextChar">
    <w:name w:val="Comment Text Char"/>
    <w:basedOn w:val="DefaultParagraphFont"/>
    <w:link w:val="CommentText"/>
    <w:semiHidden/>
    <w:rsid w:val="002735DB"/>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unhideWhenUsed/>
    <w:rsid w:val="002735DB"/>
    <w:rPr>
      <w:b/>
      <w:bCs/>
    </w:rPr>
  </w:style>
  <w:style w:type="character" w:customStyle="1" w:styleId="CommentSubjectChar">
    <w:name w:val="Comment Subject Char"/>
    <w:basedOn w:val="CommentTextChar"/>
    <w:link w:val="CommentSubject"/>
    <w:semiHidden/>
    <w:rsid w:val="002735DB"/>
    <w:rPr>
      <w:rFonts w:ascii="Calibri" w:eastAsia="Times New Roman" w:hAnsi="Calibri" w:cs="Times New Roman"/>
      <w:b/>
      <w:bCs/>
      <w:sz w:val="20"/>
      <w:szCs w:val="20"/>
    </w:rPr>
  </w:style>
  <w:style w:type="paragraph" w:styleId="Revision">
    <w:name w:val="Revision"/>
    <w:hidden/>
    <w:uiPriority w:val="99"/>
    <w:semiHidden/>
    <w:rsid w:val="002735DB"/>
    <w:pPr>
      <w:spacing w:after="0" w:line="240" w:lineRule="auto"/>
    </w:pPr>
    <w:rPr>
      <w:rFonts w:ascii="Calibri" w:eastAsia="Times New Roman" w:hAnsi="Calibri" w:cs="Times New Roman"/>
      <w:sz w:val="24"/>
      <w:szCs w:val="20"/>
    </w:rPr>
  </w:style>
  <w:style w:type="paragraph" w:styleId="Date">
    <w:name w:val="Date"/>
    <w:basedOn w:val="Normal"/>
    <w:next w:val="Normal"/>
    <w:link w:val="DateChar"/>
    <w:uiPriority w:val="99"/>
    <w:semiHidden/>
    <w:unhideWhenUsed/>
    <w:rsid w:val="003B2B02"/>
  </w:style>
  <w:style w:type="character" w:customStyle="1" w:styleId="DateChar">
    <w:name w:val="Date Char"/>
    <w:basedOn w:val="DefaultParagraphFont"/>
    <w:link w:val="Date"/>
    <w:uiPriority w:val="99"/>
    <w:semiHidden/>
    <w:rsid w:val="003B2B02"/>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INF-0006/en" TargetMode="External"/><Relationship Id="rId18" Type="http://schemas.openxmlformats.org/officeDocument/2006/relationships/hyperlink" Target="https://www.itu.int/md/S18-CL-INF-0006/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7-CL-C-0025/fr" TargetMode="External"/><Relationship Id="rId17" Type="http://schemas.openxmlformats.org/officeDocument/2006/relationships/hyperlink" Target="https://broadbandcalculator.onli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D/TIES_Protected/PerfReport201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INF-0012/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D/TIES_Protected/PerfReport2016.pdf" TargetMode="External"/><Relationship Id="rId23" Type="http://schemas.openxmlformats.org/officeDocument/2006/relationships/footer" Target="footer3.xml"/><Relationship Id="rId10" Type="http://schemas.openxmlformats.org/officeDocument/2006/relationships/hyperlink" Target="http://www.itu.int/pub/S-CONF-ACTF-2014/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8-CL-INF-0006/en" TargetMode="External"/><Relationship Id="rId14" Type="http://schemas.openxmlformats.org/officeDocument/2006/relationships/hyperlink" Target="http://www.itu.int/md/S17-CL-INF-0012/fr"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45E65-F554-41B1-BFB5-0AB48333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0</TotalTime>
  <Pages>11</Pages>
  <Words>5347</Words>
  <Characters>30481</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Renforcement de la présence régionale</dc:title>
  <dc:creator>Bea</dc:creator>
  <cp:keywords>C2018, C18</cp:keywords>
  <cp:lastModifiedBy>Janin</cp:lastModifiedBy>
  <cp:revision>2</cp:revision>
  <cp:lastPrinted>2018-02-16T10:55:00Z</cp:lastPrinted>
  <dcterms:created xsi:type="dcterms:W3CDTF">2018-03-12T08:45:00Z</dcterms:created>
  <dcterms:modified xsi:type="dcterms:W3CDTF">2018-03-12T08:45:00Z</dcterms:modified>
</cp:coreProperties>
</file>