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813E5E" w14:paraId="07D7FF00" w14:textId="77777777">
        <w:trPr>
          <w:cantSplit/>
        </w:trPr>
        <w:tc>
          <w:tcPr>
            <w:tcW w:w="6911" w:type="dxa"/>
          </w:tcPr>
          <w:p w14:paraId="7F6E1977" w14:textId="77777777" w:rsidR="001D588B" w:rsidRPr="00813E5E" w:rsidRDefault="001D588B" w:rsidP="0096071A">
            <w:pPr>
              <w:spacing w:before="360" w:after="48" w:line="240" w:lineRule="atLeast"/>
              <w:rPr>
                <w:position w:val="6"/>
              </w:rPr>
            </w:pPr>
            <w:bookmarkStart w:id="0" w:name="dc06"/>
            <w:bookmarkStart w:id="1" w:name="_GoBack"/>
            <w:bookmarkEnd w:id="0"/>
            <w:bookmarkEnd w:id="1"/>
            <w:r w:rsidRPr="001D588B">
              <w:rPr>
                <w:b/>
                <w:bCs/>
                <w:position w:val="6"/>
                <w:sz w:val="30"/>
                <w:szCs w:val="30"/>
                <w:lang w:val="fr-CH"/>
              </w:rPr>
              <w:t>Council 201</w:t>
            </w:r>
            <w:r w:rsidR="0096071A">
              <w:rPr>
                <w:b/>
                <w:bCs/>
                <w:position w:val="6"/>
                <w:sz w:val="30"/>
                <w:szCs w:val="30"/>
                <w:lang w:val="fr-CH"/>
              </w:rPr>
              <w:t>8</w:t>
            </w:r>
            <w:r w:rsidRPr="001D588B">
              <w:rPr>
                <w:rFonts w:cs="Times"/>
                <w:b/>
                <w:position w:val="6"/>
                <w:sz w:val="26"/>
                <w:szCs w:val="26"/>
                <w:lang w:val="en-US"/>
              </w:rPr>
              <w:br/>
            </w:r>
            <w:r w:rsidR="00DC2C2A" w:rsidRPr="00E85629">
              <w:rPr>
                <w:b/>
                <w:bCs/>
                <w:position w:val="6"/>
                <w:szCs w:val="24"/>
                <w:lang w:val="fr-CH"/>
              </w:rPr>
              <w:t>Geneva, 1</w:t>
            </w:r>
            <w:r w:rsidR="00DC2C2A">
              <w:rPr>
                <w:b/>
                <w:bCs/>
                <w:position w:val="6"/>
                <w:szCs w:val="24"/>
                <w:lang w:val="fr-CH"/>
              </w:rPr>
              <w:t>7</w:t>
            </w:r>
            <w:r w:rsidR="00DC2C2A" w:rsidRPr="00E85629">
              <w:rPr>
                <w:b/>
                <w:bCs/>
                <w:position w:val="6"/>
                <w:szCs w:val="24"/>
                <w:lang w:val="fr-CH"/>
              </w:rPr>
              <w:t>-2</w:t>
            </w:r>
            <w:r w:rsidR="00DC2C2A">
              <w:rPr>
                <w:b/>
                <w:bCs/>
                <w:position w:val="6"/>
                <w:szCs w:val="24"/>
                <w:lang w:val="fr-CH"/>
              </w:rPr>
              <w:t>7</w:t>
            </w:r>
            <w:r w:rsidR="00DC2C2A" w:rsidRPr="00E85629">
              <w:rPr>
                <w:b/>
                <w:bCs/>
                <w:position w:val="6"/>
                <w:szCs w:val="24"/>
                <w:lang w:val="fr-CH"/>
              </w:rPr>
              <w:t xml:space="preserve"> </w:t>
            </w:r>
            <w:r w:rsidR="00DC2C2A">
              <w:rPr>
                <w:b/>
                <w:bCs/>
                <w:position w:val="6"/>
                <w:szCs w:val="24"/>
                <w:lang w:val="fr-CH"/>
              </w:rPr>
              <w:t>April</w:t>
            </w:r>
            <w:r w:rsidR="00DC2C2A" w:rsidRPr="00E85629">
              <w:rPr>
                <w:b/>
                <w:bCs/>
                <w:position w:val="6"/>
                <w:szCs w:val="24"/>
                <w:lang w:val="fr-CH"/>
              </w:rPr>
              <w:t xml:space="preserve"> 201</w:t>
            </w:r>
            <w:r w:rsidR="00DC2C2A">
              <w:rPr>
                <w:b/>
                <w:bCs/>
                <w:position w:val="6"/>
                <w:szCs w:val="24"/>
                <w:lang w:val="fr-CH"/>
              </w:rPr>
              <w:t>8</w:t>
            </w:r>
          </w:p>
        </w:tc>
        <w:tc>
          <w:tcPr>
            <w:tcW w:w="3120" w:type="dxa"/>
          </w:tcPr>
          <w:p w14:paraId="3DD3F7D8" w14:textId="77777777" w:rsidR="001D588B" w:rsidRPr="00813E5E" w:rsidRDefault="001D588B" w:rsidP="001D588B">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BA39D0E" wp14:editId="3ECCE0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813E5E" w14:paraId="741893C6" w14:textId="77777777">
        <w:trPr>
          <w:cantSplit/>
        </w:trPr>
        <w:tc>
          <w:tcPr>
            <w:tcW w:w="6911" w:type="dxa"/>
            <w:tcBorders>
              <w:bottom w:val="single" w:sz="12" w:space="0" w:color="auto"/>
            </w:tcBorders>
          </w:tcPr>
          <w:p w14:paraId="045E5B33" w14:textId="77777777" w:rsidR="001D588B" w:rsidRPr="00813E5E" w:rsidRDefault="001D588B">
            <w:pPr>
              <w:spacing w:before="0" w:after="48" w:line="240" w:lineRule="atLeast"/>
              <w:rPr>
                <w:b/>
                <w:smallCaps/>
                <w:szCs w:val="24"/>
              </w:rPr>
            </w:pPr>
          </w:p>
        </w:tc>
        <w:tc>
          <w:tcPr>
            <w:tcW w:w="3120" w:type="dxa"/>
            <w:tcBorders>
              <w:bottom w:val="single" w:sz="12" w:space="0" w:color="auto"/>
            </w:tcBorders>
          </w:tcPr>
          <w:p w14:paraId="32DD6FD9" w14:textId="77777777" w:rsidR="001D588B" w:rsidRPr="00813E5E" w:rsidRDefault="001D588B">
            <w:pPr>
              <w:spacing w:before="0" w:line="240" w:lineRule="atLeast"/>
              <w:rPr>
                <w:szCs w:val="24"/>
              </w:rPr>
            </w:pPr>
          </w:p>
        </w:tc>
      </w:tr>
      <w:tr w:rsidR="001D588B" w:rsidRPr="00813E5E" w14:paraId="424CF300" w14:textId="77777777">
        <w:trPr>
          <w:cantSplit/>
        </w:trPr>
        <w:tc>
          <w:tcPr>
            <w:tcW w:w="6911" w:type="dxa"/>
            <w:tcBorders>
              <w:top w:val="single" w:sz="12" w:space="0" w:color="auto"/>
            </w:tcBorders>
          </w:tcPr>
          <w:p w14:paraId="6DE9F8C1" w14:textId="77777777" w:rsidR="001D588B" w:rsidRPr="00813E5E" w:rsidRDefault="001D588B" w:rsidP="00A72516">
            <w:pPr>
              <w:spacing w:before="0" w:line="240" w:lineRule="atLeast"/>
              <w:rPr>
                <w:b/>
                <w:smallCaps/>
                <w:szCs w:val="24"/>
              </w:rPr>
            </w:pPr>
          </w:p>
        </w:tc>
        <w:tc>
          <w:tcPr>
            <w:tcW w:w="3120" w:type="dxa"/>
            <w:tcBorders>
              <w:top w:val="single" w:sz="12" w:space="0" w:color="auto"/>
            </w:tcBorders>
          </w:tcPr>
          <w:p w14:paraId="43F8FE9F" w14:textId="77777777" w:rsidR="001D588B" w:rsidRPr="00813E5E" w:rsidRDefault="001D588B" w:rsidP="00A72516">
            <w:pPr>
              <w:spacing w:before="0" w:line="240" w:lineRule="atLeast"/>
              <w:rPr>
                <w:szCs w:val="24"/>
              </w:rPr>
            </w:pPr>
          </w:p>
        </w:tc>
      </w:tr>
      <w:tr w:rsidR="001D588B" w:rsidRPr="00813E5E" w14:paraId="2589CBFD" w14:textId="77777777">
        <w:trPr>
          <w:cantSplit/>
          <w:trHeight w:val="23"/>
        </w:trPr>
        <w:tc>
          <w:tcPr>
            <w:tcW w:w="6911" w:type="dxa"/>
            <w:vMerge w:val="restart"/>
          </w:tcPr>
          <w:p w14:paraId="1D132DA7" w14:textId="77777777" w:rsidR="001D588B" w:rsidRPr="001D588B" w:rsidRDefault="001D588B" w:rsidP="001D588B">
            <w:pPr>
              <w:tabs>
                <w:tab w:val="left" w:pos="851"/>
              </w:tabs>
              <w:spacing w:before="0" w:line="240" w:lineRule="atLeast"/>
              <w:rPr>
                <w:b/>
              </w:rPr>
            </w:pPr>
            <w:bookmarkStart w:id="3" w:name="dmeeting" w:colFirst="0" w:colLast="0"/>
            <w:bookmarkStart w:id="4" w:name="dnum" w:colFirst="1" w:colLast="1"/>
            <w:r>
              <w:rPr>
                <w:b/>
              </w:rPr>
              <w:t xml:space="preserve">Agenda item: </w:t>
            </w:r>
            <w:r w:rsidR="00F127C2">
              <w:rPr>
                <w:b/>
              </w:rPr>
              <w:t>PL 3.3</w:t>
            </w:r>
          </w:p>
        </w:tc>
        <w:tc>
          <w:tcPr>
            <w:tcW w:w="3120" w:type="dxa"/>
          </w:tcPr>
          <w:p w14:paraId="03CB33AB" w14:textId="77777777" w:rsidR="001D588B" w:rsidRPr="001D588B" w:rsidRDefault="001D588B" w:rsidP="0096071A">
            <w:pPr>
              <w:tabs>
                <w:tab w:val="left" w:pos="851"/>
              </w:tabs>
              <w:spacing w:before="0" w:line="240" w:lineRule="atLeast"/>
              <w:rPr>
                <w:b/>
              </w:rPr>
            </w:pPr>
            <w:r>
              <w:rPr>
                <w:b/>
              </w:rPr>
              <w:t>Document C1</w:t>
            </w:r>
            <w:r w:rsidR="0096071A">
              <w:rPr>
                <w:b/>
              </w:rPr>
              <w:t>8</w:t>
            </w:r>
            <w:r>
              <w:rPr>
                <w:b/>
              </w:rPr>
              <w:t>/25-E</w:t>
            </w:r>
          </w:p>
        </w:tc>
      </w:tr>
      <w:tr w:rsidR="001D588B" w:rsidRPr="00813E5E" w14:paraId="199FF10D" w14:textId="77777777">
        <w:trPr>
          <w:cantSplit/>
          <w:trHeight w:val="23"/>
        </w:trPr>
        <w:tc>
          <w:tcPr>
            <w:tcW w:w="6911" w:type="dxa"/>
            <w:vMerge/>
          </w:tcPr>
          <w:p w14:paraId="32636A79" w14:textId="77777777" w:rsidR="001D588B" w:rsidRPr="00813E5E" w:rsidRDefault="001D588B">
            <w:pPr>
              <w:tabs>
                <w:tab w:val="left" w:pos="851"/>
              </w:tabs>
              <w:spacing w:line="240" w:lineRule="atLeast"/>
              <w:rPr>
                <w:b/>
              </w:rPr>
            </w:pPr>
            <w:bookmarkStart w:id="5" w:name="ddate" w:colFirst="1" w:colLast="1"/>
            <w:bookmarkEnd w:id="3"/>
            <w:bookmarkEnd w:id="4"/>
          </w:p>
        </w:tc>
        <w:tc>
          <w:tcPr>
            <w:tcW w:w="3120" w:type="dxa"/>
          </w:tcPr>
          <w:p w14:paraId="2AF87B53" w14:textId="77777777" w:rsidR="001D588B" w:rsidRPr="001D588B" w:rsidRDefault="00F127C2" w:rsidP="00F127C2">
            <w:pPr>
              <w:tabs>
                <w:tab w:val="left" w:pos="993"/>
              </w:tabs>
              <w:spacing w:before="0"/>
              <w:rPr>
                <w:b/>
              </w:rPr>
            </w:pPr>
            <w:r>
              <w:rPr>
                <w:b/>
              </w:rPr>
              <w:t xml:space="preserve">8 February </w:t>
            </w:r>
            <w:r w:rsidR="001D588B">
              <w:rPr>
                <w:b/>
              </w:rPr>
              <w:t>201</w:t>
            </w:r>
            <w:r w:rsidR="0096071A">
              <w:rPr>
                <w:b/>
              </w:rPr>
              <w:t>8</w:t>
            </w:r>
            <w:r w:rsidR="00316A6B">
              <w:rPr>
                <w:b/>
              </w:rPr>
              <w:t xml:space="preserve"> </w:t>
            </w:r>
          </w:p>
        </w:tc>
      </w:tr>
      <w:tr w:rsidR="001D588B" w:rsidRPr="00813E5E" w14:paraId="14945312" w14:textId="77777777">
        <w:trPr>
          <w:cantSplit/>
          <w:trHeight w:val="23"/>
        </w:trPr>
        <w:tc>
          <w:tcPr>
            <w:tcW w:w="6911" w:type="dxa"/>
            <w:vMerge/>
          </w:tcPr>
          <w:p w14:paraId="27EF47A8" w14:textId="77777777" w:rsidR="001D588B" w:rsidRPr="00813E5E" w:rsidRDefault="001D588B">
            <w:pPr>
              <w:tabs>
                <w:tab w:val="left" w:pos="851"/>
              </w:tabs>
              <w:spacing w:line="240" w:lineRule="atLeast"/>
              <w:rPr>
                <w:b/>
              </w:rPr>
            </w:pPr>
            <w:bookmarkStart w:id="6" w:name="dorlang" w:colFirst="1" w:colLast="1"/>
            <w:bookmarkEnd w:id="5"/>
          </w:p>
        </w:tc>
        <w:tc>
          <w:tcPr>
            <w:tcW w:w="3120" w:type="dxa"/>
          </w:tcPr>
          <w:p w14:paraId="219CB9E5" w14:textId="77777777" w:rsidR="001D588B" w:rsidRPr="001D588B" w:rsidRDefault="001D588B" w:rsidP="001D588B">
            <w:pPr>
              <w:tabs>
                <w:tab w:val="left" w:pos="993"/>
              </w:tabs>
              <w:spacing w:before="0"/>
              <w:rPr>
                <w:b/>
              </w:rPr>
            </w:pPr>
            <w:r>
              <w:rPr>
                <w:b/>
              </w:rPr>
              <w:t>Original: English</w:t>
            </w:r>
          </w:p>
        </w:tc>
      </w:tr>
      <w:tr w:rsidR="001D588B" w:rsidRPr="00813E5E" w14:paraId="519C4C12" w14:textId="77777777">
        <w:trPr>
          <w:cantSplit/>
        </w:trPr>
        <w:tc>
          <w:tcPr>
            <w:tcW w:w="10031" w:type="dxa"/>
            <w:gridSpan w:val="2"/>
          </w:tcPr>
          <w:p w14:paraId="19439AF4" w14:textId="77777777" w:rsidR="001D588B" w:rsidRPr="00813E5E" w:rsidRDefault="001D588B" w:rsidP="00D77CF2">
            <w:pPr>
              <w:pStyle w:val="Source"/>
              <w:framePr w:hSpace="0" w:wrap="auto" w:hAnchor="text" w:yAlign="inline"/>
            </w:pPr>
            <w:bookmarkStart w:id="7" w:name="dsource" w:colFirst="0" w:colLast="0"/>
            <w:bookmarkEnd w:id="6"/>
            <w:r>
              <w:t>Report by the Secretary-General</w:t>
            </w:r>
          </w:p>
        </w:tc>
      </w:tr>
      <w:tr w:rsidR="001D588B" w:rsidRPr="00813E5E" w14:paraId="6A686264" w14:textId="77777777">
        <w:trPr>
          <w:cantSplit/>
        </w:trPr>
        <w:tc>
          <w:tcPr>
            <w:tcW w:w="10031" w:type="dxa"/>
            <w:gridSpan w:val="2"/>
          </w:tcPr>
          <w:p w14:paraId="741F28AD" w14:textId="77777777" w:rsidR="001D588B" w:rsidRPr="00813E5E" w:rsidRDefault="001D588B" w:rsidP="00D77CF2">
            <w:pPr>
              <w:pStyle w:val="Title1"/>
              <w:framePr w:hSpace="0" w:wrap="auto" w:hAnchor="text" w:yAlign="inline"/>
            </w:pPr>
            <w:bookmarkStart w:id="8" w:name="dtitle1" w:colFirst="0" w:colLast="0"/>
            <w:bookmarkEnd w:id="7"/>
            <w:r>
              <w:t>STRENGTHENING THE REGIONAL PRESENCE</w:t>
            </w:r>
          </w:p>
        </w:tc>
      </w:tr>
      <w:bookmarkEnd w:id="8"/>
    </w:tbl>
    <w:p w14:paraId="419385BF" w14:textId="77777777" w:rsidR="001D588B" w:rsidRPr="00813E5E" w:rsidRDefault="001D588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813E5E" w14:paraId="7D4255B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37ECE0C" w14:textId="77777777" w:rsidR="001D588B" w:rsidRPr="00813E5E" w:rsidRDefault="001D588B">
            <w:pPr>
              <w:pStyle w:val="Headingb"/>
            </w:pPr>
            <w:r w:rsidRPr="00813E5E">
              <w:t>Summary</w:t>
            </w:r>
          </w:p>
          <w:p w14:paraId="42B37E26" w14:textId="6FF4FD6C" w:rsidR="001D588B" w:rsidRPr="00813E5E" w:rsidRDefault="00B42D84" w:rsidP="004B2621">
            <w:pPr>
              <w:jc w:val="both"/>
            </w:pPr>
            <w:r w:rsidRPr="00B42D84">
              <w:rPr>
                <w:spacing w:val="-4"/>
              </w:rPr>
              <w:t>The purpose of this document is to report on the implementation of Resolution</w:t>
            </w:r>
            <w:r w:rsidRPr="00B42D84">
              <w:t xml:space="preserve"> 25 (Rev. Busan, 2014). </w:t>
            </w:r>
            <w:hyperlink r:id="rId12" w:history="1">
              <w:r w:rsidRPr="004B2621">
                <w:rPr>
                  <w:rStyle w:val="Hyperlink"/>
                </w:rPr>
                <w:t xml:space="preserve">Document </w:t>
              </w:r>
              <w:r w:rsidR="001E11F5" w:rsidRPr="004B2621">
                <w:rPr>
                  <w:rStyle w:val="Hyperlink"/>
                </w:rPr>
                <w:t>C18/INF/</w:t>
              </w:r>
              <w:r w:rsidR="004B2621" w:rsidRPr="004B2621">
                <w:rPr>
                  <w:rStyle w:val="Hyperlink"/>
                </w:rPr>
                <w:t>6</w:t>
              </w:r>
            </w:hyperlink>
            <w:r w:rsidRPr="00B42D84">
              <w:t xml:space="preserve"> contains </w:t>
            </w:r>
            <w:r>
              <w:t>six</w:t>
            </w:r>
            <w:r w:rsidRPr="00B42D84">
              <w:t xml:space="preserve"> annexes in relation to this document. </w:t>
            </w:r>
          </w:p>
          <w:p w14:paraId="7AFB3ED5" w14:textId="77777777" w:rsidR="001D588B" w:rsidRPr="00813E5E" w:rsidRDefault="001D588B">
            <w:pPr>
              <w:pStyle w:val="Headingb"/>
            </w:pPr>
            <w:r w:rsidRPr="00813E5E">
              <w:t>Action required</w:t>
            </w:r>
          </w:p>
          <w:p w14:paraId="13A67914" w14:textId="77777777" w:rsidR="001D588B" w:rsidRPr="00813E5E" w:rsidRDefault="00B42D84" w:rsidP="00B42D84">
            <w:r w:rsidRPr="00B42D84">
              <w:t xml:space="preserve">The Council is invited to </w:t>
            </w:r>
            <w:r w:rsidRPr="00B42D84">
              <w:rPr>
                <w:b/>
                <w:bCs/>
              </w:rPr>
              <w:t>note</w:t>
            </w:r>
            <w:r w:rsidRPr="00B42D84">
              <w:t xml:space="preserve"> this report.</w:t>
            </w:r>
          </w:p>
          <w:p w14:paraId="747FA5F1" w14:textId="77777777" w:rsidR="001D588B" w:rsidRPr="00813E5E" w:rsidRDefault="001D588B">
            <w:pPr>
              <w:pStyle w:val="Table"/>
              <w:keepNext w:val="0"/>
              <w:spacing w:before="0" w:after="0"/>
              <w:rPr>
                <w:rFonts w:ascii="Calibri" w:hAnsi="Calibri"/>
                <w:caps w:val="0"/>
                <w:sz w:val="22"/>
              </w:rPr>
            </w:pPr>
            <w:r w:rsidRPr="00813E5E">
              <w:rPr>
                <w:rFonts w:ascii="Calibri" w:hAnsi="Calibri"/>
                <w:caps w:val="0"/>
                <w:sz w:val="22"/>
              </w:rPr>
              <w:t>____________</w:t>
            </w:r>
          </w:p>
          <w:p w14:paraId="600DF8CC" w14:textId="77777777" w:rsidR="001D588B" w:rsidRPr="00813E5E" w:rsidRDefault="001D588B">
            <w:pPr>
              <w:pStyle w:val="Headingb"/>
            </w:pPr>
            <w:r w:rsidRPr="00813E5E">
              <w:t>References</w:t>
            </w:r>
          </w:p>
          <w:p w14:paraId="130E99D5" w14:textId="77777777" w:rsidR="0037326A" w:rsidRDefault="00861135" w:rsidP="00D77CF2">
            <w:pPr>
              <w:spacing w:after="120"/>
              <w:rPr>
                <w:rStyle w:val="Hyperlink"/>
                <w:i/>
                <w:iCs/>
                <w:color w:val="auto"/>
                <w:u w:val="none"/>
              </w:rPr>
            </w:pPr>
            <w:hyperlink r:id="rId13" w:history="1">
              <w:r w:rsidR="00B42D84" w:rsidRPr="00417BBE">
                <w:rPr>
                  <w:rStyle w:val="Hyperlink"/>
                  <w:i/>
                  <w:iCs/>
                </w:rPr>
                <w:t>Resolution 25 (Rev. Busan, 2014)</w:t>
              </w:r>
            </w:hyperlink>
            <w:r w:rsidR="00B42D84" w:rsidRPr="00B42D84">
              <w:rPr>
                <w:rStyle w:val="Hyperlink"/>
                <w:i/>
                <w:iCs/>
                <w:color w:val="auto"/>
                <w:u w:val="none"/>
              </w:rPr>
              <w:t xml:space="preserve">; </w:t>
            </w:r>
          </w:p>
          <w:p w14:paraId="32302D30" w14:textId="77777777" w:rsidR="001D588B" w:rsidRPr="00813E5E" w:rsidRDefault="0037326A" w:rsidP="001E11F5">
            <w:pPr>
              <w:spacing w:after="120"/>
              <w:rPr>
                <w:i/>
                <w:iCs/>
              </w:rPr>
            </w:pPr>
            <w:r>
              <w:rPr>
                <w:rStyle w:val="Hyperlink"/>
                <w:i/>
                <w:iCs/>
                <w:color w:val="auto"/>
                <w:u w:val="none"/>
              </w:rPr>
              <w:t xml:space="preserve">2017 </w:t>
            </w:r>
            <w:r w:rsidR="00B42D84">
              <w:rPr>
                <w:rStyle w:val="Hyperlink"/>
                <w:i/>
                <w:iCs/>
                <w:color w:val="auto"/>
                <w:u w:val="none"/>
              </w:rPr>
              <w:t xml:space="preserve">Council </w:t>
            </w:r>
            <w:r w:rsidR="00B42D84" w:rsidRPr="00B42D84">
              <w:rPr>
                <w:rStyle w:val="Hyperlink"/>
                <w:i/>
                <w:iCs/>
                <w:color w:val="auto"/>
                <w:u w:val="none"/>
              </w:rPr>
              <w:t>documen</w:t>
            </w:r>
            <w:r w:rsidR="00B42D84" w:rsidRPr="001E11F5">
              <w:rPr>
                <w:rStyle w:val="Hyperlink"/>
                <w:i/>
                <w:iCs/>
                <w:color w:val="auto"/>
                <w:u w:val="none"/>
              </w:rPr>
              <w:t>t</w:t>
            </w:r>
            <w:r w:rsidR="001E11F5" w:rsidRPr="001E11F5">
              <w:rPr>
                <w:rStyle w:val="Hyperlink"/>
                <w:i/>
                <w:iCs/>
                <w:color w:val="auto"/>
                <w:u w:val="none"/>
              </w:rPr>
              <w:t xml:space="preserve"> </w:t>
            </w:r>
            <w:hyperlink r:id="rId14" w:history="1">
              <w:r w:rsidR="00B42D84" w:rsidRPr="0091116C">
                <w:rPr>
                  <w:rStyle w:val="Hyperlink"/>
                  <w:i/>
                  <w:iCs/>
                </w:rPr>
                <w:t>C17/INF/12</w:t>
              </w:r>
            </w:hyperlink>
          </w:p>
        </w:tc>
      </w:tr>
    </w:tbl>
    <w:p w14:paraId="74E0228D" w14:textId="77777777" w:rsidR="00316A6B" w:rsidRDefault="00316A6B" w:rsidP="00316A6B">
      <w:pPr>
        <w:pStyle w:val="Heading1"/>
        <w:keepNext w:val="0"/>
        <w:keepLines w:val="0"/>
        <w:tabs>
          <w:tab w:val="clear" w:pos="567"/>
          <w:tab w:val="clear" w:pos="1134"/>
          <w:tab w:val="clear" w:pos="1701"/>
          <w:tab w:val="clear" w:pos="2268"/>
          <w:tab w:val="clear" w:pos="2835"/>
        </w:tabs>
        <w:spacing w:before="120"/>
        <w:ind w:left="709" w:hanging="709"/>
        <w:rPr>
          <w:sz w:val="24"/>
          <w:szCs w:val="24"/>
        </w:rPr>
      </w:pPr>
      <w:bookmarkStart w:id="9" w:name="dstart"/>
      <w:bookmarkStart w:id="10" w:name="dbreak"/>
      <w:bookmarkEnd w:id="9"/>
      <w:bookmarkEnd w:id="10"/>
    </w:p>
    <w:p w14:paraId="559A74D5" w14:textId="77777777" w:rsidR="00B42D84" w:rsidRPr="00316A6B" w:rsidRDefault="00B42D84" w:rsidP="00316A6B">
      <w:pPr>
        <w:pStyle w:val="Heading1"/>
        <w:keepNext w:val="0"/>
        <w:keepLines w:val="0"/>
        <w:tabs>
          <w:tab w:val="clear" w:pos="567"/>
          <w:tab w:val="clear" w:pos="1134"/>
          <w:tab w:val="clear" w:pos="1701"/>
          <w:tab w:val="clear" w:pos="2268"/>
          <w:tab w:val="clear" w:pos="2835"/>
        </w:tabs>
        <w:spacing w:before="120"/>
        <w:rPr>
          <w:sz w:val="24"/>
          <w:szCs w:val="24"/>
        </w:rPr>
      </w:pPr>
      <w:r w:rsidRPr="00316A6B">
        <w:rPr>
          <w:sz w:val="24"/>
          <w:szCs w:val="24"/>
        </w:rPr>
        <w:t>1</w:t>
      </w:r>
      <w:r w:rsidRPr="00316A6B">
        <w:rPr>
          <w:sz w:val="24"/>
          <w:szCs w:val="24"/>
        </w:rPr>
        <w:tab/>
        <w:t>Background</w:t>
      </w:r>
    </w:p>
    <w:p w14:paraId="2180E1BA" w14:textId="049F9A6B" w:rsidR="00083F95" w:rsidRPr="00316A6B" w:rsidRDefault="006E0273" w:rsidP="00F127C2">
      <w:pPr>
        <w:tabs>
          <w:tab w:val="clear" w:pos="1134"/>
          <w:tab w:val="clear" w:pos="1701"/>
          <w:tab w:val="clear" w:pos="2268"/>
          <w:tab w:val="clear" w:pos="2835"/>
        </w:tabs>
        <w:jc w:val="both"/>
        <w:rPr>
          <w:szCs w:val="24"/>
        </w:rPr>
      </w:pPr>
      <w:r w:rsidRPr="00316A6B">
        <w:rPr>
          <w:szCs w:val="24"/>
        </w:rPr>
        <w:t>1.1</w:t>
      </w:r>
      <w:r w:rsidRPr="00316A6B">
        <w:rPr>
          <w:szCs w:val="24"/>
        </w:rPr>
        <w:tab/>
      </w:r>
      <w:r w:rsidR="00083F95" w:rsidRPr="00316A6B">
        <w:rPr>
          <w:rFonts w:eastAsia="Arial Unicode MS" w:cstheme="minorHAnsi"/>
          <w:szCs w:val="24"/>
        </w:rPr>
        <w:t>Revised Resolution 25 (Strengthening the regional presence) approved at PP-14 emphasizes the important role of regional and area offices in the preparation and implementation of the strategic plan and in meeting the diverse requirements of ITU membership.</w:t>
      </w:r>
      <w:r w:rsidR="00216EB2">
        <w:rPr>
          <w:rFonts w:eastAsia="Arial Unicode MS" w:cstheme="minorHAnsi"/>
          <w:szCs w:val="24"/>
        </w:rPr>
        <w:t xml:space="preserve"> </w:t>
      </w:r>
      <w:r w:rsidR="00083F95" w:rsidRPr="00316A6B">
        <w:rPr>
          <w:rFonts w:eastAsia="Arial Unicode MS" w:cstheme="minorHAnsi"/>
          <w:szCs w:val="24"/>
        </w:rPr>
        <w:t>Resolution 25 instructs the Secretary General of ITU to submit each year to the Council a report on the regional presence.</w:t>
      </w:r>
      <w:r w:rsidR="00216EB2">
        <w:rPr>
          <w:rFonts w:eastAsia="Arial Unicode MS" w:cstheme="minorHAnsi"/>
          <w:szCs w:val="24"/>
        </w:rPr>
        <w:t xml:space="preserve"> </w:t>
      </w:r>
      <w:r w:rsidR="004C7B62" w:rsidRPr="00316A6B">
        <w:rPr>
          <w:rFonts w:eastAsia="Arial Unicode MS" w:cstheme="minorHAnsi"/>
          <w:szCs w:val="24"/>
        </w:rPr>
        <w:t>This document provides an update to the similar document submitted to Council 2017</w:t>
      </w:r>
      <w:r w:rsidR="00F127C2">
        <w:rPr>
          <w:rFonts w:eastAsia="Arial Unicode MS" w:cstheme="minorHAnsi"/>
          <w:szCs w:val="24"/>
        </w:rPr>
        <w:t xml:space="preserve"> (</w:t>
      </w:r>
      <w:hyperlink r:id="rId15" w:history="1">
        <w:r w:rsidR="00DF1A3B">
          <w:rPr>
            <w:rStyle w:val="Hyperlink"/>
            <w:rFonts w:eastAsia="Arial Unicode MS" w:cstheme="minorHAnsi"/>
            <w:szCs w:val="24"/>
          </w:rPr>
          <w:t>d</w:t>
        </w:r>
        <w:r w:rsidR="00F127C2" w:rsidRPr="00F127C2">
          <w:rPr>
            <w:rStyle w:val="Hyperlink"/>
            <w:rFonts w:eastAsia="Arial Unicode MS" w:cstheme="minorHAnsi"/>
            <w:szCs w:val="24"/>
          </w:rPr>
          <w:t>ocument C17/25</w:t>
        </w:r>
      </w:hyperlink>
      <w:r w:rsidR="00E57649" w:rsidRPr="00316A6B">
        <w:rPr>
          <w:rFonts w:eastAsia="Arial Unicode MS" w:cstheme="minorHAnsi"/>
          <w:szCs w:val="24"/>
        </w:rPr>
        <w:t>)</w:t>
      </w:r>
      <w:r w:rsidR="004C7B62" w:rsidRPr="00316A6B">
        <w:rPr>
          <w:rFonts w:eastAsia="Arial Unicode MS" w:cstheme="minorHAnsi"/>
          <w:szCs w:val="24"/>
        </w:rPr>
        <w:t xml:space="preserve"> with the developments and activities during 2017.</w:t>
      </w:r>
      <w:r w:rsidR="00216EB2">
        <w:rPr>
          <w:rFonts w:eastAsia="Arial Unicode MS" w:cstheme="minorHAnsi"/>
          <w:szCs w:val="24"/>
        </w:rPr>
        <w:t xml:space="preserve"> </w:t>
      </w:r>
    </w:p>
    <w:p w14:paraId="686067F2" w14:textId="77777777" w:rsidR="00083F95" w:rsidRPr="00316A6B" w:rsidRDefault="006E0273" w:rsidP="00316A6B">
      <w:pPr>
        <w:tabs>
          <w:tab w:val="clear" w:pos="1134"/>
          <w:tab w:val="clear" w:pos="1701"/>
          <w:tab w:val="clear" w:pos="2268"/>
          <w:tab w:val="clear" w:pos="2835"/>
        </w:tabs>
        <w:jc w:val="both"/>
        <w:rPr>
          <w:rFonts w:eastAsia="Arial Unicode MS" w:cstheme="minorHAnsi"/>
          <w:szCs w:val="24"/>
        </w:rPr>
      </w:pPr>
      <w:r w:rsidRPr="00316A6B">
        <w:rPr>
          <w:rFonts w:eastAsia="Arial Unicode MS" w:cstheme="minorHAnsi"/>
          <w:szCs w:val="24"/>
        </w:rPr>
        <w:t>1.2</w:t>
      </w:r>
      <w:r w:rsidRPr="00316A6B">
        <w:rPr>
          <w:rFonts w:eastAsia="Arial Unicode MS" w:cstheme="minorHAnsi"/>
          <w:szCs w:val="24"/>
        </w:rPr>
        <w:tab/>
      </w:r>
      <w:r w:rsidR="0094206B" w:rsidRPr="00316A6B">
        <w:rPr>
          <w:rFonts w:eastAsia="Arial Unicode MS" w:cstheme="minorHAnsi"/>
          <w:szCs w:val="24"/>
        </w:rPr>
        <w:t>F</w:t>
      </w:r>
      <w:r w:rsidR="00B30E21" w:rsidRPr="00316A6B">
        <w:rPr>
          <w:rFonts w:eastAsia="Arial Unicode MS" w:cstheme="minorHAnsi"/>
          <w:szCs w:val="24"/>
        </w:rPr>
        <w:t xml:space="preserve">urther efforts were made during 2017 to enhance ITU’s </w:t>
      </w:r>
      <w:r w:rsidR="00083F95" w:rsidRPr="00316A6B">
        <w:rPr>
          <w:szCs w:val="24"/>
        </w:rPr>
        <w:t xml:space="preserve">regional presence </w:t>
      </w:r>
      <w:r w:rsidR="00B30E21" w:rsidRPr="00316A6B">
        <w:rPr>
          <w:szCs w:val="24"/>
        </w:rPr>
        <w:t>through</w:t>
      </w:r>
      <w:r w:rsidR="00083F95" w:rsidRPr="00316A6B">
        <w:rPr>
          <w:szCs w:val="24"/>
        </w:rPr>
        <w:t xml:space="preserve"> a range of measures to enable the Union to be </w:t>
      </w:r>
      <w:r w:rsidR="00B30E21" w:rsidRPr="00316A6B">
        <w:rPr>
          <w:szCs w:val="24"/>
        </w:rPr>
        <w:t xml:space="preserve">more responsive to the specific needs of the regions and </w:t>
      </w:r>
      <w:r w:rsidR="00083F95" w:rsidRPr="00316A6B">
        <w:rPr>
          <w:szCs w:val="24"/>
        </w:rPr>
        <w:t>to effectively deliver</w:t>
      </w:r>
      <w:r w:rsidR="00B30E21" w:rsidRPr="00316A6B">
        <w:rPr>
          <w:szCs w:val="24"/>
        </w:rPr>
        <w:t xml:space="preserve"> timely and high quality products and services</w:t>
      </w:r>
      <w:r w:rsidR="00083F95" w:rsidRPr="00316A6B">
        <w:rPr>
          <w:szCs w:val="24"/>
        </w:rPr>
        <w:t xml:space="preserve"> at country and regional levels.</w:t>
      </w:r>
    </w:p>
    <w:p w14:paraId="5580A4C6" w14:textId="20A802B2" w:rsidR="003A49C5" w:rsidRPr="00316A6B" w:rsidRDefault="006E0273" w:rsidP="004B2621">
      <w:pPr>
        <w:tabs>
          <w:tab w:val="clear" w:pos="1134"/>
          <w:tab w:val="clear" w:pos="1701"/>
          <w:tab w:val="clear" w:pos="2268"/>
          <w:tab w:val="clear" w:pos="2835"/>
        </w:tabs>
        <w:jc w:val="both"/>
        <w:rPr>
          <w:rFonts w:eastAsia="Arial Unicode MS" w:cstheme="minorHAnsi"/>
          <w:szCs w:val="24"/>
        </w:rPr>
      </w:pPr>
      <w:r w:rsidRPr="00316A6B">
        <w:rPr>
          <w:rFonts w:eastAsia="Arial Unicode MS" w:cstheme="minorHAnsi"/>
          <w:szCs w:val="24"/>
        </w:rPr>
        <w:t>1.3</w:t>
      </w:r>
      <w:r w:rsidRPr="00316A6B">
        <w:rPr>
          <w:rFonts w:eastAsia="Arial Unicode MS" w:cstheme="minorHAnsi"/>
          <w:szCs w:val="24"/>
        </w:rPr>
        <w:tab/>
      </w:r>
      <w:r w:rsidR="00B42D84" w:rsidRPr="00316A6B">
        <w:rPr>
          <w:rFonts w:eastAsia="Arial Unicode MS" w:cstheme="minorHAnsi"/>
          <w:szCs w:val="24"/>
        </w:rPr>
        <w:t xml:space="preserve">This report </w:t>
      </w:r>
      <w:r w:rsidR="001240B9" w:rsidRPr="00316A6B">
        <w:rPr>
          <w:rFonts w:eastAsia="Arial Unicode MS" w:cstheme="minorHAnsi"/>
          <w:szCs w:val="24"/>
        </w:rPr>
        <w:t>provides</w:t>
      </w:r>
      <w:r w:rsidR="00B42D84" w:rsidRPr="00316A6B">
        <w:rPr>
          <w:rFonts w:eastAsia="Arial Unicode MS" w:cstheme="minorHAnsi"/>
          <w:szCs w:val="24"/>
        </w:rPr>
        <w:t xml:space="preserve"> information on the action plan and regional initiatives</w:t>
      </w:r>
      <w:r w:rsidR="00DF1A3B">
        <w:rPr>
          <w:rFonts w:eastAsia="Arial Unicode MS" w:cstheme="minorHAnsi"/>
          <w:szCs w:val="24"/>
        </w:rPr>
        <w:t>’</w:t>
      </w:r>
      <w:r w:rsidR="00B42D84" w:rsidRPr="00316A6B">
        <w:rPr>
          <w:rFonts w:eastAsia="Arial Unicode MS" w:cstheme="minorHAnsi"/>
          <w:szCs w:val="24"/>
        </w:rPr>
        <w:t xml:space="preserve"> implementation. It </w:t>
      </w:r>
      <w:r w:rsidR="001240B9" w:rsidRPr="00316A6B">
        <w:rPr>
          <w:rFonts w:eastAsia="Arial Unicode MS" w:cstheme="minorHAnsi"/>
          <w:szCs w:val="24"/>
        </w:rPr>
        <w:t xml:space="preserve">also </w:t>
      </w:r>
      <w:r w:rsidR="00B42D84" w:rsidRPr="00316A6B">
        <w:rPr>
          <w:rFonts w:eastAsia="Arial Unicode MS" w:cstheme="minorHAnsi"/>
          <w:szCs w:val="24"/>
        </w:rPr>
        <w:t>provides detailed information on the 201</w:t>
      </w:r>
      <w:r w:rsidR="001240B9" w:rsidRPr="00316A6B">
        <w:rPr>
          <w:rFonts w:eastAsia="Arial Unicode MS" w:cstheme="minorHAnsi"/>
          <w:szCs w:val="24"/>
        </w:rPr>
        <w:t>7</w:t>
      </w:r>
      <w:r w:rsidR="00B42D84" w:rsidRPr="00316A6B">
        <w:rPr>
          <w:rFonts w:eastAsia="Arial Unicode MS" w:cstheme="minorHAnsi"/>
          <w:szCs w:val="24"/>
        </w:rPr>
        <w:t xml:space="preserve"> budget implementation for regular and extra-budgetary sources of funding. It also offers </w:t>
      </w:r>
      <w:r w:rsidR="001240B9" w:rsidRPr="00316A6B">
        <w:rPr>
          <w:rFonts w:eastAsia="Arial Unicode MS" w:cstheme="minorHAnsi"/>
          <w:szCs w:val="24"/>
        </w:rPr>
        <w:t xml:space="preserve">updated information </w:t>
      </w:r>
      <w:r w:rsidR="00B42D84" w:rsidRPr="00316A6B">
        <w:rPr>
          <w:rFonts w:eastAsia="Arial Unicode MS" w:cstheme="minorHAnsi"/>
          <w:szCs w:val="24"/>
        </w:rPr>
        <w:t>on the staffing level of the various regional and area offices as well as other operational information</w:t>
      </w:r>
      <w:r w:rsidR="001240B9" w:rsidRPr="00316A6B">
        <w:rPr>
          <w:rFonts w:eastAsia="Arial Unicode MS" w:cstheme="minorHAnsi"/>
          <w:szCs w:val="24"/>
        </w:rPr>
        <w:t>,</w:t>
      </w:r>
      <w:r w:rsidR="00B42D84" w:rsidRPr="00316A6B">
        <w:rPr>
          <w:rFonts w:eastAsia="Arial Unicode MS" w:cstheme="minorHAnsi"/>
          <w:szCs w:val="24"/>
        </w:rPr>
        <w:t xml:space="preserve"> such as fellowships, experts and internal expert missions.</w:t>
      </w:r>
      <w:r w:rsidR="00216EB2">
        <w:rPr>
          <w:rFonts w:eastAsia="Arial Unicode MS" w:cstheme="minorHAnsi"/>
          <w:szCs w:val="24"/>
        </w:rPr>
        <w:t xml:space="preserve"> </w:t>
      </w:r>
      <w:r w:rsidR="003A49C5" w:rsidRPr="00316A6B">
        <w:rPr>
          <w:rFonts w:eastAsia="Arial Unicode MS" w:cstheme="minorHAnsi"/>
          <w:szCs w:val="24"/>
        </w:rPr>
        <w:t xml:space="preserve">The current document is supplemented by Information </w:t>
      </w:r>
      <w:hyperlink r:id="rId16" w:history="1">
        <w:r w:rsidR="004B2621" w:rsidRPr="004B2621">
          <w:rPr>
            <w:rStyle w:val="Hyperlink"/>
          </w:rPr>
          <w:t>Document C18/INF/6</w:t>
        </w:r>
      </w:hyperlink>
      <w:r w:rsidR="003A49C5" w:rsidRPr="00316A6B">
        <w:rPr>
          <w:rFonts w:eastAsia="Arial Unicode MS" w:cstheme="minorHAnsi"/>
          <w:szCs w:val="24"/>
        </w:rPr>
        <w:t xml:space="preserve"> that contains the following annexes:</w:t>
      </w:r>
    </w:p>
    <w:p w14:paraId="433E356B" w14:textId="77777777" w:rsidR="003A49C5" w:rsidRPr="00316A6B" w:rsidRDefault="003A49C5" w:rsidP="00F127C2">
      <w:pPr>
        <w:pStyle w:val="ListParagraph"/>
        <w:numPr>
          <w:ilvl w:val="0"/>
          <w:numId w:val="5"/>
        </w:numPr>
        <w:tabs>
          <w:tab w:val="left" w:pos="907"/>
        </w:tabs>
        <w:spacing w:before="60" w:after="0" w:line="240" w:lineRule="auto"/>
        <w:ind w:left="567" w:hanging="567"/>
        <w:contextualSpacing w:val="0"/>
        <w:jc w:val="both"/>
        <w:rPr>
          <w:sz w:val="24"/>
          <w:szCs w:val="24"/>
          <w:lang w:val="en-GB"/>
        </w:rPr>
      </w:pPr>
      <w:r w:rsidRPr="00316A6B">
        <w:rPr>
          <w:sz w:val="24"/>
          <w:szCs w:val="24"/>
          <w:lang w:val="en-GB"/>
        </w:rPr>
        <w:lastRenderedPageBreak/>
        <w:t>Annex 1</w:t>
      </w:r>
      <w:r w:rsidR="00F127C2">
        <w:rPr>
          <w:sz w:val="24"/>
          <w:szCs w:val="24"/>
          <w:lang w:val="en-GB"/>
        </w:rPr>
        <w:tab/>
      </w:r>
      <w:r w:rsidRPr="00316A6B">
        <w:rPr>
          <w:sz w:val="24"/>
          <w:szCs w:val="24"/>
          <w:lang w:val="en-GB"/>
        </w:rPr>
        <w:t>Summary of the 2017 operational plan and projects implementation level and summary of the 2017 Regional and Area offices expenditure</w:t>
      </w:r>
    </w:p>
    <w:p w14:paraId="44941C84" w14:textId="77777777" w:rsidR="003A49C5" w:rsidRPr="00316A6B" w:rsidRDefault="003A49C5" w:rsidP="00F127C2">
      <w:pPr>
        <w:pStyle w:val="ListParagraph"/>
        <w:numPr>
          <w:ilvl w:val="0"/>
          <w:numId w:val="5"/>
        </w:numPr>
        <w:tabs>
          <w:tab w:val="left" w:pos="907"/>
        </w:tabs>
        <w:spacing w:before="60" w:after="0" w:line="240" w:lineRule="auto"/>
        <w:ind w:left="567" w:hanging="567"/>
        <w:contextualSpacing w:val="0"/>
        <w:jc w:val="both"/>
        <w:rPr>
          <w:sz w:val="24"/>
          <w:szCs w:val="24"/>
          <w:lang w:val="en-GB"/>
        </w:rPr>
      </w:pPr>
      <w:r w:rsidRPr="00316A6B">
        <w:rPr>
          <w:sz w:val="24"/>
          <w:szCs w:val="24"/>
          <w:lang w:val="en-GB"/>
        </w:rPr>
        <w:t>Annex 2</w:t>
      </w:r>
      <w:r w:rsidR="00F127C2">
        <w:rPr>
          <w:sz w:val="24"/>
          <w:szCs w:val="24"/>
          <w:lang w:val="en-GB"/>
        </w:rPr>
        <w:tab/>
      </w:r>
      <w:r w:rsidRPr="00316A6B">
        <w:rPr>
          <w:sz w:val="24"/>
          <w:szCs w:val="24"/>
          <w:lang w:val="en-GB"/>
        </w:rPr>
        <w:t>2017 operational plan implementation level by region and objective</w:t>
      </w:r>
    </w:p>
    <w:p w14:paraId="0116DB35" w14:textId="77777777" w:rsidR="003A49C5" w:rsidRPr="00316A6B" w:rsidRDefault="003A49C5" w:rsidP="00F127C2">
      <w:pPr>
        <w:pStyle w:val="ListParagraph"/>
        <w:numPr>
          <w:ilvl w:val="0"/>
          <w:numId w:val="5"/>
        </w:numPr>
        <w:tabs>
          <w:tab w:val="left" w:pos="907"/>
        </w:tabs>
        <w:spacing w:before="60" w:after="0" w:line="240" w:lineRule="auto"/>
        <w:ind w:left="567" w:hanging="567"/>
        <w:contextualSpacing w:val="0"/>
        <w:jc w:val="both"/>
        <w:rPr>
          <w:sz w:val="24"/>
          <w:szCs w:val="24"/>
          <w:lang w:val="en-GB"/>
        </w:rPr>
      </w:pPr>
      <w:r w:rsidRPr="00316A6B">
        <w:rPr>
          <w:sz w:val="24"/>
          <w:szCs w:val="24"/>
          <w:lang w:val="en-GB"/>
        </w:rPr>
        <w:t>Annex 3</w:t>
      </w:r>
      <w:r w:rsidR="00F127C2">
        <w:rPr>
          <w:sz w:val="24"/>
          <w:szCs w:val="24"/>
          <w:lang w:val="en-GB"/>
        </w:rPr>
        <w:tab/>
      </w:r>
      <w:r w:rsidRPr="00316A6B">
        <w:rPr>
          <w:sz w:val="24"/>
          <w:szCs w:val="24"/>
          <w:lang w:val="en-GB"/>
        </w:rPr>
        <w:t>Breakdown of the 2017 regional and area offices expenditure by category of expenditure</w:t>
      </w:r>
    </w:p>
    <w:p w14:paraId="64E43F44" w14:textId="77777777" w:rsidR="003A49C5" w:rsidRPr="00316A6B" w:rsidRDefault="003A49C5" w:rsidP="00F127C2">
      <w:pPr>
        <w:pStyle w:val="ListParagraph"/>
        <w:numPr>
          <w:ilvl w:val="0"/>
          <w:numId w:val="5"/>
        </w:numPr>
        <w:tabs>
          <w:tab w:val="left" w:pos="907"/>
        </w:tabs>
        <w:spacing w:before="60" w:after="0" w:line="240" w:lineRule="auto"/>
        <w:ind w:left="567" w:hanging="567"/>
        <w:contextualSpacing w:val="0"/>
        <w:jc w:val="both"/>
        <w:rPr>
          <w:sz w:val="24"/>
          <w:szCs w:val="24"/>
          <w:lang w:val="en-GB"/>
        </w:rPr>
      </w:pPr>
      <w:r w:rsidRPr="00316A6B">
        <w:rPr>
          <w:sz w:val="24"/>
          <w:szCs w:val="24"/>
          <w:lang w:val="en-GB"/>
        </w:rPr>
        <w:t>Annex 4</w:t>
      </w:r>
      <w:r w:rsidR="00F127C2">
        <w:rPr>
          <w:sz w:val="24"/>
          <w:szCs w:val="24"/>
          <w:lang w:val="en-GB"/>
        </w:rPr>
        <w:tab/>
      </w:r>
      <w:r w:rsidRPr="00316A6B">
        <w:rPr>
          <w:sz w:val="24"/>
          <w:szCs w:val="24"/>
          <w:lang w:val="en-GB"/>
        </w:rPr>
        <w:t>2017 Fellowships awarded and recruited experts</w:t>
      </w:r>
    </w:p>
    <w:p w14:paraId="235C0AB1" w14:textId="77777777" w:rsidR="003A49C5" w:rsidRPr="00316A6B" w:rsidRDefault="003A49C5" w:rsidP="00F127C2">
      <w:pPr>
        <w:pStyle w:val="ListParagraph"/>
        <w:numPr>
          <w:ilvl w:val="0"/>
          <w:numId w:val="5"/>
        </w:numPr>
        <w:tabs>
          <w:tab w:val="left" w:pos="907"/>
        </w:tabs>
        <w:spacing w:before="60" w:after="0" w:line="240" w:lineRule="auto"/>
        <w:ind w:left="567" w:hanging="567"/>
        <w:contextualSpacing w:val="0"/>
        <w:jc w:val="both"/>
        <w:rPr>
          <w:sz w:val="24"/>
          <w:szCs w:val="24"/>
          <w:lang w:val="en-GB"/>
        </w:rPr>
      </w:pPr>
      <w:r w:rsidRPr="00316A6B">
        <w:rPr>
          <w:sz w:val="24"/>
          <w:szCs w:val="24"/>
          <w:lang w:val="en-GB"/>
        </w:rPr>
        <w:t>Annex 5</w:t>
      </w:r>
      <w:r w:rsidR="00F127C2">
        <w:rPr>
          <w:sz w:val="24"/>
          <w:szCs w:val="24"/>
          <w:lang w:val="en-GB"/>
        </w:rPr>
        <w:tab/>
      </w:r>
      <w:r w:rsidRPr="00316A6B">
        <w:rPr>
          <w:sz w:val="24"/>
          <w:szCs w:val="24"/>
          <w:lang w:val="en-GB"/>
        </w:rPr>
        <w:t>Summary of staffing level by Regional and Area offices</w:t>
      </w:r>
    </w:p>
    <w:p w14:paraId="1D12F854" w14:textId="77777777" w:rsidR="003A49C5" w:rsidRPr="00316A6B" w:rsidRDefault="003A49C5" w:rsidP="00F127C2">
      <w:pPr>
        <w:pStyle w:val="ListParagraph"/>
        <w:numPr>
          <w:ilvl w:val="0"/>
          <w:numId w:val="5"/>
        </w:numPr>
        <w:tabs>
          <w:tab w:val="left" w:pos="907"/>
        </w:tabs>
        <w:spacing w:before="60" w:after="120" w:line="240" w:lineRule="auto"/>
        <w:ind w:left="567" w:hanging="567"/>
        <w:contextualSpacing w:val="0"/>
        <w:jc w:val="both"/>
        <w:rPr>
          <w:sz w:val="24"/>
          <w:szCs w:val="24"/>
          <w:lang w:val="en-GB"/>
        </w:rPr>
      </w:pPr>
      <w:r w:rsidRPr="00316A6B">
        <w:rPr>
          <w:sz w:val="24"/>
          <w:szCs w:val="24"/>
          <w:lang w:val="en-GB"/>
        </w:rPr>
        <w:t>Annex 6</w:t>
      </w:r>
      <w:r w:rsidR="00F127C2">
        <w:rPr>
          <w:sz w:val="24"/>
          <w:szCs w:val="24"/>
          <w:lang w:val="en-GB"/>
        </w:rPr>
        <w:tab/>
      </w:r>
      <w:r w:rsidRPr="00316A6B">
        <w:rPr>
          <w:sz w:val="24"/>
          <w:szCs w:val="24"/>
          <w:lang w:val="en-GB"/>
        </w:rPr>
        <w:t>Breakdown of staffing level by Regional and Area offices</w:t>
      </w:r>
    </w:p>
    <w:p w14:paraId="7BCD61B0" w14:textId="77777777" w:rsidR="003A49C5" w:rsidRPr="00316A6B" w:rsidRDefault="006E0273" w:rsidP="00163280">
      <w:pPr>
        <w:tabs>
          <w:tab w:val="clear" w:pos="1134"/>
          <w:tab w:val="clear" w:pos="1701"/>
          <w:tab w:val="clear" w:pos="2268"/>
          <w:tab w:val="clear" w:pos="2835"/>
        </w:tabs>
        <w:jc w:val="both"/>
        <w:rPr>
          <w:rStyle w:val="Hyperlink"/>
          <w:rFonts w:asciiTheme="minorHAnsi" w:eastAsiaTheme="minorEastAsia" w:hAnsiTheme="minorHAnsi" w:cstheme="minorBidi"/>
          <w:color w:val="auto"/>
          <w:szCs w:val="24"/>
          <w:u w:val="none"/>
          <w:lang w:eastAsia="zh-CN"/>
        </w:rPr>
      </w:pPr>
      <w:r w:rsidRPr="00316A6B">
        <w:rPr>
          <w:rFonts w:eastAsia="Arial Unicode MS" w:cstheme="minorHAnsi"/>
          <w:szCs w:val="24"/>
        </w:rPr>
        <w:t>1.4</w:t>
      </w:r>
      <w:r w:rsidRPr="00316A6B">
        <w:rPr>
          <w:rFonts w:eastAsia="Arial Unicode MS" w:cstheme="minorHAnsi"/>
          <w:szCs w:val="24"/>
        </w:rPr>
        <w:tab/>
      </w:r>
      <w:r w:rsidR="00F14F2C" w:rsidRPr="00316A6B">
        <w:rPr>
          <w:rFonts w:eastAsia="Arial Unicode MS" w:cstheme="minorHAnsi"/>
          <w:szCs w:val="24"/>
        </w:rPr>
        <w:t>In addition, Resolution 25 of PP-14 requested</w:t>
      </w:r>
      <w:r w:rsidR="00C92F02" w:rsidRPr="00316A6B">
        <w:rPr>
          <w:rFonts w:eastAsia="Arial Unicode MS" w:cstheme="minorHAnsi"/>
          <w:szCs w:val="24"/>
        </w:rPr>
        <w:t xml:space="preserve"> in its Annex</w:t>
      </w:r>
      <w:r w:rsidR="00F14F2C" w:rsidRPr="00316A6B">
        <w:rPr>
          <w:rFonts w:eastAsia="Arial Unicode MS" w:cstheme="minorHAnsi"/>
          <w:szCs w:val="24"/>
        </w:rPr>
        <w:t xml:space="preserve"> that a survey be organized once every four years of the level of satisfaction of Member States, Sector Members</w:t>
      </w:r>
      <w:r w:rsidR="00DF1A3B">
        <w:rPr>
          <w:rFonts w:eastAsia="Arial Unicode MS" w:cstheme="minorHAnsi"/>
          <w:szCs w:val="24"/>
        </w:rPr>
        <w:t>,</w:t>
      </w:r>
      <w:r w:rsidR="00F14F2C" w:rsidRPr="00316A6B">
        <w:rPr>
          <w:rFonts w:eastAsia="Arial Unicode MS" w:cstheme="minorHAnsi"/>
          <w:szCs w:val="24"/>
        </w:rPr>
        <w:t xml:space="preserve"> and regional telecommunication organizations with ITU’s regional presence.</w:t>
      </w:r>
      <w:r w:rsidR="00216EB2">
        <w:rPr>
          <w:rFonts w:eastAsia="Arial Unicode MS" w:cstheme="minorHAnsi"/>
          <w:szCs w:val="24"/>
        </w:rPr>
        <w:t xml:space="preserve"> </w:t>
      </w:r>
      <w:r w:rsidR="004F402A" w:rsidRPr="00316A6B">
        <w:rPr>
          <w:rStyle w:val="Hyperlink"/>
          <w:color w:val="auto"/>
          <w:szCs w:val="24"/>
          <w:u w:val="none"/>
        </w:rPr>
        <w:t>According to Annex to Resolution</w:t>
      </w:r>
      <w:r w:rsidR="00163280">
        <w:rPr>
          <w:rStyle w:val="Hyperlink"/>
          <w:color w:val="auto"/>
          <w:szCs w:val="24"/>
          <w:u w:val="none"/>
        </w:rPr>
        <w:t> </w:t>
      </w:r>
      <w:r w:rsidR="004F402A" w:rsidRPr="00316A6B">
        <w:rPr>
          <w:rStyle w:val="Hyperlink"/>
          <w:color w:val="auto"/>
          <w:szCs w:val="24"/>
          <w:u w:val="none"/>
        </w:rPr>
        <w:t xml:space="preserve">25, </w:t>
      </w:r>
      <w:r w:rsidR="006E079D">
        <w:rPr>
          <w:rStyle w:val="Hyperlink"/>
          <w:color w:val="auto"/>
          <w:szCs w:val="24"/>
          <w:u w:val="none"/>
        </w:rPr>
        <w:t>“</w:t>
      </w:r>
      <w:r w:rsidR="004F402A" w:rsidRPr="00316A6B">
        <w:rPr>
          <w:rStyle w:val="Hyperlink"/>
          <w:color w:val="auto"/>
          <w:szCs w:val="24"/>
          <w:u w:val="none"/>
        </w:rPr>
        <w:t>the Council should then consider the appropriate course of action to be taken, with a view to reporting to the 2018 plenipotentiary conference on the matter</w:t>
      </w:r>
      <w:r w:rsidR="006E079D">
        <w:rPr>
          <w:rStyle w:val="Hyperlink"/>
          <w:color w:val="auto"/>
          <w:szCs w:val="24"/>
          <w:u w:val="none"/>
        </w:rPr>
        <w:t>”</w:t>
      </w:r>
      <w:r w:rsidR="004F402A" w:rsidRPr="00316A6B">
        <w:rPr>
          <w:rStyle w:val="Hyperlink"/>
          <w:color w:val="auto"/>
          <w:szCs w:val="24"/>
          <w:u w:val="none"/>
        </w:rPr>
        <w:t>.</w:t>
      </w:r>
      <w:r w:rsidR="00216EB2">
        <w:rPr>
          <w:rStyle w:val="Hyperlink"/>
          <w:color w:val="auto"/>
          <w:szCs w:val="24"/>
          <w:u w:val="none"/>
        </w:rPr>
        <w:t xml:space="preserve"> </w:t>
      </w:r>
    </w:p>
    <w:p w14:paraId="11299F77" w14:textId="6B86783F" w:rsidR="003A49C5" w:rsidRPr="00316A6B" w:rsidRDefault="006E0273" w:rsidP="00316A6B">
      <w:pPr>
        <w:tabs>
          <w:tab w:val="clear" w:pos="1134"/>
          <w:tab w:val="clear" w:pos="1701"/>
          <w:tab w:val="clear" w:pos="2268"/>
          <w:tab w:val="clear" w:pos="2835"/>
        </w:tabs>
        <w:jc w:val="both"/>
        <w:rPr>
          <w:rFonts w:eastAsia="Arial Unicode MS" w:cstheme="minorHAnsi"/>
          <w:szCs w:val="24"/>
        </w:rPr>
      </w:pPr>
      <w:r w:rsidRPr="00316A6B">
        <w:rPr>
          <w:rFonts w:eastAsia="Arial Unicode MS" w:cstheme="minorHAnsi"/>
          <w:szCs w:val="24"/>
        </w:rPr>
        <w:t>1.5</w:t>
      </w:r>
      <w:r w:rsidRPr="00316A6B">
        <w:rPr>
          <w:rFonts w:eastAsia="Arial Unicode MS" w:cstheme="minorHAnsi"/>
          <w:szCs w:val="24"/>
        </w:rPr>
        <w:tab/>
      </w:r>
      <w:r w:rsidR="00F14F2C" w:rsidRPr="00316A6B">
        <w:rPr>
          <w:rFonts w:eastAsia="Arial Unicode MS" w:cstheme="minorHAnsi"/>
          <w:szCs w:val="24"/>
        </w:rPr>
        <w:t xml:space="preserve">It is recalled that such survey was undertaken in 2016 and its results and a report were presented to </w:t>
      </w:r>
      <w:r w:rsidR="00DF1A3B">
        <w:rPr>
          <w:rFonts w:eastAsia="Arial Unicode MS" w:cstheme="minorHAnsi"/>
          <w:szCs w:val="24"/>
        </w:rPr>
        <w:t xml:space="preserve">the </w:t>
      </w:r>
      <w:r w:rsidR="00F14F2C" w:rsidRPr="00316A6B">
        <w:rPr>
          <w:rFonts w:eastAsia="Arial Unicode MS" w:cstheme="minorHAnsi"/>
          <w:szCs w:val="24"/>
        </w:rPr>
        <w:t xml:space="preserve">Council at its 2017 session (document </w:t>
      </w:r>
      <w:hyperlink r:id="rId17" w:history="1">
        <w:r w:rsidR="00F14F2C" w:rsidRPr="00316A6B">
          <w:rPr>
            <w:rStyle w:val="Hyperlink"/>
            <w:szCs w:val="24"/>
          </w:rPr>
          <w:t>C17/INF/12</w:t>
        </w:r>
      </w:hyperlink>
      <w:r w:rsidR="00F14F2C" w:rsidRPr="00316A6B">
        <w:rPr>
          <w:rStyle w:val="Hyperlink"/>
          <w:szCs w:val="24"/>
        </w:rPr>
        <w:t>)</w:t>
      </w:r>
      <w:r w:rsidR="00B42D84" w:rsidRPr="00316A6B">
        <w:rPr>
          <w:rStyle w:val="Hyperlink"/>
          <w:color w:val="auto"/>
          <w:szCs w:val="24"/>
          <w:u w:val="none"/>
        </w:rPr>
        <w:t>.</w:t>
      </w:r>
      <w:r w:rsidR="00F14F2C" w:rsidRPr="00316A6B">
        <w:rPr>
          <w:rStyle w:val="Hyperlink"/>
          <w:color w:val="auto"/>
          <w:szCs w:val="24"/>
          <w:u w:val="none"/>
        </w:rPr>
        <w:t xml:space="preserve"> </w:t>
      </w:r>
      <w:r w:rsidR="005848DE" w:rsidRPr="00316A6B">
        <w:rPr>
          <w:rStyle w:val="Hyperlink"/>
          <w:color w:val="auto"/>
          <w:szCs w:val="24"/>
          <w:u w:val="none"/>
        </w:rPr>
        <w:t xml:space="preserve">Council 2017 noted </w:t>
      </w:r>
      <w:r w:rsidR="00DF1A3B">
        <w:rPr>
          <w:rStyle w:val="Hyperlink"/>
          <w:color w:val="auto"/>
          <w:szCs w:val="24"/>
          <w:u w:val="none"/>
        </w:rPr>
        <w:t>d</w:t>
      </w:r>
      <w:r w:rsidR="005848DE" w:rsidRPr="00316A6B">
        <w:rPr>
          <w:rStyle w:val="Hyperlink"/>
          <w:color w:val="auto"/>
          <w:szCs w:val="24"/>
          <w:u w:val="none"/>
        </w:rPr>
        <w:t>ocument</w:t>
      </w:r>
      <w:r w:rsidR="00CB6BF4" w:rsidRPr="00316A6B">
        <w:rPr>
          <w:rStyle w:val="Hyperlink"/>
          <w:color w:val="auto"/>
          <w:szCs w:val="24"/>
          <w:u w:val="none"/>
        </w:rPr>
        <w:t xml:space="preserve"> C17/25 (</w:t>
      </w:r>
      <w:r w:rsidR="005848DE" w:rsidRPr="00316A6B">
        <w:rPr>
          <w:rStyle w:val="Hyperlink"/>
          <w:color w:val="auto"/>
          <w:szCs w:val="24"/>
          <w:u w:val="none"/>
        </w:rPr>
        <w:t>Strengthening the regional presence</w:t>
      </w:r>
      <w:r w:rsidR="00CB6BF4" w:rsidRPr="00316A6B">
        <w:rPr>
          <w:rStyle w:val="Hyperlink"/>
          <w:color w:val="auto"/>
          <w:szCs w:val="24"/>
          <w:u w:val="none"/>
        </w:rPr>
        <w:t>)</w:t>
      </w:r>
      <w:r w:rsidR="005848DE" w:rsidRPr="00316A6B">
        <w:rPr>
          <w:rStyle w:val="Hyperlink"/>
          <w:color w:val="auto"/>
          <w:szCs w:val="24"/>
          <w:u w:val="none"/>
        </w:rPr>
        <w:t>, which refers to the satisfaction survey described in Document C17/INF/12.</w:t>
      </w:r>
      <w:r w:rsidR="00216EB2">
        <w:rPr>
          <w:rStyle w:val="Hyperlink"/>
          <w:color w:val="auto"/>
          <w:szCs w:val="24"/>
          <w:u w:val="none"/>
        </w:rPr>
        <w:t xml:space="preserve"> </w:t>
      </w:r>
      <w:r w:rsidR="004F402A" w:rsidRPr="00316A6B">
        <w:rPr>
          <w:rStyle w:val="Hyperlink"/>
          <w:color w:val="auto"/>
          <w:szCs w:val="24"/>
          <w:u w:val="none"/>
        </w:rPr>
        <w:t>ITU received 129 responses, of which 88 were from Member States and 41 were from Sector Members, Associates, regional organizations, and international organizations.</w:t>
      </w:r>
      <w:r w:rsidR="00216EB2">
        <w:rPr>
          <w:rStyle w:val="Hyperlink"/>
          <w:color w:val="auto"/>
          <w:szCs w:val="24"/>
          <w:u w:val="none"/>
        </w:rPr>
        <w:t xml:space="preserve"> </w:t>
      </w:r>
      <w:r w:rsidR="004F402A" w:rsidRPr="00316A6B">
        <w:rPr>
          <w:rStyle w:val="Hyperlink"/>
          <w:color w:val="auto"/>
          <w:szCs w:val="24"/>
          <w:u w:val="none"/>
        </w:rPr>
        <w:t>The overall results were generally satisfactory for the all the aspects of the survey.</w:t>
      </w:r>
      <w:r w:rsidR="00216EB2">
        <w:rPr>
          <w:rStyle w:val="Hyperlink"/>
          <w:color w:val="auto"/>
          <w:szCs w:val="24"/>
          <w:u w:val="none"/>
        </w:rPr>
        <w:t xml:space="preserve"> </w:t>
      </w:r>
      <w:r w:rsidR="003A49C5" w:rsidRPr="00316A6B">
        <w:rPr>
          <w:rStyle w:val="Hyperlink"/>
          <w:color w:val="auto"/>
          <w:szCs w:val="24"/>
          <w:u w:val="none"/>
        </w:rPr>
        <w:t>The vast majority of the participants to the survey have indicated that the location of Regional and Area offices are appropriate, and that they were familiar with the activities of the ITU including at the regional level. The majority of the participants to the survey have also indicated that they were considering the staffing level of the Regional and Area offices appropriate.</w:t>
      </w:r>
    </w:p>
    <w:p w14:paraId="04D75BE5" w14:textId="77777777" w:rsidR="00B42D84" w:rsidRPr="00316A6B" w:rsidRDefault="006E0273" w:rsidP="00316A6B">
      <w:pPr>
        <w:pStyle w:val="Heading3"/>
        <w:spacing w:before="120"/>
        <w:rPr>
          <w:rFonts w:eastAsia="Arial Unicode MS"/>
          <w:szCs w:val="24"/>
        </w:rPr>
      </w:pPr>
      <w:r w:rsidRPr="00316A6B">
        <w:rPr>
          <w:szCs w:val="24"/>
        </w:rPr>
        <w:t>2.</w:t>
      </w:r>
      <w:r w:rsidRPr="00316A6B">
        <w:rPr>
          <w:szCs w:val="24"/>
        </w:rPr>
        <w:tab/>
      </w:r>
      <w:r w:rsidR="00B42D84" w:rsidRPr="00316A6B">
        <w:rPr>
          <w:szCs w:val="24"/>
        </w:rPr>
        <w:t>Achievements at regional level (operational plan, regional initiatives, and projects)</w:t>
      </w:r>
    </w:p>
    <w:p w14:paraId="54ED147E" w14:textId="77777777" w:rsidR="00B42D84" w:rsidRPr="00316A6B" w:rsidRDefault="006E0273" w:rsidP="00316A6B">
      <w:pPr>
        <w:tabs>
          <w:tab w:val="clear" w:pos="1134"/>
          <w:tab w:val="clear" w:pos="1701"/>
          <w:tab w:val="clear" w:pos="2268"/>
          <w:tab w:val="clear" w:pos="2835"/>
        </w:tabs>
        <w:jc w:val="both"/>
        <w:rPr>
          <w:szCs w:val="24"/>
        </w:rPr>
      </w:pPr>
      <w:r w:rsidRPr="00316A6B">
        <w:rPr>
          <w:szCs w:val="24"/>
        </w:rPr>
        <w:t>2.1</w:t>
      </w:r>
      <w:r w:rsidRPr="00316A6B">
        <w:rPr>
          <w:szCs w:val="24"/>
        </w:rPr>
        <w:tab/>
      </w:r>
      <w:r w:rsidR="00B42D84" w:rsidRPr="00316A6B">
        <w:rPr>
          <w:szCs w:val="24"/>
        </w:rPr>
        <w:t>The implementation of the regional initiatives and the execution of programmes, projects</w:t>
      </w:r>
      <w:r w:rsidR="00C567D6" w:rsidRPr="00316A6B">
        <w:rPr>
          <w:szCs w:val="24"/>
        </w:rPr>
        <w:t>,</w:t>
      </w:r>
      <w:r w:rsidR="00B42D84" w:rsidRPr="00316A6B">
        <w:rPr>
          <w:szCs w:val="24"/>
        </w:rPr>
        <w:t xml:space="preserve"> and activities are carried out in the field under the leadership of regional and area offices. The main results achieved are regularly reported to TDAG and the Council. They can also be found in the Quarterly Reports, which were introduced by the Bureau in 2013 to set forth details on the implementation of the strategic, financial, and operational plans, including at regional level.</w:t>
      </w:r>
      <w:r w:rsidR="00216EB2">
        <w:rPr>
          <w:szCs w:val="24"/>
        </w:rPr>
        <w:t xml:space="preserve"> </w:t>
      </w:r>
      <w:r w:rsidR="00B42D84" w:rsidRPr="00316A6B">
        <w:rPr>
          <w:szCs w:val="24"/>
        </w:rPr>
        <w:t xml:space="preserve">Quarterly reports can be found at the following address: </w:t>
      </w:r>
      <w:hyperlink r:id="rId18" w:history="1">
        <w:r w:rsidR="00B42D84" w:rsidRPr="00316A6B">
          <w:rPr>
            <w:rStyle w:val="Hyperlink"/>
            <w:szCs w:val="24"/>
          </w:rPr>
          <w:t>http://www.itu.int/en/ITU-D/Pages/OperationalPlansPerformanceReports.aspx</w:t>
        </w:r>
      </w:hyperlink>
    </w:p>
    <w:p w14:paraId="2637F75F" w14:textId="77777777" w:rsidR="00B42D84" w:rsidRPr="00316A6B" w:rsidRDefault="006E0273" w:rsidP="00316A6B">
      <w:pPr>
        <w:tabs>
          <w:tab w:val="clear" w:pos="1134"/>
          <w:tab w:val="clear" w:pos="1701"/>
          <w:tab w:val="clear" w:pos="2268"/>
          <w:tab w:val="clear" w:pos="2835"/>
        </w:tabs>
        <w:jc w:val="both"/>
        <w:rPr>
          <w:szCs w:val="24"/>
        </w:rPr>
      </w:pPr>
      <w:r w:rsidRPr="00316A6B">
        <w:rPr>
          <w:szCs w:val="24"/>
        </w:rPr>
        <w:t>2.2</w:t>
      </w:r>
      <w:r w:rsidRPr="00316A6B">
        <w:rPr>
          <w:szCs w:val="24"/>
        </w:rPr>
        <w:tab/>
      </w:r>
      <w:r w:rsidR="00B42D84" w:rsidRPr="00316A6B">
        <w:rPr>
          <w:szCs w:val="24"/>
        </w:rPr>
        <w:t>The 201</w:t>
      </w:r>
      <w:r w:rsidR="00352238" w:rsidRPr="00316A6B">
        <w:rPr>
          <w:szCs w:val="24"/>
        </w:rPr>
        <w:t>7</w:t>
      </w:r>
      <w:r w:rsidR="00B42D84" w:rsidRPr="00316A6B">
        <w:rPr>
          <w:szCs w:val="24"/>
        </w:rPr>
        <w:t xml:space="preserve"> ITU-D performance report provides all details concerning the contribution of the regional and area offices on the implementation of the strategic and operational plans of the ITU-D for the year 201</w:t>
      </w:r>
      <w:r w:rsidR="00B943A3" w:rsidRPr="00316A6B">
        <w:rPr>
          <w:szCs w:val="24"/>
        </w:rPr>
        <w:t>7</w:t>
      </w:r>
      <w:r w:rsidR="00B42D84" w:rsidRPr="00316A6B">
        <w:rPr>
          <w:szCs w:val="24"/>
        </w:rPr>
        <w:t xml:space="preserve">. </w:t>
      </w:r>
      <w:r w:rsidR="00C567D6" w:rsidRPr="00316A6B">
        <w:rPr>
          <w:szCs w:val="24"/>
        </w:rPr>
        <w:t>The p</w:t>
      </w:r>
      <w:r w:rsidR="00B42D84" w:rsidRPr="00316A6B">
        <w:rPr>
          <w:szCs w:val="24"/>
        </w:rPr>
        <w:t xml:space="preserve">erformance report can be found at the following address: </w:t>
      </w:r>
      <w:hyperlink r:id="rId19" w:history="1">
        <w:r w:rsidR="00706EED" w:rsidRPr="00316A6B">
          <w:rPr>
            <w:rStyle w:val="Hyperlink"/>
            <w:szCs w:val="24"/>
          </w:rPr>
          <w:t>https://www.itu.int/en/ITU-D/TIES_Protected/PerfReport2017.pdf</w:t>
        </w:r>
      </w:hyperlink>
      <w:r w:rsidR="00B42D84" w:rsidRPr="00316A6B">
        <w:rPr>
          <w:szCs w:val="24"/>
        </w:rPr>
        <w:t xml:space="preserve"> </w:t>
      </w:r>
    </w:p>
    <w:p w14:paraId="4C19C9EF" w14:textId="359F5FAC" w:rsidR="00A3474F" w:rsidRPr="00316A6B" w:rsidRDefault="006E0273" w:rsidP="00D30883">
      <w:pPr>
        <w:tabs>
          <w:tab w:val="clear" w:pos="1134"/>
          <w:tab w:val="clear" w:pos="1701"/>
          <w:tab w:val="clear" w:pos="2268"/>
          <w:tab w:val="clear" w:pos="2835"/>
        </w:tabs>
        <w:jc w:val="both"/>
        <w:rPr>
          <w:b/>
          <w:bCs/>
          <w:szCs w:val="24"/>
        </w:rPr>
      </w:pPr>
      <w:r w:rsidRPr="00316A6B">
        <w:rPr>
          <w:szCs w:val="24"/>
        </w:rPr>
        <w:t>2.3</w:t>
      </w:r>
      <w:r w:rsidRPr="00316A6B">
        <w:rPr>
          <w:szCs w:val="24"/>
        </w:rPr>
        <w:tab/>
      </w:r>
      <w:r w:rsidR="00B42D84" w:rsidRPr="00316A6B">
        <w:rPr>
          <w:szCs w:val="24"/>
        </w:rPr>
        <w:t>In 201</w:t>
      </w:r>
      <w:r w:rsidR="00B943A3" w:rsidRPr="00316A6B">
        <w:rPr>
          <w:szCs w:val="24"/>
        </w:rPr>
        <w:t>7</w:t>
      </w:r>
      <w:r w:rsidR="00B42D84" w:rsidRPr="00316A6B">
        <w:rPr>
          <w:szCs w:val="24"/>
        </w:rPr>
        <w:t>, the implementation of the</w:t>
      </w:r>
      <w:r w:rsidR="00F03BFB" w:rsidRPr="00316A6B">
        <w:rPr>
          <w:szCs w:val="24"/>
        </w:rPr>
        <w:t xml:space="preserve"> BDT</w:t>
      </w:r>
      <w:r w:rsidR="00B42D84" w:rsidRPr="00316A6B">
        <w:rPr>
          <w:szCs w:val="24"/>
        </w:rPr>
        <w:t xml:space="preserve"> operational plan</w:t>
      </w:r>
      <w:r w:rsidR="00F03BFB" w:rsidRPr="00316A6B">
        <w:rPr>
          <w:szCs w:val="24"/>
        </w:rPr>
        <w:t xml:space="preserve"> (regular budget)</w:t>
      </w:r>
      <w:r w:rsidR="00B42D84" w:rsidRPr="00316A6B">
        <w:rPr>
          <w:szCs w:val="24"/>
        </w:rPr>
        <w:t xml:space="preserve"> included </w:t>
      </w:r>
      <w:r w:rsidR="00813E7A" w:rsidRPr="00316A6B">
        <w:rPr>
          <w:szCs w:val="24"/>
        </w:rPr>
        <w:t>2</w:t>
      </w:r>
      <w:r w:rsidR="006246E6" w:rsidRPr="00316A6B">
        <w:rPr>
          <w:szCs w:val="24"/>
        </w:rPr>
        <w:t>39</w:t>
      </w:r>
      <w:r w:rsidR="00813E7A" w:rsidRPr="00316A6B">
        <w:rPr>
          <w:szCs w:val="24"/>
        </w:rPr>
        <w:t xml:space="preserve"> </w:t>
      </w:r>
      <w:r w:rsidR="00B42D84" w:rsidRPr="00316A6B">
        <w:rPr>
          <w:szCs w:val="24"/>
        </w:rPr>
        <w:t xml:space="preserve">actions for a total implementation level of </w:t>
      </w:r>
      <w:r w:rsidR="00813E7A" w:rsidRPr="00316A6B">
        <w:rPr>
          <w:szCs w:val="24"/>
        </w:rPr>
        <w:t>2.</w:t>
      </w:r>
      <w:r w:rsidR="006246E6" w:rsidRPr="00316A6B">
        <w:rPr>
          <w:szCs w:val="24"/>
        </w:rPr>
        <w:t>4</w:t>
      </w:r>
      <w:r w:rsidR="00813E7A" w:rsidRPr="00316A6B">
        <w:rPr>
          <w:szCs w:val="24"/>
        </w:rPr>
        <w:t xml:space="preserve"> million CHF</w:t>
      </w:r>
      <w:r w:rsidR="00695436" w:rsidRPr="00316A6B">
        <w:rPr>
          <w:szCs w:val="24"/>
        </w:rPr>
        <w:t xml:space="preserve"> (Table 1)</w:t>
      </w:r>
      <w:r w:rsidR="00B42D84" w:rsidRPr="00316A6B">
        <w:rPr>
          <w:szCs w:val="24"/>
        </w:rPr>
        <w:t xml:space="preserve">. The implementation level of technical cooperation projects amounted to </w:t>
      </w:r>
      <w:r w:rsidR="006246E6" w:rsidRPr="00316A6B">
        <w:rPr>
          <w:szCs w:val="24"/>
        </w:rPr>
        <w:t>9</w:t>
      </w:r>
      <w:r w:rsidR="00813E7A" w:rsidRPr="00316A6B">
        <w:rPr>
          <w:szCs w:val="24"/>
        </w:rPr>
        <w:t xml:space="preserve">.4 million </w:t>
      </w:r>
      <w:r w:rsidR="00D30883">
        <w:rPr>
          <w:szCs w:val="24"/>
        </w:rPr>
        <w:t>USD</w:t>
      </w:r>
      <w:r w:rsidR="00B42D84" w:rsidRPr="00316A6B">
        <w:rPr>
          <w:szCs w:val="24"/>
        </w:rPr>
        <w:t xml:space="preserve"> for </w:t>
      </w:r>
      <w:r w:rsidR="00813E7A" w:rsidRPr="00316A6B">
        <w:rPr>
          <w:szCs w:val="24"/>
        </w:rPr>
        <w:t>4</w:t>
      </w:r>
      <w:r w:rsidR="006246E6" w:rsidRPr="00316A6B">
        <w:rPr>
          <w:szCs w:val="24"/>
        </w:rPr>
        <w:t>8</w:t>
      </w:r>
      <w:r w:rsidR="00B42D84" w:rsidRPr="00316A6B">
        <w:rPr>
          <w:szCs w:val="24"/>
        </w:rPr>
        <w:t xml:space="preserve"> projects</w:t>
      </w:r>
      <w:r w:rsidR="00695436" w:rsidRPr="00316A6B">
        <w:rPr>
          <w:szCs w:val="24"/>
        </w:rPr>
        <w:t xml:space="preserve"> (Table 2)</w:t>
      </w:r>
      <w:r w:rsidR="00DF1A3B">
        <w:rPr>
          <w:szCs w:val="24"/>
        </w:rPr>
        <w:t>.</w:t>
      </w:r>
      <w:r w:rsidR="006246E6" w:rsidRPr="00373996">
        <w:rPr>
          <w:rStyle w:val="FootnoteReference"/>
          <w:sz w:val="20"/>
          <w:szCs w:val="24"/>
        </w:rPr>
        <w:footnoteReference w:id="1"/>
      </w:r>
    </w:p>
    <w:p w14:paraId="1464A82C" w14:textId="77777777" w:rsidR="00A3474F" w:rsidRDefault="00A3474F" w:rsidP="003A7984">
      <w:pPr>
        <w:tabs>
          <w:tab w:val="clear" w:pos="567"/>
          <w:tab w:val="clear" w:pos="1134"/>
          <w:tab w:val="clear" w:pos="1701"/>
          <w:tab w:val="clear" w:pos="2268"/>
          <w:tab w:val="clear" w:pos="2835"/>
        </w:tabs>
        <w:spacing w:after="240"/>
        <w:rPr>
          <w:b/>
          <w:bCs/>
        </w:rPr>
      </w:pPr>
    </w:p>
    <w:p w14:paraId="74946B5C" w14:textId="77777777" w:rsidR="00A3474F" w:rsidRPr="003A7984" w:rsidRDefault="00A3474F" w:rsidP="003A7984">
      <w:pPr>
        <w:tabs>
          <w:tab w:val="clear" w:pos="567"/>
          <w:tab w:val="clear" w:pos="1134"/>
          <w:tab w:val="clear" w:pos="1701"/>
          <w:tab w:val="clear" w:pos="2268"/>
          <w:tab w:val="clear" w:pos="2835"/>
        </w:tabs>
        <w:spacing w:before="0"/>
        <w:jc w:val="center"/>
        <w:rPr>
          <w:b/>
          <w:bCs/>
        </w:rPr>
      </w:pPr>
      <w:r w:rsidRPr="003A7984">
        <w:rPr>
          <w:b/>
          <w:bCs/>
        </w:rPr>
        <w:lastRenderedPageBreak/>
        <w:t>Table 1. Implementation of BDT operational plan in 2017</w:t>
      </w:r>
    </w:p>
    <w:p w14:paraId="7CE79E48" w14:textId="77777777" w:rsidR="004878F6" w:rsidRPr="003A7984" w:rsidRDefault="004878F6" w:rsidP="003A7984">
      <w:pPr>
        <w:tabs>
          <w:tab w:val="clear" w:pos="567"/>
          <w:tab w:val="clear" w:pos="1134"/>
          <w:tab w:val="clear" w:pos="1701"/>
          <w:tab w:val="clear" w:pos="2268"/>
          <w:tab w:val="clear" w:pos="2835"/>
        </w:tabs>
        <w:spacing w:before="0"/>
        <w:jc w:val="center"/>
        <w:rPr>
          <w:i/>
          <w:iCs/>
        </w:rPr>
      </w:pPr>
      <w:r w:rsidRPr="003A7984">
        <w:rPr>
          <w:i/>
          <w:iCs/>
        </w:rPr>
        <w:t>(</w:t>
      </w:r>
      <w:proofErr w:type="gramStart"/>
      <w:r w:rsidRPr="003A7984">
        <w:rPr>
          <w:i/>
          <w:iCs/>
        </w:rPr>
        <w:t>amounts</w:t>
      </w:r>
      <w:proofErr w:type="gramEnd"/>
      <w:r w:rsidRPr="003A7984">
        <w:rPr>
          <w:i/>
          <w:iCs/>
        </w:rPr>
        <w:t xml:space="preserve"> in thousands of Swiss francs</w:t>
      </w:r>
      <w:r w:rsidR="00DF1A3B">
        <w:rPr>
          <w:i/>
          <w:iCs/>
        </w:rPr>
        <w:t xml:space="preserve"> (CHF)</w:t>
      </w:r>
      <w:r w:rsidRPr="003A7984">
        <w:rPr>
          <w:i/>
          <w:iCs/>
        </w:rPr>
        <w:t>)</w:t>
      </w:r>
    </w:p>
    <w:p w14:paraId="5CB025B8" w14:textId="3BFE6C64" w:rsidR="00B42D84" w:rsidRDefault="00A655DA" w:rsidP="003A7984">
      <w:pPr>
        <w:tabs>
          <w:tab w:val="clear" w:pos="567"/>
          <w:tab w:val="clear" w:pos="1134"/>
          <w:tab w:val="clear" w:pos="1701"/>
          <w:tab w:val="clear" w:pos="2268"/>
          <w:tab w:val="clear" w:pos="2835"/>
        </w:tabs>
        <w:spacing w:after="240"/>
        <w:jc w:val="both"/>
      </w:pPr>
      <w:r w:rsidRPr="00A655DA">
        <w:rPr>
          <w:noProof/>
          <w:lang w:val="en-US" w:eastAsia="zh-CN"/>
        </w:rPr>
        <w:drawing>
          <wp:inline distT="0" distB="0" distL="0" distR="0" wp14:anchorId="35AFAE49" wp14:editId="762BE64F">
            <wp:extent cx="6120765" cy="138762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387627"/>
                    </a:xfrm>
                    <a:prstGeom prst="rect">
                      <a:avLst/>
                    </a:prstGeom>
                    <a:noFill/>
                    <a:ln>
                      <a:noFill/>
                    </a:ln>
                  </pic:spPr>
                </pic:pic>
              </a:graphicData>
            </a:graphic>
          </wp:inline>
        </w:drawing>
      </w:r>
    </w:p>
    <w:p w14:paraId="6CA3DD88" w14:textId="77777777" w:rsidR="004878F6" w:rsidRDefault="004878F6">
      <w:pPr>
        <w:tabs>
          <w:tab w:val="clear" w:pos="567"/>
          <w:tab w:val="clear" w:pos="1134"/>
          <w:tab w:val="clear" w:pos="1701"/>
          <w:tab w:val="clear" w:pos="2268"/>
          <w:tab w:val="clear" w:pos="2835"/>
        </w:tabs>
        <w:spacing w:before="0"/>
        <w:jc w:val="center"/>
        <w:rPr>
          <w:b/>
          <w:bCs/>
        </w:rPr>
      </w:pPr>
    </w:p>
    <w:p w14:paraId="65769481" w14:textId="77777777" w:rsidR="004878F6" w:rsidRPr="001B5D8F" w:rsidRDefault="004878F6">
      <w:pPr>
        <w:tabs>
          <w:tab w:val="clear" w:pos="567"/>
          <w:tab w:val="clear" w:pos="1134"/>
          <w:tab w:val="clear" w:pos="1701"/>
          <w:tab w:val="clear" w:pos="2268"/>
          <w:tab w:val="clear" w:pos="2835"/>
        </w:tabs>
        <w:spacing w:before="0"/>
        <w:jc w:val="center"/>
        <w:rPr>
          <w:b/>
          <w:bCs/>
        </w:rPr>
      </w:pPr>
      <w:r w:rsidRPr="001B5D8F">
        <w:rPr>
          <w:b/>
          <w:bCs/>
        </w:rPr>
        <w:t xml:space="preserve">Table </w:t>
      </w:r>
      <w:r w:rsidR="00695436">
        <w:rPr>
          <w:b/>
          <w:bCs/>
        </w:rPr>
        <w:t>2</w:t>
      </w:r>
      <w:r w:rsidRPr="001B5D8F">
        <w:rPr>
          <w:b/>
          <w:bCs/>
        </w:rPr>
        <w:t xml:space="preserve">. Implementation of </w:t>
      </w:r>
      <w:r>
        <w:rPr>
          <w:b/>
          <w:bCs/>
        </w:rPr>
        <w:t>projects</w:t>
      </w:r>
      <w:r w:rsidRPr="001B5D8F">
        <w:rPr>
          <w:b/>
          <w:bCs/>
        </w:rPr>
        <w:t xml:space="preserve"> in 2017</w:t>
      </w:r>
    </w:p>
    <w:p w14:paraId="112BFA7F" w14:textId="77777777" w:rsidR="004878F6" w:rsidRPr="001B5D8F" w:rsidRDefault="004878F6">
      <w:pPr>
        <w:tabs>
          <w:tab w:val="clear" w:pos="567"/>
          <w:tab w:val="clear" w:pos="1134"/>
          <w:tab w:val="clear" w:pos="1701"/>
          <w:tab w:val="clear" w:pos="2268"/>
          <w:tab w:val="clear" w:pos="2835"/>
        </w:tabs>
        <w:spacing w:before="0"/>
        <w:jc w:val="center"/>
        <w:rPr>
          <w:i/>
          <w:iCs/>
        </w:rPr>
      </w:pPr>
      <w:r w:rsidRPr="001B5D8F">
        <w:rPr>
          <w:i/>
          <w:iCs/>
        </w:rPr>
        <w:t>(</w:t>
      </w:r>
      <w:proofErr w:type="gramStart"/>
      <w:r w:rsidRPr="001B5D8F">
        <w:rPr>
          <w:i/>
          <w:iCs/>
        </w:rPr>
        <w:t>amou</w:t>
      </w:r>
      <w:r>
        <w:rPr>
          <w:i/>
          <w:iCs/>
        </w:rPr>
        <w:t>nts</w:t>
      </w:r>
      <w:proofErr w:type="gramEnd"/>
      <w:r>
        <w:rPr>
          <w:i/>
          <w:iCs/>
        </w:rPr>
        <w:t xml:space="preserve"> in thousands of US Dollars</w:t>
      </w:r>
      <w:r w:rsidR="00DF1A3B">
        <w:rPr>
          <w:i/>
          <w:iCs/>
        </w:rPr>
        <w:t xml:space="preserve"> (USD)</w:t>
      </w:r>
      <w:r w:rsidRPr="001B5D8F">
        <w:rPr>
          <w:i/>
          <w:iCs/>
        </w:rPr>
        <w:t>)</w:t>
      </w:r>
    </w:p>
    <w:p w14:paraId="5F35A79C" w14:textId="7968E21A" w:rsidR="004878F6" w:rsidRDefault="00E44899" w:rsidP="00373996">
      <w:pPr>
        <w:tabs>
          <w:tab w:val="clear" w:pos="567"/>
          <w:tab w:val="clear" w:pos="1134"/>
          <w:tab w:val="clear" w:pos="1701"/>
          <w:tab w:val="clear" w:pos="2268"/>
          <w:tab w:val="clear" w:pos="2835"/>
        </w:tabs>
        <w:snapToGrid w:val="0"/>
        <w:spacing w:before="240" w:after="120"/>
        <w:jc w:val="both"/>
        <w:rPr>
          <w:b/>
          <w:bCs/>
        </w:rPr>
      </w:pPr>
      <w:r w:rsidRPr="00E44899">
        <w:rPr>
          <w:noProof/>
          <w:lang w:val="en-US" w:eastAsia="zh-CN"/>
        </w:rPr>
        <w:drawing>
          <wp:inline distT="0" distB="0" distL="0" distR="0" wp14:anchorId="391406A8" wp14:editId="505035BB">
            <wp:extent cx="6584307" cy="14859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9681" cy="1487113"/>
                    </a:xfrm>
                    <a:prstGeom prst="rect">
                      <a:avLst/>
                    </a:prstGeom>
                    <a:noFill/>
                    <a:ln>
                      <a:noFill/>
                    </a:ln>
                  </pic:spPr>
                </pic:pic>
              </a:graphicData>
            </a:graphic>
          </wp:inline>
        </w:drawing>
      </w:r>
    </w:p>
    <w:p w14:paraId="286C04D5" w14:textId="77777777" w:rsidR="00B42D84" w:rsidRPr="00EE5777" w:rsidRDefault="00024847" w:rsidP="00041613">
      <w:pPr>
        <w:pStyle w:val="Heading4"/>
        <w:spacing w:before="120"/>
        <w:rPr>
          <w:rFonts w:asciiTheme="minorHAnsi" w:hAnsiTheme="minorHAnsi"/>
          <w:szCs w:val="24"/>
        </w:rPr>
      </w:pPr>
      <w:r w:rsidRPr="00EE5777">
        <w:rPr>
          <w:rFonts w:asciiTheme="minorHAnsi" w:hAnsiTheme="minorHAnsi"/>
          <w:szCs w:val="24"/>
        </w:rPr>
        <w:t>2.4</w:t>
      </w:r>
      <w:r w:rsidRPr="00EE5777">
        <w:rPr>
          <w:rFonts w:asciiTheme="minorHAnsi" w:hAnsiTheme="minorHAnsi"/>
          <w:szCs w:val="24"/>
        </w:rPr>
        <w:tab/>
      </w:r>
      <w:r w:rsidR="00B42D84" w:rsidRPr="00EE5777">
        <w:rPr>
          <w:rFonts w:asciiTheme="minorHAnsi" w:hAnsiTheme="minorHAnsi"/>
          <w:szCs w:val="24"/>
        </w:rPr>
        <w:t>Africa region</w:t>
      </w:r>
    </w:p>
    <w:p w14:paraId="53022E34" w14:textId="2B8D299A" w:rsidR="00CA7F3A"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2.4.1</w:t>
      </w:r>
      <w:r w:rsidRPr="00EE5777">
        <w:rPr>
          <w:rFonts w:asciiTheme="minorHAnsi" w:hAnsiTheme="minorHAnsi"/>
          <w:szCs w:val="24"/>
        </w:rPr>
        <w:tab/>
      </w:r>
      <w:r w:rsidR="0091302C" w:rsidRPr="00EE5777">
        <w:rPr>
          <w:rFonts w:asciiTheme="minorHAnsi" w:hAnsiTheme="minorHAnsi"/>
          <w:szCs w:val="24"/>
        </w:rPr>
        <w:t>In 2017, BDT implemented project activities under 13</w:t>
      </w:r>
      <w:r w:rsidR="00B42D84" w:rsidRPr="00EE5777">
        <w:rPr>
          <w:rFonts w:asciiTheme="minorHAnsi" w:hAnsiTheme="minorHAnsi"/>
          <w:szCs w:val="24"/>
        </w:rPr>
        <w:t xml:space="preserve"> technical cooperation projects </w:t>
      </w:r>
      <w:r w:rsidR="00965E39" w:rsidRPr="00EE5777">
        <w:rPr>
          <w:rFonts w:asciiTheme="minorHAnsi" w:hAnsiTheme="minorHAnsi"/>
          <w:szCs w:val="24"/>
        </w:rPr>
        <w:t>for a total</w:t>
      </w:r>
      <w:r w:rsidR="0091302C" w:rsidRPr="00EE5777">
        <w:rPr>
          <w:rFonts w:asciiTheme="minorHAnsi" w:hAnsiTheme="minorHAnsi"/>
          <w:szCs w:val="24"/>
        </w:rPr>
        <w:t xml:space="preserve"> </w:t>
      </w:r>
      <w:r w:rsidR="00B42D84" w:rsidRPr="00EE5777">
        <w:rPr>
          <w:rFonts w:asciiTheme="minorHAnsi" w:hAnsiTheme="minorHAnsi"/>
          <w:szCs w:val="24"/>
        </w:rPr>
        <w:t>amount</w:t>
      </w:r>
      <w:r w:rsidR="00965E39" w:rsidRPr="00EE5777">
        <w:rPr>
          <w:rFonts w:asciiTheme="minorHAnsi" w:hAnsiTheme="minorHAnsi"/>
          <w:szCs w:val="24"/>
        </w:rPr>
        <w:t xml:space="preserve"> of about</w:t>
      </w:r>
      <w:r w:rsidR="00B42D84" w:rsidRPr="00EE5777">
        <w:rPr>
          <w:rFonts w:asciiTheme="minorHAnsi" w:hAnsiTheme="minorHAnsi"/>
          <w:szCs w:val="24"/>
        </w:rPr>
        <w:t xml:space="preserve"> </w:t>
      </w:r>
      <w:r w:rsidR="0000215F" w:rsidRPr="00EE5777">
        <w:rPr>
          <w:rFonts w:asciiTheme="minorHAnsi" w:hAnsiTheme="minorHAnsi"/>
          <w:szCs w:val="24"/>
        </w:rPr>
        <w:t>3</w:t>
      </w:r>
      <w:r w:rsidR="0091302C" w:rsidRPr="00EE5777">
        <w:rPr>
          <w:rFonts w:asciiTheme="minorHAnsi" w:hAnsiTheme="minorHAnsi"/>
          <w:szCs w:val="24"/>
        </w:rPr>
        <w:t xml:space="preserve"> million CHF</w:t>
      </w:r>
      <w:r w:rsidR="00965E39" w:rsidRPr="00EE5777">
        <w:rPr>
          <w:rFonts w:asciiTheme="minorHAnsi" w:hAnsiTheme="minorHAnsi"/>
          <w:szCs w:val="24"/>
        </w:rPr>
        <w:t xml:space="preserve"> in the Africa region, in collaboration with Member States</w:t>
      </w:r>
      <w:r w:rsidR="00E2594C" w:rsidRPr="00EE5777">
        <w:rPr>
          <w:rFonts w:asciiTheme="minorHAnsi" w:hAnsiTheme="minorHAnsi"/>
          <w:szCs w:val="24"/>
        </w:rPr>
        <w:t>.</w:t>
      </w:r>
      <w:r w:rsidR="00216EB2" w:rsidRPr="00EE5777">
        <w:rPr>
          <w:rFonts w:asciiTheme="minorHAnsi" w:hAnsiTheme="minorHAnsi"/>
          <w:szCs w:val="24"/>
        </w:rPr>
        <w:t xml:space="preserve"> </w:t>
      </w:r>
      <w:r w:rsidR="00965E39" w:rsidRPr="00EE5777">
        <w:rPr>
          <w:rFonts w:asciiTheme="minorHAnsi" w:hAnsiTheme="minorHAnsi"/>
          <w:szCs w:val="24"/>
        </w:rPr>
        <w:t xml:space="preserve">In addition, </w:t>
      </w:r>
      <w:r w:rsidR="0000215F" w:rsidRPr="00EE5777">
        <w:rPr>
          <w:rFonts w:asciiTheme="minorHAnsi" w:hAnsiTheme="minorHAnsi"/>
          <w:szCs w:val="24"/>
        </w:rPr>
        <w:t xml:space="preserve">activities on </w:t>
      </w:r>
      <w:r w:rsidR="00E44899" w:rsidRPr="00EE5777">
        <w:rPr>
          <w:rFonts w:asciiTheme="minorHAnsi" w:hAnsiTheme="minorHAnsi"/>
          <w:szCs w:val="24"/>
        </w:rPr>
        <w:t>48</w:t>
      </w:r>
      <w:r w:rsidR="00E2594C" w:rsidRPr="00EE5777">
        <w:rPr>
          <w:rFonts w:asciiTheme="minorHAnsi" w:hAnsiTheme="minorHAnsi"/>
          <w:szCs w:val="24"/>
        </w:rPr>
        <w:t xml:space="preserve"> actions were implemented for an amount of </w:t>
      </w:r>
      <w:r w:rsidR="0000215F" w:rsidRPr="00EE5777">
        <w:rPr>
          <w:rFonts w:asciiTheme="minorHAnsi" w:hAnsiTheme="minorHAnsi"/>
          <w:szCs w:val="24"/>
        </w:rPr>
        <w:t>597</w:t>
      </w:r>
      <w:r w:rsidR="00DF1A3B">
        <w:rPr>
          <w:rFonts w:asciiTheme="minorHAnsi" w:hAnsiTheme="minorHAnsi"/>
          <w:szCs w:val="24"/>
        </w:rPr>
        <w:t>,000</w:t>
      </w:r>
      <w:r w:rsidR="0091302C" w:rsidRPr="00EE5777">
        <w:rPr>
          <w:rFonts w:asciiTheme="minorHAnsi" w:hAnsiTheme="minorHAnsi"/>
          <w:szCs w:val="24"/>
        </w:rPr>
        <w:t xml:space="preserve"> CHF</w:t>
      </w:r>
      <w:r w:rsidR="00E2594C" w:rsidRPr="00EE5777">
        <w:rPr>
          <w:rFonts w:asciiTheme="minorHAnsi" w:hAnsiTheme="minorHAnsi"/>
          <w:szCs w:val="24"/>
        </w:rPr>
        <w:t>.</w:t>
      </w:r>
    </w:p>
    <w:p w14:paraId="15B35E08" w14:textId="77777777" w:rsidR="00E2594C"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2.4.2</w:t>
      </w:r>
      <w:r w:rsidRPr="00EE5777">
        <w:rPr>
          <w:rFonts w:asciiTheme="minorHAnsi" w:hAnsiTheme="minorHAnsi"/>
          <w:szCs w:val="24"/>
        </w:rPr>
        <w:tab/>
      </w:r>
      <w:r w:rsidR="00E2594C" w:rsidRPr="00EE5777">
        <w:rPr>
          <w:rFonts w:asciiTheme="minorHAnsi" w:hAnsiTheme="minorHAnsi"/>
          <w:szCs w:val="24"/>
        </w:rPr>
        <w:t xml:space="preserve">ITU provided support to </w:t>
      </w:r>
      <w:r w:rsidR="00DF1A3B">
        <w:rPr>
          <w:rFonts w:asciiTheme="minorHAnsi" w:hAnsiTheme="minorHAnsi"/>
          <w:szCs w:val="24"/>
        </w:rPr>
        <w:t xml:space="preserve">the </w:t>
      </w:r>
      <w:r w:rsidR="00E2594C" w:rsidRPr="00EE5777">
        <w:rPr>
          <w:rFonts w:asciiTheme="minorHAnsi" w:hAnsiTheme="minorHAnsi"/>
          <w:szCs w:val="24"/>
        </w:rPr>
        <w:t>Africa Telecommunications Union (ATU) in organizing the preparatory meetings to build African common positions to the WTDC and WRC.</w:t>
      </w:r>
      <w:r w:rsidR="00216EB2" w:rsidRPr="00EE5777">
        <w:rPr>
          <w:rFonts w:asciiTheme="minorHAnsi" w:hAnsiTheme="minorHAnsi"/>
          <w:szCs w:val="24"/>
        </w:rPr>
        <w:t xml:space="preserve"> </w:t>
      </w:r>
      <w:r w:rsidR="00E2594C" w:rsidRPr="00EE5777">
        <w:rPr>
          <w:rFonts w:asciiTheme="minorHAnsi" w:hAnsiTheme="minorHAnsi"/>
          <w:szCs w:val="24"/>
        </w:rPr>
        <w:t>ITU facilitated the harmonization of policies and regulatory frameworks in the region that includes universalization of broadband, e-Health using mobile devices, and regional and sub-regional IXP to provide cost reduction of traffic.</w:t>
      </w:r>
      <w:r w:rsidR="00216EB2" w:rsidRPr="00EE5777">
        <w:rPr>
          <w:rFonts w:asciiTheme="minorHAnsi" w:hAnsiTheme="minorHAnsi"/>
          <w:szCs w:val="24"/>
        </w:rPr>
        <w:t xml:space="preserve"> </w:t>
      </w:r>
      <w:r w:rsidR="00C53804" w:rsidRPr="00EE5777">
        <w:rPr>
          <w:rFonts w:asciiTheme="minorHAnsi" w:hAnsiTheme="minorHAnsi"/>
          <w:szCs w:val="24"/>
        </w:rPr>
        <w:t xml:space="preserve">Assistance was provided to countries in the region in various areas, including </w:t>
      </w:r>
      <w:r w:rsidR="00E2594C" w:rsidRPr="00EE5777">
        <w:rPr>
          <w:rFonts w:asciiTheme="minorHAnsi" w:hAnsiTheme="minorHAnsi"/>
          <w:szCs w:val="24"/>
        </w:rPr>
        <w:t xml:space="preserve">the </w:t>
      </w:r>
      <w:r w:rsidR="00C53804" w:rsidRPr="00EE5777">
        <w:rPr>
          <w:rFonts w:asciiTheme="minorHAnsi" w:hAnsiTheme="minorHAnsi"/>
          <w:szCs w:val="24"/>
        </w:rPr>
        <w:t>model national br</w:t>
      </w:r>
      <w:r w:rsidR="00E2594C" w:rsidRPr="00EE5777">
        <w:rPr>
          <w:rFonts w:asciiTheme="minorHAnsi" w:hAnsiTheme="minorHAnsi"/>
          <w:szCs w:val="24"/>
        </w:rPr>
        <w:t xml:space="preserve">oadband </w:t>
      </w:r>
      <w:r w:rsidR="00C53804" w:rsidRPr="00EE5777">
        <w:rPr>
          <w:rFonts w:asciiTheme="minorHAnsi" w:hAnsiTheme="minorHAnsi"/>
          <w:szCs w:val="24"/>
        </w:rPr>
        <w:t>p</w:t>
      </w:r>
      <w:r w:rsidR="00E2594C" w:rsidRPr="00EE5777">
        <w:rPr>
          <w:rFonts w:asciiTheme="minorHAnsi" w:hAnsiTheme="minorHAnsi"/>
          <w:szCs w:val="24"/>
        </w:rPr>
        <w:t>lans</w:t>
      </w:r>
      <w:r w:rsidR="00C53804" w:rsidRPr="00EE5777">
        <w:rPr>
          <w:rFonts w:asciiTheme="minorHAnsi" w:hAnsiTheme="minorHAnsi"/>
          <w:szCs w:val="24"/>
        </w:rPr>
        <w:t xml:space="preserve">, </w:t>
      </w:r>
      <w:r w:rsidR="00E2594C" w:rsidRPr="00EE5777">
        <w:rPr>
          <w:rFonts w:asciiTheme="minorHAnsi" w:hAnsiTheme="minorHAnsi"/>
          <w:szCs w:val="24"/>
        </w:rPr>
        <w:t xml:space="preserve">development of </w:t>
      </w:r>
      <w:r w:rsidR="00C53804" w:rsidRPr="00EE5777">
        <w:rPr>
          <w:rFonts w:asciiTheme="minorHAnsi" w:hAnsiTheme="minorHAnsi"/>
          <w:szCs w:val="24"/>
        </w:rPr>
        <w:t>d</w:t>
      </w:r>
      <w:r w:rsidR="00E2594C" w:rsidRPr="00EE5777">
        <w:rPr>
          <w:rFonts w:asciiTheme="minorHAnsi" w:hAnsiTheme="minorHAnsi"/>
          <w:szCs w:val="24"/>
        </w:rPr>
        <w:t xml:space="preserve">igital </w:t>
      </w:r>
      <w:r w:rsidR="00C53804" w:rsidRPr="00EE5777">
        <w:rPr>
          <w:rFonts w:asciiTheme="minorHAnsi" w:hAnsiTheme="minorHAnsi"/>
          <w:szCs w:val="24"/>
        </w:rPr>
        <w:t>e</w:t>
      </w:r>
      <w:r w:rsidR="00E2594C" w:rsidRPr="00EE5777">
        <w:rPr>
          <w:rFonts w:asciiTheme="minorHAnsi" w:hAnsiTheme="minorHAnsi"/>
          <w:szCs w:val="24"/>
        </w:rPr>
        <w:t xml:space="preserve">conomy </w:t>
      </w:r>
      <w:r w:rsidR="00C53804" w:rsidRPr="00EE5777">
        <w:rPr>
          <w:rFonts w:asciiTheme="minorHAnsi" w:hAnsiTheme="minorHAnsi"/>
          <w:szCs w:val="24"/>
        </w:rPr>
        <w:t>p</w:t>
      </w:r>
      <w:r w:rsidR="00E2594C" w:rsidRPr="00EE5777">
        <w:rPr>
          <w:rFonts w:asciiTheme="minorHAnsi" w:hAnsiTheme="minorHAnsi"/>
          <w:szCs w:val="24"/>
        </w:rPr>
        <w:t>olic</w:t>
      </w:r>
      <w:r w:rsidR="00C53804" w:rsidRPr="00EE5777">
        <w:rPr>
          <w:rFonts w:asciiTheme="minorHAnsi" w:hAnsiTheme="minorHAnsi"/>
          <w:szCs w:val="24"/>
        </w:rPr>
        <w:t>ies, development of</w:t>
      </w:r>
      <w:r w:rsidR="00E2594C" w:rsidRPr="00EE5777">
        <w:rPr>
          <w:rFonts w:asciiTheme="minorHAnsi" w:hAnsiTheme="minorHAnsi"/>
          <w:szCs w:val="24"/>
        </w:rPr>
        <w:t xml:space="preserve"> </w:t>
      </w:r>
      <w:r w:rsidR="00C53804" w:rsidRPr="00EE5777">
        <w:rPr>
          <w:rFonts w:asciiTheme="minorHAnsi" w:hAnsiTheme="minorHAnsi"/>
          <w:szCs w:val="24"/>
        </w:rPr>
        <w:t>s</w:t>
      </w:r>
      <w:r w:rsidR="00E2594C" w:rsidRPr="00EE5777">
        <w:rPr>
          <w:rFonts w:asciiTheme="minorHAnsi" w:hAnsiTheme="minorHAnsi"/>
          <w:szCs w:val="24"/>
        </w:rPr>
        <w:t xml:space="preserve">trategies and </w:t>
      </w:r>
      <w:r w:rsidR="00C53804" w:rsidRPr="00EE5777">
        <w:rPr>
          <w:rFonts w:asciiTheme="minorHAnsi" w:hAnsiTheme="minorHAnsi"/>
          <w:szCs w:val="24"/>
        </w:rPr>
        <w:t>c</w:t>
      </w:r>
      <w:r w:rsidR="00E2594C" w:rsidRPr="00EE5777">
        <w:rPr>
          <w:rFonts w:asciiTheme="minorHAnsi" w:hAnsiTheme="minorHAnsi"/>
          <w:szCs w:val="24"/>
        </w:rPr>
        <w:t xml:space="preserve">orporate </w:t>
      </w:r>
      <w:r w:rsidR="00C53804" w:rsidRPr="00EE5777">
        <w:rPr>
          <w:rFonts w:asciiTheme="minorHAnsi" w:hAnsiTheme="minorHAnsi"/>
          <w:szCs w:val="24"/>
        </w:rPr>
        <w:t>s</w:t>
      </w:r>
      <w:r w:rsidR="00E2594C" w:rsidRPr="00EE5777">
        <w:rPr>
          <w:rFonts w:asciiTheme="minorHAnsi" w:hAnsiTheme="minorHAnsi"/>
          <w:szCs w:val="24"/>
        </w:rPr>
        <w:t xml:space="preserve">trategic </w:t>
      </w:r>
      <w:r w:rsidR="00C53804" w:rsidRPr="00EE5777">
        <w:rPr>
          <w:rFonts w:asciiTheme="minorHAnsi" w:hAnsiTheme="minorHAnsi"/>
          <w:szCs w:val="24"/>
        </w:rPr>
        <w:t>p</w:t>
      </w:r>
      <w:r w:rsidR="00E2594C" w:rsidRPr="00EE5777">
        <w:rPr>
          <w:rFonts w:asciiTheme="minorHAnsi" w:hAnsiTheme="minorHAnsi"/>
          <w:szCs w:val="24"/>
        </w:rPr>
        <w:t xml:space="preserve">lan </w:t>
      </w:r>
      <w:r w:rsidR="00C53804" w:rsidRPr="00EE5777">
        <w:rPr>
          <w:rFonts w:asciiTheme="minorHAnsi" w:hAnsiTheme="minorHAnsi"/>
          <w:szCs w:val="24"/>
        </w:rPr>
        <w:t>for i</w:t>
      </w:r>
      <w:r w:rsidR="00E2594C" w:rsidRPr="00EE5777">
        <w:rPr>
          <w:rFonts w:asciiTheme="minorHAnsi" w:hAnsiTheme="minorHAnsi"/>
          <w:szCs w:val="24"/>
        </w:rPr>
        <w:t>nstitutions</w:t>
      </w:r>
      <w:r w:rsidR="00C53804" w:rsidRPr="00EE5777">
        <w:rPr>
          <w:rFonts w:asciiTheme="minorHAnsi" w:hAnsiTheme="minorHAnsi"/>
          <w:szCs w:val="24"/>
        </w:rPr>
        <w:t>, etc</w:t>
      </w:r>
      <w:r w:rsidR="00E2594C" w:rsidRPr="00EE5777">
        <w:rPr>
          <w:rFonts w:asciiTheme="minorHAnsi" w:hAnsiTheme="minorHAnsi"/>
          <w:szCs w:val="24"/>
        </w:rPr>
        <w:t xml:space="preserve">. </w:t>
      </w:r>
    </w:p>
    <w:p w14:paraId="1D2B03EB" w14:textId="77777777" w:rsidR="00E2594C" w:rsidRPr="00EE5777" w:rsidRDefault="00024847" w:rsidP="00041613">
      <w:pPr>
        <w:tabs>
          <w:tab w:val="clear" w:pos="1134"/>
          <w:tab w:val="clear" w:pos="1701"/>
          <w:tab w:val="clear" w:pos="2268"/>
          <w:tab w:val="clear" w:pos="2835"/>
        </w:tabs>
        <w:snapToGrid w:val="0"/>
        <w:jc w:val="both"/>
        <w:rPr>
          <w:rFonts w:asciiTheme="minorHAnsi" w:hAnsiTheme="minorHAnsi"/>
          <w:szCs w:val="24"/>
          <w:lang w:val="en-US"/>
        </w:rPr>
      </w:pPr>
      <w:r w:rsidRPr="00EE5777">
        <w:rPr>
          <w:rFonts w:asciiTheme="minorHAnsi" w:hAnsiTheme="minorHAnsi"/>
          <w:szCs w:val="24"/>
        </w:rPr>
        <w:t>2.4.3</w:t>
      </w:r>
      <w:r w:rsidRPr="00EE5777">
        <w:rPr>
          <w:rFonts w:asciiTheme="minorHAnsi" w:hAnsiTheme="minorHAnsi"/>
          <w:szCs w:val="24"/>
        </w:rPr>
        <w:tab/>
      </w:r>
      <w:r w:rsidR="00C53804" w:rsidRPr="00EE5777">
        <w:rPr>
          <w:rFonts w:asciiTheme="minorHAnsi" w:hAnsiTheme="minorHAnsi"/>
          <w:szCs w:val="24"/>
        </w:rPr>
        <w:t xml:space="preserve">A number of </w:t>
      </w:r>
      <w:r w:rsidR="00E2594C" w:rsidRPr="00EE5777">
        <w:rPr>
          <w:rFonts w:asciiTheme="minorHAnsi" w:hAnsiTheme="minorHAnsi"/>
          <w:szCs w:val="24"/>
        </w:rPr>
        <w:t>projects are currently ongoing</w:t>
      </w:r>
      <w:r w:rsidR="00C53804" w:rsidRPr="00EE5777">
        <w:rPr>
          <w:rFonts w:asciiTheme="minorHAnsi" w:hAnsiTheme="minorHAnsi"/>
          <w:szCs w:val="24"/>
        </w:rPr>
        <w:t xml:space="preserve"> in such areas as i</w:t>
      </w:r>
      <w:r w:rsidR="00E2594C" w:rsidRPr="00EE5777">
        <w:rPr>
          <w:rFonts w:asciiTheme="minorHAnsi" w:hAnsiTheme="minorHAnsi"/>
          <w:szCs w:val="24"/>
        </w:rPr>
        <w:t xml:space="preserve">nstitutional </w:t>
      </w:r>
      <w:r w:rsidR="00C53804" w:rsidRPr="00EE5777">
        <w:rPr>
          <w:rFonts w:asciiTheme="minorHAnsi" w:hAnsiTheme="minorHAnsi"/>
          <w:szCs w:val="24"/>
        </w:rPr>
        <w:t>r</w:t>
      </w:r>
      <w:r w:rsidR="00E2594C" w:rsidRPr="00EE5777">
        <w:rPr>
          <w:rFonts w:asciiTheme="minorHAnsi" w:hAnsiTheme="minorHAnsi"/>
          <w:szCs w:val="24"/>
        </w:rPr>
        <w:t>eform</w:t>
      </w:r>
      <w:r w:rsidR="00C53804" w:rsidRPr="00EE5777">
        <w:rPr>
          <w:rFonts w:asciiTheme="minorHAnsi" w:hAnsiTheme="minorHAnsi"/>
          <w:szCs w:val="24"/>
        </w:rPr>
        <w:t>,</w:t>
      </w:r>
      <w:r w:rsidR="00E2594C" w:rsidRPr="00EE5777">
        <w:rPr>
          <w:rFonts w:asciiTheme="minorHAnsi" w:hAnsiTheme="minorHAnsi"/>
          <w:szCs w:val="24"/>
        </w:rPr>
        <w:t xml:space="preserve"> </w:t>
      </w:r>
      <w:r w:rsidR="00C53804" w:rsidRPr="00EE5777">
        <w:rPr>
          <w:rFonts w:asciiTheme="minorHAnsi" w:hAnsiTheme="minorHAnsi"/>
          <w:szCs w:val="24"/>
        </w:rPr>
        <w:t>t</w:t>
      </w:r>
      <w:r w:rsidR="00E2594C" w:rsidRPr="00EE5777">
        <w:rPr>
          <w:rFonts w:asciiTheme="minorHAnsi" w:hAnsiTheme="minorHAnsi"/>
          <w:szCs w:val="24"/>
        </w:rPr>
        <w:t>elemedicine</w:t>
      </w:r>
      <w:r w:rsidR="00C53804" w:rsidRPr="00EE5777">
        <w:rPr>
          <w:rFonts w:asciiTheme="minorHAnsi" w:hAnsiTheme="minorHAnsi"/>
          <w:szCs w:val="24"/>
        </w:rPr>
        <w:t>,</w:t>
      </w:r>
      <w:r w:rsidR="00E2594C" w:rsidRPr="00EE5777">
        <w:rPr>
          <w:rFonts w:asciiTheme="minorHAnsi" w:hAnsiTheme="minorHAnsi"/>
          <w:szCs w:val="24"/>
        </w:rPr>
        <w:t xml:space="preserve"> </w:t>
      </w:r>
      <w:r w:rsidR="00C53804" w:rsidRPr="00EE5777">
        <w:rPr>
          <w:rFonts w:asciiTheme="minorHAnsi" w:hAnsiTheme="minorHAnsi"/>
          <w:szCs w:val="24"/>
        </w:rPr>
        <w:t>w</w:t>
      </w:r>
      <w:r w:rsidR="00E2594C" w:rsidRPr="00EE5777">
        <w:rPr>
          <w:rFonts w:asciiTheme="minorHAnsi" w:hAnsiTheme="minorHAnsi"/>
          <w:szCs w:val="24"/>
        </w:rPr>
        <w:t xml:space="preserve">ireless </w:t>
      </w:r>
      <w:r w:rsidR="00C53804" w:rsidRPr="00EE5777">
        <w:rPr>
          <w:rFonts w:asciiTheme="minorHAnsi" w:hAnsiTheme="minorHAnsi"/>
          <w:szCs w:val="24"/>
        </w:rPr>
        <w:t>b</w:t>
      </w:r>
      <w:r w:rsidR="00E2594C" w:rsidRPr="00EE5777">
        <w:rPr>
          <w:rFonts w:asciiTheme="minorHAnsi" w:hAnsiTheme="minorHAnsi"/>
          <w:szCs w:val="24"/>
        </w:rPr>
        <w:t>roadband</w:t>
      </w:r>
      <w:r w:rsidR="00C53804" w:rsidRPr="00EE5777">
        <w:rPr>
          <w:rFonts w:asciiTheme="minorHAnsi" w:hAnsiTheme="minorHAnsi"/>
          <w:szCs w:val="24"/>
        </w:rPr>
        <w:t>,</w:t>
      </w:r>
      <w:r w:rsidR="00E2594C" w:rsidRPr="00EE5777">
        <w:rPr>
          <w:rFonts w:asciiTheme="minorHAnsi" w:hAnsiTheme="minorHAnsi"/>
          <w:szCs w:val="24"/>
        </w:rPr>
        <w:t xml:space="preserve"> </w:t>
      </w:r>
      <w:r w:rsidR="00C53804" w:rsidRPr="00EE5777">
        <w:rPr>
          <w:rFonts w:asciiTheme="minorHAnsi" w:hAnsiTheme="minorHAnsi"/>
          <w:szCs w:val="24"/>
        </w:rPr>
        <w:t>j</w:t>
      </w:r>
      <w:r w:rsidR="00E2594C" w:rsidRPr="00EE5777">
        <w:rPr>
          <w:rFonts w:asciiTheme="minorHAnsi" w:hAnsiTheme="minorHAnsi"/>
          <w:szCs w:val="24"/>
        </w:rPr>
        <w:t>udiciary training</w:t>
      </w:r>
      <w:r w:rsidR="00C53804" w:rsidRPr="00EE5777">
        <w:rPr>
          <w:rFonts w:asciiTheme="minorHAnsi" w:hAnsiTheme="minorHAnsi"/>
          <w:szCs w:val="24"/>
        </w:rPr>
        <w:t>,</w:t>
      </w:r>
      <w:r w:rsidR="00E2594C" w:rsidRPr="00EE5777">
        <w:rPr>
          <w:rFonts w:asciiTheme="minorHAnsi" w:hAnsiTheme="minorHAnsi"/>
          <w:szCs w:val="24"/>
        </w:rPr>
        <w:t xml:space="preserve"> CIRT implementation</w:t>
      </w:r>
      <w:r w:rsidR="00C53804" w:rsidRPr="00EE5777">
        <w:rPr>
          <w:rFonts w:asciiTheme="minorHAnsi" w:hAnsiTheme="minorHAnsi"/>
          <w:szCs w:val="24"/>
        </w:rPr>
        <w:t xml:space="preserve"> and</w:t>
      </w:r>
      <w:r w:rsidR="00E2594C" w:rsidRPr="00EE5777">
        <w:rPr>
          <w:rFonts w:asciiTheme="minorHAnsi" w:hAnsiTheme="minorHAnsi"/>
          <w:szCs w:val="24"/>
        </w:rPr>
        <w:t xml:space="preserve"> enhancement</w:t>
      </w:r>
      <w:r w:rsidR="00C53804" w:rsidRPr="00EE5777">
        <w:rPr>
          <w:rFonts w:asciiTheme="minorHAnsi" w:hAnsiTheme="minorHAnsi"/>
          <w:szCs w:val="24"/>
        </w:rPr>
        <w:t xml:space="preserve">, </w:t>
      </w:r>
      <w:r w:rsidR="00E2594C" w:rsidRPr="00EE5777">
        <w:rPr>
          <w:rFonts w:asciiTheme="minorHAnsi" w:hAnsiTheme="minorHAnsi"/>
          <w:szCs w:val="24"/>
        </w:rPr>
        <w:t>m-diabete</w:t>
      </w:r>
      <w:r w:rsidR="00864229" w:rsidRPr="00EE5777">
        <w:rPr>
          <w:rFonts w:asciiTheme="minorHAnsi" w:hAnsiTheme="minorHAnsi"/>
          <w:szCs w:val="24"/>
        </w:rPr>
        <w:t>s</w:t>
      </w:r>
      <w:r w:rsidR="00C53804" w:rsidRPr="00EE5777">
        <w:rPr>
          <w:rFonts w:asciiTheme="minorHAnsi" w:hAnsiTheme="minorHAnsi"/>
          <w:szCs w:val="24"/>
        </w:rPr>
        <w:t xml:space="preserve">, and </w:t>
      </w:r>
      <w:r w:rsidR="00E2594C" w:rsidRPr="00EE5777">
        <w:rPr>
          <w:rFonts w:asciiTheme="minorHAnsi" w:hAnsiTheme="minorHAnsi"/>
          <w:szCs w:val="24"/>
        </w:rPr>
        <w:t>m-</w:t>
      </w:r>
      <w:r w:rsidR="00C53804" w:rsidRPr="00EE5777">
        <w:rPr>
          <w:rFonts w:asciiTheme="minorHAnsi" w:hAnsiTheme="minorHAnsi"/>
          <w:szCs w:val="24"/>
        </w:rPr>
        <w:t>c</w:t>
      </w:r>
      <w:r w:rsidR="00E2594C" w:rsidRPr="00EE5777">
        <w:rPr>
          <w:rFonts w:asciiTheme="minorHAnsi" w:hAnsiTheme="minorHAnsi"/>
          <w:szCs w:val="24"/>
        </w:rPr>
        <w:t xml:space="preserve">ervical </w:t>
      </w:r>
      <w:r w:rsidR="00C53804" w:rsidRPr="00EE5777">
        <w:rPr>
          <w:rFonts w:asciiTheme="minorHAnsi" w:hAnsiTheme="minorHAnsi"/>
          <w:szCs w:val="24"/>
        </w:rPr>
        <w:t>c</w:t>
      </w:r>
      <w:r w:rsidR="00E2594C" w:rsidRPr="00EE5777">
        <w:rPr>
          <w:rFonts w:asciiTheme="minorHAnsi" w:hAnsiTheme="minorHAnsi"/>
          <w:szCs w:val="24"/>
        </w:rPr>
        <w:t>an</w:t>
      </w:r>
      <w:r w:rsidR="00F03BFB" w:rsidRPr="00EE5777">
        <w:rPr>
          <w:rFonts w:asciiTheme="minorHAnsi" w:hAnsiTheme="minorHAnsi"/>
          <w:szCs w:val="24"/>
        </w:rPr>
        <w:t>cer.</w:t>
      </w:r>
      <w:r w:rsidR="00216EB2" w:rsidRPr="00EE5777">
        <w:rPr>
          <w:rFonts w:asciiTheme="minorHAnsi" w:hAnsiTheme="minorHAnsi"/>
          <w:szCs w:val="24"/>
        </w:rPr>
        <w:t xml:space="preserve"> </w:t>
      </w:r>
      <w:r w:rsidR="00C53804" w:rsidRPr="00EE5777">
        <w:rPr>
          <w:rFonts w:asciiTheme="minorHAnsi" w:hAnsiTheme="minorHAnsi"/>
          <w:szCs w:val="24"/>
        </w:rPr>
        <w:t xml:space="preserve">Several </w:t>
      </w:r>
      <w:r w:rsidR="00E2594C" w:rsidRPr="00EE5777">
        <w:rPr>
          <w:rFonts w:asciiTheme="minorHAnsi" w:hAnsiTheme="minorHAnsi"/>
          <w:szCs w:val="24"/>
          <w:lang w:val="en-US"/>
        </w:rPr>
        <w:t xml:space="preserve">regional workshops and </w:t>
      </w:r>
      <w:r w:rsidR="00077B9E" w:rsidRPr="00EE5777">
        <w:rPr>
          <w:rFonts w:asciiTheme="minorHAnsi" w:hAnsiTheme="minorHAnsi"/>
          <w:szCs w:val="24"/>
          <w:lang w:val="en-US"/>
        </w:rPr>
        <w:t>f</w:t>
      </w:r>
      <w:r w:rsidR="00E2594C" w:rsidRPr="00EE5777">
        <w:rPr>
          <w:rFonts w:asciiTheme="minorHAnsi" w:hAnsiTheme="minorHAnsi"/>
          <w:szCs w:val="24"/>
          <w:lang w:val="en-US"/>
        </w:rPr>
        <w:t>orums</w:t>
      </w:r>
      <w:r w:rsidR="00F03BFB" w:rsidRPr="00EE5777">
        <w:rPr>
          <w:rFonts w:asciiTheme="minorHAnsi" w:hAnsiTheme="minorHAnsi"/>
          <w:szCs w:val="24"/>
          <w:lang w:val="en-US"/>
        </w:rPr>
        <w:t xml:space="preserve"> were organized</w:t>
      </w:r>
      <w:r w:rsidR="00C53804" w:rsidRPr="00EE5777">
        <w:rPr>
          <w:rFonts w:asciiTheme="minorHAnsi" w:hAnsiTheme="minorHAnsi"/>
          <w:szCs w:val="24"/>
          <w:lang w:val="en-US"/>
        </w:rPr>
        <w:t xml:space="preserve"> </w:t>
      </w:r>
      <w:r w:rsidR="00F03BFB" w:rsidRPr="00EE5777">
        <w:rPr>
          <w:rFonts w:asciiTheme="minorHAnsi" w:hAnsiTheme="minorHAnsi"/>
          <w:szCs w:val="24"/>
          <w:lang w:val="en-US"/>
        </w:rPr>
        <w:t xml:space="preserve">in 2017 </w:t>
      </w:r>
      <w:r w:rsidR="00C53804" w:rsidRPr="00EE5777">
        <w:rPr>
          <w:rFonts w:asciiTheme="minorHAnsi" w:hAnsiTheme="minorHAnsi"/>
          <w:szCs w:val="24"/>
          <w:lang w:val="en-US"/>
        </w:rPr>
        <w:t>in the region in such areas as c</w:t>
      </w:r>
      <w:r w:rsidR="00E2594C" w:rsidRPr="00EE5777">
        <w:rPr>
          <w:rFonts w:asciiTheme="minorHAnsi" w:hAnsiTheme="minorHAnsi"/>
          <w:szCs w:val="24"/>
          <w:lang w:val="en-US"/>
        </w:rPr>
        <w:t xml:space="preserve">onformance and </w:t>
      </w:r>
      <w:r w:rsidR="00C53804" w:rsidRPr="00EE5777">
        <w:rPr>
          <w:rFonts w:asciiTheme="minorHAnsi" w:hAnsiTheme="minorHAnsi"/>
          <w:szCs w:val="24"/>
          <w:lang w:val="en-US"/>
        </w:rPr>
        <w:t>i</w:t>
      </w:r>
      <w:r w:rsidR="00E2594C" w:rsidRPr="00EE5777">
        <w:rPr>
          <w:rFonts w:asciiTheme="minorHAnsi" w:hAnsiTheme="minorHAnsi"/>
          <w:szCs w:val="24"/>
          <w:lang w:val="en-US"/>
        </w:rPr>
        <w:t xml:space="preserve">nteroperability, IPV6, </w:t>
      </w:r>
      <w:r w:rsidR="00C53804" w:rsidRPr="00EE5777">
        <w:rPr>
          <w:rFonts w:asciiTheme="minorHAnsi" w:hAnsiTheme="minorHAnsi"/>
          <w:szCs w:val="24"/>
          <w:lang w:val="en-US"/>
        </w:rPr>
        <w:t>c</w:t>
      </w:r>
      <w:r w:rsidR="00E2594C" w:rsidRPr="00EE5777">
        <w:rPr>
          <w:rFonts w:asciiTheme="minorHAnsi" w:hAnsiTheme="minorHAnsi"/>
          <w:szCs w:val="24"/>
          <w:lang w:val="en-US"/>
        </w:rPr>
        <w:t xml:space="preserve">ybersecurity and </w:t>
      </w:r>
      <w:proofErr w:type="spellStart"/>
      <w:r w:rsidR="00E2594C" w:rsidRPr="00EE5777">
        <w:rPr>
          <w:rFonts w:asciiTheme="minorHAnsi" w:hAnsiTheme="minorHAnsi"/>
          <w:szCs w:val="24"/>
          <w:lang w:val="en-US"/>
        </w:rPr>
        <w:t>CyberDrill</w:t>
      </w:r>
      <w:proofErr w:type="spellEnd"/>
      <w:r w:rsidR="00E2594C" w:rsidRPr="00EE5777">
        <w:rPr>
          <w:rFonts w:asciiTheme="minorHAnsi" w:hAnsiTheme="minorHAnsi"/>
          <w:szCs w:val="24"/>
          <w:lang w:val="en-US"/>
        </w:rPr>
        <w:t xml:space="preserve">, IOT, ICT </w:t>
      </w:r>
      <w:r w:rsidR="00C53804" w:rsidRPr="00EE5777">
        <w:rPr>
          <w:rFonts w:asciiTheme="minorHAnsi" w:hAnsiTheme="minorHAnsi"/>
          <w:szCs w:val="24"/>
          <w:lang w:val="en-US"/>
        </w:rPr>
        <w:t>e</w:t>
      </w:r>
      <w:r w:rsidR="00E2594C" w:rsidRPr="00EE5777">
        <w:rPr>
          <w:rFonts w:asciiTheme="minorHAnsi" w:hAnsiTheme="minorHAnsi"/>
          <w:szCs w:val="24"/>
          <w:lang w:val="en-US"/>
        </w:rPr>
        <w:t xml:space="preserve">conomics and </w:t>
      </w:r>
      <w:r w:rsidR="00C53804" w:rsidRPr="00EE5777">
        <w:rPr>
          <w:rFonts w:asciiTheme="minorHAnsi" w:hAnsiTheme="minorHAnsi"/>
          <w:szCs w:val="24"/>
          <w:lang w:val="en-US"/>
        </w:rPr>
        <w:t>f</w:t>
      </w:r>
      <w:r w:rsidR="00E2594C" w:rsidRPr="00EE5777">
        <w:rPr>
          <w:rFonts w:asciiTheme="minorHAnsi" w:hAnsiTheme="minorHAnsi"/>
          <w:szCs w:val="24"/>
          <w:lang w:val="en-US"/>
        </w:rPr>
        <w:t xml:space="preserve">inance, </w:t>
      </w:r>
      <w:r w:rsidR="00C53804" w:rsidRPr="00EE5777">
        <w:rPr>
          <w:rFonts w:asciiTheme="minorHAnsi" w:hAnsiTheme="minorHAnsi"/>
          <w:szCs w:val="24"/>
          <w:lang w:val="en-US"/>
        </w:rPr>
        <w:t>q</w:t>
      </w:r>
      <w:r w:rsidR="00E2594C" w:rsidRPr="00EE5777">
        <w:rPr>
          <w:rFonts w:asciiTheme="minorHAnsi" w:hAnsiTheme="minorHAnsi"/>
          <w:szCs w:val="24"/>
          <w:lang w:val="en-US"/>
        </w:rPr>
        <w:t xml:space="preserve">uality of </w:t>
      </w:r>
      <w:r w:rsidR="00C53804" w:rsidRPr="00EE5777">
        <w:rPr>
          <w:rFonts w:asciiTheme="minorHAnsi" w:hAnsiTheme="minorHAnsi"/>
          <w:szCs w:val="24"/>
          <w:lang w:val="en-US"/>
        </w:rPr>
        <w:t>s</w:t>
      </w:r>
      <w:r w:rsidR="00E2594C" w:rsidRPr="00EE5777">
        <w:rPr>
          <w:rFonts w:asciiTheme="minorHAnsi" w:hAnsiTheme="minorHAnsi"/>
          <w:szCs w:val="24"/>
          <w:lang w:val="en-US"/>
        </w:rPr>
        <w:t xml:space="preserve">ervice and </w:t>
      </w:r>
      <w:r w:rsidR="00C53804" w:rsidRPr="00EE5777">
        <w:rPr>
          <w:rFonts w:asciiTheme="minorHAnsi" w:hAnsiTheme="minorHAnsi"/>
          <w:szCs w:val="24"/>
          <w:lang w:val="en-US"/>
        </w:rPr>
        <w:t>q</w:t>
      </w:r>
      <w:r w:rsidR="00E2594C" w:rsidRPr="00EE5777">
        <w:rPr>
          <w:rFonts w:asciiTheme="minorHAnsi" w:hAnsiTheme="minorHAnsi"/>
          <w:szCs w:val="24"/>
          <w:lang w:val="en-US"/>
        </w:rPr>
        <w:t xml:space="preserve">uality of </w:t>
      </w:r>
      <w:r w:rsidR="00C53804" w:rsidRPr="00EE5777">
        <w:rPr>
          <w:rFonts w:asciiTheme="minorHAnsi" w:hAnsiTheme="minorHAnsi"/>
          <w:szCs w:val="24"/>
          <w:lang w:val="en-US"/>
        </w:rPr>
        <w:t>e</w:t>
      </w:r>
      <w:r w:rsidR="00E2594C" w:rsidRPr="00EE5777">
        <w:rPr>
          <w:rFonts w:asciiTheme="minorHAnsi" w:hAnsiTheme="minorHAnsi"/>
          <w:szCs w:val="24"/>
          <w:lang w:val="en-US"/>
        </w:rPr>
        <w:t xml:space="preserve">xperience, </w:t>
      </w:r>
      <w:r w:rsidR="00C53804" w:rsidRPr="00EE5777">
        <w:rPr>
          <w:rFonts w:asciiTheme="minorHAnsi" w:hAnsiTheme="minorHAnsi"/>
          <w:szCs w:val="24"/>
          <w:lang w:val="en-US"/>
        </w:rPr>
        <w:t>i</w:t>
      </w:r>
      <w:r w:rsidR="00E2594C" w:rsidRPr="00EE5777">
        <w:rPr>
          <w:rFonts w:asciiTheme="minorHAnsi" w:hAnsiTheme="minorHAnsi"/>
          <w:szCs w:val="24"/>
          <w:lang w:val="en-US"/>
        </w:rPr>
        <w:t xml:space="preserve">nternational </w:t>
      </w:r>
      <w:r w:rsidR="00C53804" w:rsidRPr="00EE5777">
        <w:rPr>
          <w:rFonts w:asciiTheme="minorHAnsi" w:hAnsiTheme="minorHAnsi"/>
          <w:szCs w:val="24"/>
          <w:lang w:val="en-US"/>
        </w:rPr>
        <w:t>r</w:t>
      </w:r>
      <w:r w:rsidR="00E2594C" w:rsidRPr="00EE5777">
        <w:rPr>
          <w:rFonts w:asciiTheme="minorHAnsi" w:hAnsiTheme="minorHAnsi"/>
          <w:szCs w:val="24"/>
          <w:lang w:val="en-US"/>
        </w:rPr>
        <w:t>oaming,</w:t>
      </w:r>
      <w:r w:rsidR="00C53804" w:rsidRPr="00EE5777">
        <w:rPr>
          <w:rFonts w:asciiTheme="minorHAnsi" w:hAnsiTheme="minorHAnsi"/>
          <w:szCs w:val="24"/>
          <w:lang w:val="en-US"/>
        </w:rPr>
        <w:t xml:space="preserve"> and </w:t>
      </w:r>
      <w:r w:rsidR="00E2594C" w:rsidRPr="00EE5777">
        <w:rPr>
          <w:rFonts w:asciiTheme="minorHAnsi" w:hAnsiTheme="minorHAnsi"/>
          <w:szCs w:val="24"/>
          <w:lang w:val="en-US"/>
        </w:rPr>
        <w:t xml:space="preserve">ICT accessibility and </w:t>
      </w:r>
      <w:r w:rsidR="00C53804" w:rsidRPr="00EE5777">
        <w:rPr>
          <w:rFonts w:asciiTheme="minorHAnsi" w:hAnsiTheme="minorHAnsi"/>
          <w:szCs w:val="24"/>
          <w:lang w:val="en-US"/>
        </w:rPr>
        <w:t>d</w:t>
      </w:r>
      <w:r w:rsidR="00E2594C" w:rsidRPr="00EE5777">
        <w:rPr>
          <w:rFonts w:asciiTheme="minorHAnsi" w:hAnsiTheme="minorHAnsi"/>
          <w:szCs w:val="24"/>
          <w:lang w:val="en-US"/>
        </w:rPr>
        <w:t xml:space="preserve">igital </w:t>
      </w:r>
      <w:r w:rsidR="00C53804" w:rsidRPr="00EE5777">
        <w:rPr>
          <w:rFonts w:asciiTheme="minorHAnsi" w:hAnsiTheme="minorHAnsi"/>
          <w:szCs w:val="24"/>
          <w:lang w:val="en-US"/>
        </w:rPr>
        <w:t>i</w:t>
      </w:r>
      <w:r w:rsidR="00E2594C" w:rsidRPr="00EE5777">
        <w:rPr>
          <w:rFonts w:asciiTheme="minorHAnsi" w:hAnsiTheme="minorHAnsi"/>
          <w:szCs w:val="24"/>
          <w:lang w:val="en-US"/>
        </w:rPr>
        <w:t>nclusion.</w:t>
      </w:r>
      <w:r w:rsidR="00216EB2" w:rsidRPr="00EE5777">
        <w:rPr>
          <w:rFonts w:asciiTheme="minorHAnsi" w:hAnsiTheme="minorHAnsi"/>
          <w:szCs w:val="24"/>
          <w:lang w:val="en-US"/>
        </w:rPr>
        <w:t xml:space="preserve"> </w:t>
      </w:r>
      <w:r w:rsidR="00C53804" w:rsidRPr="00EE5777">
        <w:rPr>
          <w:rFonts w:asciiTheme="minorHAnsi" w:hAnsiTheme="minorHAnsi"/>
          <w:szCs w:val="24"/>
          <w:lang w:val="en-US"/>
        </w:rPr>
        <w:t xml:space="preserve">Several </w:t>
      </w:r>
      <w:r w:rsidR="00E2594C" w:rsidRPr="00EE5777">
        <w:rPr>
          <w:rFonts w:asciiTheme="minorHAnsi" w:hAnsiTheme="minorHAnsi"/>
          <w:szCs w:val="24"/>
          <w:lang w:val="en-US"/>
        </w:rPr>
        <w:t xml:space="preserve">national workshops </w:t>
      </w:r>
      <w:r w:rsidR="00F03BFB" w:rsidRPr="00EE5777">
        <w:rPr>
          <w:rFonts w:asciiTheme="minorHAnsi" w:hAnsiTheme="minorHAnsi"/>
          <w:szCs w:val="24"/>
          <w:lang w:val="en-US"/>
        </w:rPr>
        <w:t xml:space="preserve">were organized on such subject as </w:t>
      </w:r>
      <w:r w:rsidR="00C53804" w:rsidRPr="00EE5777">
        <w:rPr>
          <w:rFonts w:asciiTheme="minorHAnsi" w:hAnsiTheme="minorHAnsi"/>
          <w:szCs w:val="24"/>
          <w:lang w:val="en-US"/>
        </w:rPr>
        <w:t>s</w:t>
      </w:r>
      <w:r w:rsidR="00E2594C" w:rsidRPr="00EE5777">
        <w:rPr>
          <w:rFonts w:asciiTheme="minorHAnsi" w:hAnsiTheme="minorHAnsi"/>
          <w:szCs w:val="24"/>
          <w:lang w:val="en-US"/>
        </w:rPr>
        <w:t xml:space="preserve">pectrum management, ICT measurements and indicators, CIRT management, ICT skills train of trainers, COP, </w:t>
      </w:r>
      <w:r w:rsidR="00C53804" w:rsidRPr="00EE5777">
        <w:rPr>
          <w:rFonts w:asciiTheme="minorHAnsi" w:hAnsiTheme="minorHAnsi"/>
          <w:szCs w:val="24"/>
          <w:lang w:val="en-US"/>
        </w:rPr>
        <w:t>c</w:t>
      </w:r>
      <w:r w:rsidR="00E2594C" w:rsidRPr="00EE5777">
        <w:rPr>
          <w:rFonts w:asciiTheme="minorHAnsi" w:hAnsiTheme="minorHAnsi"/>
          <w:szCs w:val="24"/>
          <w:lang w:val="en-US"/>
        </w:rPr>
        <w:t xml:space="preserve">ybersecurity maturity review and strategy, crisis management plan, </w:t>
      </w:r>
      <w:r w:rsidR="00C53804" w:rsidRPr="00EE5777">
        <w:rPr>
          <w:rFonts w:asciiTheme="minorHAnsi" w:hAnsiTheme="minorHAnsi"/>
          <w:szCs w:val="24"/>
          <w:lang w:val="en-US"/>
        </w:rPr>
        <w:t>j</w:t>
      </w:r>
      <w:r w:rsidR="00E2594C" w:rsidRPr="00EE5777">
        <w:rPr>
          <w:rFonts w:asciiTheme="minorHAnsi" w:hAnsiTheme="minorHAnsi"/>
          <w:szCs w:val="24"/>
          <w:lang w:val="en-US"/>
        </w:rPr>
        <w:t>udiciary training,</w:t>
      </w:r>
      <w:r w:rsidR="00F03BFB" w:rsidRPr="00EE5777">
        <w:rPr>
          <w:rFonts w:asciiTheme="minorHAnsi" w:hAnsiTheme="minorHAnsi"/>
          <w:szCs w:val="24"/>
          <w:lang w:val="en-US"/>
        </w:rPr>
        <w:t xml:space="preserve"> and</w:t>
      </w:r>
      <w:r w:rsidR="00E2594C" w:rsidRPr="00EE5777">
        <w:rPr>
          <w:rFonts w:asciiTheme="minorHAnsi" w:hAnsiTheme="minorHAnsi"/>
          <w:szCs w:val="24"/>
          <w:lang w:val="en-US"/>
        </w:rPr>
        <w:t xml:space="preserve"> </w:t>
      </w:r>
      <w:proofErr w:type="spellStart"/>
      <w:r w:rsidR="00E2594C" w:rsidRPr="00EE5777">
        <w:rPr>
          <w:rFonts w:asciiTheme="minorHAnsi" w:hAnsiTheme="minorHAnsi"/>
          <w:szCs w:val="24"/>
          <w:lang w:val="en-US"/>
        </w:rPr>
        <w:t>QoS</w:t>
      </w:r>
      <w:proofErr w:type="spellEnd"/>
      <w:r w:rsidR="00E2594C" w:rsidRPr="00EE5777">
        <w:rPr>
          <w:rFonts w:asciiTheme="minorHAnsi" w:hAnsiTheme="minorHAnsi"/>
          <w:szCs w:val="24"/>
          <w:lang w:val="en-US"/>
        </w:rPr>
        <w:t xml:space="preserve"> and </w:t>
      </w:r>
      <w:proofErr w:type="spellStart"/>
      <w:r w:rsidR="00E2594C" w:rsidRPr="00EE5777">
        <w:rPr>
          <w:rFonts w:asciiTheme="minorHAnsi" w:hAnsiTheme="minorHAnsi"/>
          <w:szCs w:val="24"/>
          <w:lang w:val="en-US"/>
        </w:rPr>
        <w:t>QoE</w:t>
      </w:r>
      <w:proofErr w:type="spellEnd"/>
      <w:r w:rsidR="00E2594C" w:rsidRPr="00EE5777">
        <w:rPr>
          <w:rFonts w:asciiTheme="minorHAnsi" w:hAnsiTheme="minorHAnsi"/>
          <w:szCs w:val="24"/>
          <w:lang w:val="en-US"/>
        </w:rPr>
        <w:t>.</w:t>
      </w:r>
    </w:p>
    <w:p w14:paraId="16420BE4" w14:textId="77777777" w:rsidR="00B42D84" w:rsidRPr="00EE5777" w:rsidRDefault="00024847" w:rsidP="00041613">
      <w:pPr>
        <w:pStyle w:val="Heading4"/>
        <w:spacing w:before="120"/>
        <w:rPr>
          <w:rFonts w:asciiTheme="minorHAnsi" w:hAnsiTheme="minorHAnsi"/>
          <w:bCs/>
          <w:color w:val="000000"/>
          <w:szCs w:val="24"/>
        </w:rPr>
      </w:pPr>
      <w:r w:rsidRPr="00EE5777">
        <w:rPr>
          <w:rFonts w:asciiTheme="minorHAnsi" w:hAnsiTheme="minorHAnsi"/>
          <w:szCs w:val="24"/>
        </w:rPr>
        <w:lastRenderedPageBreak/>
        <w:t>2.5</w:t>
      </w:r>
      <w:r w:rsidRPr="00EE5777">
        <w:rPr>
          <w:rFonts w:asciiTheme="minorHAnsi" w:hAnsiTheme="minorHAnsi"/>
          <w:szCs w:val="24"/>
        </w:rPr>
        <w:tab/>
      </w:r>
      <w:r w:rsidR="00B42D84" w:rsidRPr="00EE5777">
        <w:rPr>
          <w:rFonts w:asciiTheme="minorHAnsi" w:hAnsiTheme="minorHAnsi"/>
          <w:bCs/>
          <w:color w:val="000000"/>
          <w:szCs w:val="24"/>
        </w:rPr>
        <w:t>Americas region</w:t>
      </w:r>
    </w:p>
    <w:p w14:paraId="7ECEE22C" w14:textId="45F44E6C" w:rsidR="002643DD"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2.5.1</w:t>
      </w:r>
      <w:r w:rsidRPr="00EE5777">
        <w:rPr>
          <w:rFonts w:asciiTheme="minorHAnsi" w:hAnsiTheme="minorHAnsi"/>
          <w:szCs w:val="24"/>
        </w:rPr>
        <w:tab/>
      </w:r>
      <w:r w:rsidR="002643DD" w:rsidRPr="00EE5777">
        <w:rPr>
          <w:rFonts w:asciiTheme="minorHAnsi" w:hAnsiTheme="minorHAnsi"/>
          <w:szCs w:val="24"/>
        </w:rPr>
        <w:t xml:space="preserve">In 2017, BDT implemented project activities under 11 technical cooperation projects for a total amount of about </w:t>
      </w:r>
      <w:r w:rsidR="00AD02F9" w:rsidRPr="00EE5777">
        <w:rPr>
          <w:rFonts w:asciiTheme="minorHAnsi" w:hAnsiTheme="minorHAnsi"/>
          <w:szCs w:val="24"/>
        </w:rPr>
        <w:t>3.8</w:t>
      </w:r>
      <w:r w:rsidR="002643DD" w:rsidRPr="00EE5777">
        <w:rPr>
          <w:rFonts w:asciiTheme="minorHAnsi" w:hAnsiTheme="minorHAnsi"/>
          <w:szCs w:val="24"/>
        </w:rPr>
        <w:t xml:space="preserve"> million CHF in the Americas region, in collaboration with Member States.</w:t>
      </w:r>
      <w:r w:rsidR="00216EB2" w:rsidRPr="00EE5777">
        <w:rPr>
          <w:rFonts w:asciiTheme="minorHAnsi" w:hAnsiTheme="minorHAnsi"/>
          <w:szCs w:val="24"/>
        </w:rPr>
        <w:t xml:space="preserve"> </w:t>
      </w:r>
      <w:r w:rsidR="002643DD" w:rsidRPr="00EE5777">
        <w:rPr>
          <w:rFonts w:asciiTheme="minorHAnsi" w:hAnsiTheme="minorHAnsi"/>
          <w:szCs w:val="24"/>
        </w:rPr>
        <w:t xml:space="preserve">In addition, </w:t>
      </w:r>
      <w:r w:rsidR="00AD02F9" w:rsidRPr="00EE5777">
        <w:rPr>
          <w:rFonts w:asciiTheme="minorHAnsi" w:hAnsiTheme="minorHAnsi"/>
          <w:szCs w:val="24"/>
        </w:rPr>
        <w:t xml:space="preserve">activities on </w:t>
      </w:r>
      <w:r w:rsidR="002643DD" w:rsidRPr="00EE5777">
        <w:rPr>
          <w:rFonts w:asciiTheme="minorHAnsi" w:hAnsiTheme="minorHAnsi"/>
          <w:szCs w:val="24"/>
        </w:rPr>
        <w:t xml:space="preserve">32 actions were implemented for an amount of </w:t>
      </w:r>
      <w:r w:rsidR="00AD02F9" w:rsidRPr="00EE5777">
        <w:rPr>
          <w:rFonts w:asciiTheme="minorHAnsi" w:hAnsiTheme="minorHAnsi"/>
          <w:szCs w:val="24"/>
        </w:rPr>
        <w:t>649</w:t>
      </w:r>
      <w:r w:rsidR="00DF1A3B">
        <w:rPr>
          <w:rFonts w:asciiTheme="minorHAnsi" w:hAnsiTheme="minorHAnsi"/>
          <w:szCs w:val="24"/>
        </w:rPr>
        <w:t>,000</w:t>
      </w:r>
      <w:r w:rsidR="002643DD" w:rsidRPr="00EE5777">
        <w:rPr>
          <w:rFonts w:asciiTheme="minorHAnsi" w:hAnsiTheme="minorHAnsi"/>
          <w:szCs w:val="24"/>
        </w:rPr>
        <w:t xml:space="preserve"> CHF.</w:t>
      </w:r>
    </w:p>
    <w:p w14:paraId="61C7A29A" w14:textId="77777777" w:rsidR="00C357C9" w:rsidRPr="00EE5777" w:rsidRDefault="00024847" w:rsidP="00041613">
      <w:pPr>
        <w:tabs>
          <w:tab w:val="clear" w:pos="1134"/>
          <w:tab w:val="clear" w:pos="1701"/>
          <w:tab w:val="clear" w:pos="2268"/>
          <w:tab w:val="clear" w:pos="2835"/>
        </w:tabs>
        <w:snapToGrid w:val="0"/>
        <w:jc w:val="both"/>
        <w:rPr>
          <w:rFonts w:asciiTheme="minorHAnsi" w:hAnsiTheme="minorHAnsi"/>
          <w:color w:val="000000"/>
          <w:szCs w:val="24"/>
        </w:rPr>
      </w:pPr>
      <w:r w:rsidRPr="00EE5777">
        <w:rPr>
          <w:rFonts w:asciiTheme="minorHAnsi" w:hAnsiTheme="minorHAnsi"/>
          <w:color w:val="000000"/>
          <w:szCs w:val="24"/>
        </w:rPr>
        <w:t>2.5.2</w:t>
      </w:r>
      <w:r w:rsidRPr="00EE5777">
        <w:rPr>
          <w:rFonts w:asciiTheme="minorHAnsi" w:hAnsiTheme="minorHAnsi"/>
          <w:color w:val="000000"/>
          <w:szCs w:val="24"/>
        </w:rPr>
        <w:tab/>
      </w:r>
      <w:r w:rsidR="00C357C9" w:rsidRPr="00EE5777">
        <w:rPr>
          <w:rFonts w:asciiTheme="minorHAnsi" w:hAnsiTheme="minorHAnsi"/>
          <w:color w:val="000000"/>
          <w:szCs w:val="24"/>
          <w:lang w:val="en-US"/>
        </w:rPr>
        <w:t xml:space="preserve">Direct assistance and support was provided to different countries in the region in areas of policy and regulatory framework for an e-waste management, development of national ICT plans, </w:t>
      </w:r>
      <w:proofErr w:type="gramStart"/>
      <w:r w:rsidR="00C357C9" w:rsidRPr="00EE5777">
        <w:rPr>
          <w:rFonts w:asciiTheme="minorHAnsi" w:hAnsiTheme="minorHAnsi"/>
          <w:color w:val="000000"/>
          <w:szCs w:val="24"/>
          <w:lang w:val="en-US"/>
        </w:rPr>
        <w:t>preparation</w:t>
      </w:r>
      <w:proofErr w:type="gramEnd"/>
      <w:r w:rsidR="00C357C9" w:rsidRPr="00EE5777">
        <w:rPr>
          <w:rFonts w:asciiTheme="minorHAnsi" w:hAnsiTheme="minorHAnsi"/>
          <w:color w:val="000000"/>
          <w:szCs w:val="24"/>
          <w:lang w:val="en-US"/>
        </w:rPr>
        <w:t xml:space="preserve"> of </w:t>
      </w:r>
      <w:r w:rsidR="00C357C9" w:rsidRPr="00EE5777">
        <w:rPr>
          <w:rFonts w:asciiTheme="minorHAnsi" w:hAnsiTheme="minorHAnsi"/>
          <w:color w:val="000000"/>
          <w:szCs w:val="24"/>
        </w:rPr>
        <w:t>guidelines for transition from analogue to digital broadcasting, infrastructure deployment, web accessibility training, etc.</w:t>
      </w:r>
      <w:r w:rsidR="00216EB2" w:rsidRPr="00EE5777">
        <w:rPr>
          <w:rFonts w:asciiTheme="minorHAnsi" w:hAnsiTheme="minorHAnsi"/>
          <w:color w:val="000000"/>
          <w:szCs w:val="24"/>
        </w:rPr>
        <w:t xml:space="preserve"> </w:t>
      </w:r>
      <w:r w:rsidR="00C357C9" w:rsidRPr="00EE5777">
        <w:rPr>
          <w:rFonts w:asciiTheme="minorHAnsi" w:hAnsiTheme="minorHAnsi"/>
          <w:color w:val="000000"/>
          <w:szCs w:val="24"/>
        </w:rPr>
        <w:t>An online training on innovative communication tools for the inclusion and strengthening of indigenous people was delivered to over 150 indigenous people from 16 countries.</w:t>
      </w:r>
    </w:p>
    <w:p w14:paraId="42B5C816" w14:textId="7ABC0314" w:rsidR="00DD632F" w:rsidRPr="00EE5777" w:rsidRDefault="00024847" w:rsidP="00041613">
      <w:pPr>
        <w:tabs>
          <w:tab w:val="clear" w:pos="1134"/>
          <w:tab w:val="clear" w:pos="1701"/>
          <w:tab w:val="clear" w:pos="2268"/>
          <w:tab w:val="clear" w:pos="2835"/>
        </w:tabs>
        <w:snapToGrid w:val="0"/>
        <w:jc w:val="both"/>
        <w:rPr>
          <w:rFonts w:asciiTheme="minorHAnsi" w:hAnsiTheme="minorHAnsi"/>
          <w:color w:val="000000"/>
          <w:szCs w:val="24"/>
          <w:lang w:val="en-US"/>
        </w:rPr>
      </w:pPr>
      <w:r w:rsidRPr="00EE5777">
        <w:rPr>
          <w:rFonts w:asciiTheme="minorHAnsi" w:hAnsiTheme="minorHAnsi"/>
          <w:szCs w:val="24"/>
          <w:lang w:val="en-US"/>
        </w:rPr>
        <w:t>2.5.3</w:t>
      </w:r>
      <w:r w:rsidRPr="00EE5777">
        <w:rPr>
          <w:rFonts w:asciiTheme="minorHAnsi" w:hAnsiTheme="minorHAnsi"/>
          <w:szCs w:val="24"/>
          <w:lang w:val="en-US"/>
        </w:rPr>
        <w:tab/>
      </w:r>
      <w:r w:rsidR="00766542" w:rsidRPr="00EE5777">
        <w:rPr>
          <w:rFonts w:asciiTheme="minorHAnsi" w:hAnsiTheme="minorHAnsi"/>
          <w:szCs w:val="24"/>
          <w:lang w:val="en-US"/>
        </w:rPr>
        <w:t xml:space="preserve">Several </w:t>
      </w:r>
      <w:r w:rsidR="00DD632F" w:rsidRPr="00EE5777">
        <w:rPr>
          <w:rFonts w:asciiTheme="minorHAnsi" w:hAnsiTheme="minorHAnsi"/>
          <w:szCs w:val="24"/>
          <w:lang w:val="en-US"/>
        </w:rPr>
        <w:t xml:space="preserve">regional workshops and </w:t>
      </w:r>
      <w:r w:rsidR="00864229" w:rsidRPr="00EE5777">
        <w:rPr>
          <w:rFonts w:asciiTheme="minorHAnsi" w:hAnsiTheme="minorHAnsi"/>
          <w:szCs w:val="24"/>
          <w:lang w:val="en-US"/>
        </w:rPr>
        <w:t>f</w:t>
      </w:r>
      <w:r w:rsidR="00DD632F" w:rsidRPr="00EE5777">
        <w:rPr>
          <w:rFonts w:asciiTheme="minorHAnsi" w:hAnsiTheme="minorHAnsi"/>
          <w:szCs w:val="24"/>
          <w:lang w:val="en-US"/>
        </w:rPr>
        <w:t xml:space="preserve">orums on </w:t>
      </w:r>
      <w:r w:rsidR="00766542" w:rsidRPr="00EE5777">
        <w:rPr>
          <w:rFonts w:asciiTheme="minorHAnsi" w:hAnsiTheme="minorHAnsi"/>
          <w:szCs w:val="24"/>
          <w:lang w:val="en-US"/>
        </w:rPr>
        <w:t>c</w:t>
      </w:r>
      <w:r w:rsidR="00DD632F" w:rsidRPr="00EE5777">
        <w:rPr>
          <w:rFonts w:asciiTheme="minorHAnsi" w:hAnsiTheme="minorHAnsi"/>
          <w:szCs w:val="24"/>
          <w:lang w:val="en-US"/>
        </w:rPr>
        <w:t xml:space="preserve">onformance and </w:t>
      </w:r>
      <w:r w:rsidR="00766542" w:rsidRPr="00EE5777">
        <w:rPr>
          <w:rFonts w:asciiTheme="minorHAnsi" w:hAnsiTheme="minorHAnsi"/>
          <w:szCs w:val="24"/>
          <w:lang w:val="en-US"/>
        </w:rPr>
        <w:t>i</w:t>
      </w:r>
      <w:r w:rsidR="00DD632F" w:rsidRPr="00EE5777">
        <w:rPr>
          <w:rFonts w:asciiTheme="minorHAnsi" w:hAnsiTheme="minorHAnsi"/>
          <w:szCs w:val="24"/>
          <w:lang w:val="en-US"/>
        </w:rPr>
        <w:t xml:space="preserve">nteroperability, </w:t>
      </w:r>
      <w:r w:rsidR="00766542" w:rsidRPr="00EE5777">
        <w:rPr>
          <w:rFonts w:asciiTheme="minorHAnsi" w:hAnsiTheme="minorHAnsi"/>
          <w:szCs w:val="24"/>
          <w:lang w:val="en-US"/>
        </w:rPr>
        <w:t>i</w:t>
      </w:r>
      <w:r w:rsidR="00DD632F" w:rsidRPr="00EE5777">
        <w:rPr>
          <w:rFonts w:asciiTheme="minorHAnsi" w:hAnsiTheme="minorHAnsi"/>
          <w:szCs w:val="24"/>
          <w:lang w:val="en-US"/>
        </w:rPr>
        <w:t xml:space="preserve">nternet </w:t>
      </w:r>
      <w:r w:rsidR="00766542" w:rsidRPr="00EE5777">
        <w:rPr>
          <w:rFonts w:asciiTheme="minorHAnsi" w:hAnsiTheme="minorHAnsi"/>
          <w:szCs w:val="24"/>
          <w:lang w:val="en-US"/>
        </w:rPr>
        <w:t>g</w:t>
      </w:r>
      <w:r w:rsidR="00DD632F" w:rsidRPr="00EE5777">
        <w:rPr>
          <w:rFonts w:asciiTheme="minorHAnsi" w:hAnsiTheme="minorHAnsi"/>
          <w:szCs w:val="24"/>
          <w:lang w:val="en-US"/>
        </w:rPr>
        <w:t xml:space="preserve">overnance, </w:t>
      </w:r>
      <w:r w:rsidR="00766542" w:rsidRPr="00EE5777">
        <w:rPr>
          <w:rFonts w:asciiTheme="minorHAnsi" w:hAnsiTheme="minorHAnsi"/>
          <w:szCs w:val="24"/>
          <w:lang w:val="en-US"/>
        </w:rPr>
        <w:t>c</w:t>
      </w:r>
      <w:r w:rsidR="00DD632F" w:rsidRPr="00EE5777">
        <w:rPr>
          <w:rFonts w:asciiTheme="minorHAnsi" w:hAnsiTheme="minorHAnsi"/>
          <w:szCs w:val="24"/>
          <w:lang w:val="en-US"/>
        </w:rPr>
        <w:t xml:space="preserve">yber bullying, ICT accessibility and digital inclusion, </w:t>
      </w:r>
      <w:r w:rsidR="00766542" w:rsidRPr="00EE5777">
        <w:rPr>
          <w:rFonts w:asciiTheme="minorHAnsi" w:hAnsiTheme="minorHAnsi"/>
          <w:szCs w:val="24"/>
          <w:lang w:val="en-US"/>
        </w:rPr>
        <w:t>c</w:t>
      </w:r>
      <w:r w:rsidR="00DD632F" w:rsidRPr="00EE5777">
        <w:rPr>
          <w:rFonts w:asciiTheme="minorHAnsi" w:hAnsiTheme="minorHAnsi"/>
          <w:szCs w:val="24"/>
          <w:lang w:val="en-US"/>
        </w:rPr>
        <w:t xml:space="preserve">ybersecurity and </w:t>
      </w:r>
      <w:proofErr w:type="spellStart"/>
      <w:r w:rsidR="00DD632F" w:rsidRPr="00EE5777">
        <w:rPr>
          <w:rFonts w:asciiTheme="minorHAnsi" w:hAnsiTheme="minorHAnsi"/>
          <w:szCs w:val="24"/>
          <w:lang w:val="en-US"/>
        </w:rPr>
        <w:t>CyberDrill</w:t>
      </w:r>
      <w:proofErr w:type="spellEnd"/>
      <w:r w:rsidR="00DD632F" w:rsidRPr="00EE5777">
        <w:rPr>
          <w:rFonts w:asciiTheme="minorHAnsi" w:hAnsiTheme="minorHAnsi"/>
          <w:szCs w:val="24"/>
          <w:lang w:val="en-US"/>
        </w:rPr>
        <w:t xml:space="preserve">, </w:t>
      </w:r>
      <w:r w:rsidR="00766542" w:rsidRPr="00EE5777">
        <w:rPr>
          <w:rFonts w:asciiTheme="minorHAnsi" w:hAnsiTheme="minorHAnsi"/>
          <w:szCs w:val="24"/>
          <w:lang w:val="en-US"/>
        </w:rPr>
        <w:t>e</w:t>
      </w:r>
      <w:r w:rsidR="00DD632F" w:rsidRPr="00EE5777">
        <w:rPr>
          <w:rFonts w:asciiTheme="minorHAnsi" w:hAnsiTheme="minorHAnsi"/>
          <w:szCs w:val="24"/>
          <w:lang w:val="en-US"/>
        </w:rPr>
        <w:t xml:space="preserve">mergency telecommunications and IOT were organized/delivered in 2017 in the Americas region. </w:t>
      </w:r>
      <w:r w:rsidR="00766542" w:rsidRPr="00EE5777">
        <w:rPr>
          <w:rFonts w:asciiTheme="minorHAnsi" w:hAnsiTheme="minorHAnsi"/>
          <w:szCs w:val="24"/>
          <w:lang w:val="en-US"/>
        </w:rPr>
        <w:t xml:space="preserve">A number </w:t>
      </w:r>
      <w:r w:rsidR="00DF1A3B">
        <w:rPr>
          <w:rFonts w:asciiTheme="minorHAnsi" w:hAnsiTheme="minorHAnsi"/>
          <w:szCs w:val="24"/>
          <w:lang w:val="en-US"/>
        </w:rPr>
        <w:t xml:space="preserve">of </w:t>
      </w:r>
      <w:r w:rsidR="00DD632F" w:rsidRPr="00EE5777">
        <w:rPr>
          <w:rFonts w:asciiTheme="minorHAnsi" w:hAnsiTheme="minorHAnsi"/>
          <w:szCs w:val="24"/>
          <w:lang w:val="en-US"/>
        </w:rPr>
        <w:t>online courses</w:t>
      </w:r>
      <w:r w:rsidR="00DD632F" w:rsidRPr="00EE5777">
        <w:rPr>
          <w:rFonts w:asciiTheme="minorHAnsi" w:hAnsiTheme="minorHAnsi"/>
          <w:color w:val="000000"/>
          <w:szCs w:val="24"/>
        </w:rPr>
        <w:t xml:space="preserve"> </w:t>
      </w:r>
      <w:r w:rsidR="00DD632F" w:rsidRPr="00EE5777">
        <w:rPr>
          <w:rFonts w:asciiTheme="minorHAnsi" w:hAnsiTheme="minorHAnsi"/>
          <w:szCs w:val="24"/>
        </w:rPr>
        <w:t xml:space="preserve">through ITU Academy were delivered on relevant issues, such as </w:t>
      </w:r>
      <w:proofErr w:type="spellStart"/>
      <w:r w:rsidR="00766542" w:rsidRPr="00EE5777">
        <w:rPr>
          <w:rFonts w:asciiTheme="minorHAnsi" w:hAnsiTheme="minorHAnsi"/>
          <w:szCs w:val="24"/>
        </w:rPr>
        <w:t>r</w:t>
      </w:r>
      <w:r w:rsidR="00DD632F" w:rsidRPr="00EE5777">
        <w:rPr>
          <w:rFonts w:asciiTheme="minorHAnsi" w:hAnsiTheme="minorHAnsi"/>
          <w:szCs w:val="24"/>
        </w:rPr>
        <w:t>adioelectric</w:t>
      </w:r>
      <w:proofErr w:type="spellEnd"/>
      <w:r w:rsidR="00DD632F" w:rsidRPr="00EE5777">
        <w:rPr>
          <w:rFonts w:asciiTheme="minorHAnsi" w:hAnsiTheme="minorHAnsi"/>
          <w:szCs w:val="24"/>
        </w:rPr>
        <w:t xml:space="preserve"> </w:t>
      </w:r>
      <w:r w:rsidR="00766542" w:rsidRPr="00EE5777">
        <w:rPr>
          <w:rFonts w:asciiTheme="minorHAnsi" w:hAnsiTheme="minorHAnsi"/>
          <w:szCs w:val="24"/>
        </w:rPr>
        <w:t>s</w:t>
      </w:r>
      <w:r w:rsidR="00DD632F" w:rsidRPr="00EE5777">
        <w:rPr>
          <w:rFonts w:asciiTheme="minorHAnsi" w:hAnsiTheme="minorHAnsi"/>
          <w:szCs w:val="24"/>
        </w:rPr>
        <w:t xml:space="preserve">pectrum, the role of ICTs in </w:t>
      </w:r>
      <w:r w:rsidR="00766542" w:rsidRPr="00EE5777">
        <w:rPr>
          <w:rFonts w:asciiTheme="minorHAnsi" w:hAnsiTheme="minorHAnsi"/>
          <w:szCs w:val="24"/>
        </w:rPr>
        <w:t>s</w:t>
      </w:r>
      <w:r w:rsidR="00DD632F" w:rsidRPr="00EE5777">
        <w:rPr>
          <w:rFonts w:asciiTheme="minorHAnsi" w:hAnsiTheme="minorHAnsi"/>
          <w:szCs w:val="24"/>
        </w:rPr>
        <w:t xml:space="preserve">mart and </w:t>
      </w:r>
      <w:r w:rsidR="00766542" w:rsidRPr="00EE5777">
        <w:rPr>
          <w:rFonts w:asciiTheme="minorHAnsi" w:hAnsiTheme="minorHAnsi"/>
          <w:szCs w:val="24"/>
        </w:rPr>
        <w:t>s</w:t>
      </w:r>
      <w:r w:rsidR="00DD632F" w:rsidRPr="00EE5777">
        <w:rPr>
          <w:rFonts w:asciiTheme="minorHAnsi" w:hAnsiTheme="minorHAnsi"/>
          <w:szCs w:val="24"/>
        </w:rPr>
        <w:t xml:space="preserve">ustainable </w:t>
      </w:r>
      <w:r w:rsidR="00766542" w:rsidRPr="00EE5777">
        <w:rPr>
          <w:rFonts w:asciiTheme="minorHAnsi" w:hAnsiTheme="minorHAnsi"/>
          <w:szCs w:val="24"/>
        </w:rPr>
        <w:t>c</w:t>
      </w:r>
      <w:r w:rsidR="00DD632F" w:rsidRPr="00EE5777">
        <w:rPr>
          <w:rFonts w:asciiTheme="minorHAnsi" w:hAnsiTheme="minorHAnsi"/>
          <w:szCs w:val="24"/>
        </w:rPr>
        <w:t>ities,</w:t>
      </w:r>
      <w:r w:rsidR="00DD632F" w:rsidRPr="00EE5777">
        <w:rPr>
          <w:rFonts w:asciiTheme="minorHAnsi" w:hAnsiTheme="minorHAnsi"/>
          <w:color w:val="000000"/>
          <w:szCs w:val="24"/>
        </w:rPr>
        <w:t xml:space="preserve"> </w:t>
      </w:r>
      <w:r w:rsidR="00766542" w:rsidRPr="00EE5777">
        <w:rPr>
          <w:rFonts w:asciiTheme="minorHAnsi" w:hAnsiTheme="minorHAnsi"/>
          <w:color w:val="000000"/>
          <w:szCs w:val="24"/>
        </w:rPr>
        <w:t>o</w:t>
      </w:r>
      <w:r w:rsidR="00DD632F" w:rsidRPr="00EE5777">
        <w:rPr>
          <w:rFonts w:asciiTheme="minorHAnsi" w:hAnsiTheme="minorHAnsi"/>
          <w:color w:val="000000"/>
          <w:szCs w:val="24"/>
        </w:rPr>
        <w:t xml:space="preserve">ptical and NGN </w:t>
      </w:r>
      <w:r w:rsidR="00766542" w:rsidRPr="00EE5777">
        <w:rPr>
          <w:rFonts w:asciiTheme="minorHAnsi" w:hAnsiTheme="minorHAnsi"/>
          <w:color w:val="000000"/>
          <w:szCs w:val="24"/>
        </w:rPr>
        <w:t>networks, re</w:t>
      </w:r>
      <w:r w:rsidR="00DD632F" w:rsidRPr="00EE5777">
        <w:rPr>
          <w:rFonts w:asciiTheme="minorHAnsi" w:hAnsiTheme="minorHAnsi"/>
          <w:color w:val="000000"/>
          <w:szCs w:val="24"/>
        </w:rPr>
        <w:t xml:space="preserve">gulation of spectrum and telecommunications services, </w:t>
      </w:r>
      <w:r w:rsidR="00C1377C" w:rsidRPr="00EE5777">
        <w:rPr>
          <w:rFonts w:asciiTheme="minorHAnsi" w:hAnsiTheme="minorHAnsi"/>
          <w:color w:val="000000"/>
          <w:szCs w:val="24"/>
        </w:rPr>
        <w:t>etc.</w:t>
      </w:r>
      <w:r w:rsidR="00216EB2" w:rsidRPr="00EE5777">
        <w:rPr>
          <w:rFonts w:asciiTheme="minorHAnsi" w:hAnsiTheme="minorHAnsi"/>
          <w:color w:val="000000"/>
          <w:szCs w:val="24"/>
        </w:rPr>
        <w:t xml:space="preserve"> </w:t>
      </w:r>
      <w:r w:rsidR="00C357C9" w:rsidRPr="00EE5777">
        <w:rPr>
          <w:rFonts w:asciiTheme="minorHAnsi" w:hAnsiTheme="minorHAnsi"/>
          <w:szCs w:val="24"/>
        </w:rPr>
        <w:t xml:space="preserve">A </w:t>
      </w:r>
      <w:r w:rsidR="00F1345A" w:rsidRPr="00EE5777">
        <w:rPr>
          <w:rFonts w:asciiTheme="minorHAnsi" w:hAnsiTheme="minorHAnsi"/>
          <w:szCs w:val="24"/>
        </w:rPr>
        <w:t>p</w:t>
      </w:r>
      <w:r w:rsidR="00C357C9" w:rsidRPr="00EE5777">
        <w:rPr>
          <w:rFonts w:asciiTheme="minorHAnsi" w:hAnsiTheme="minorHAnsi"/>
          <w:szCs w:val="24"/>
        </w:rPr>
        <w:t>ilot project on the establishment of an Alternate Regional Emergency Telecommunications Network in the Americas Region was prepared as a result of the joint effort of ITU, CITEL and COMTELCA.</w:t>
      </w:r>
      <w:r w:rsidR="00216EB2" w:rsidRPr="00EE5777">
        <w:rPr>
          <w:rFonts w:asciiTheme="minorHAnsi" w:hAnsiTheme="minorHAnsi"/>
          <w:szCs w:val="24"/>
        </w:rPr>
        <w:t xml:space="preserve"> </w:t>
      </w:r>
      <w:r w:rsidR="00DD632F" w:rsidRPr="00EE5777">
        <w:rPr>
          <w:rFonts w:asciiTheme="minorHAnsi" w:hAnsiTheme="minorHAnsi"/>
          <w:color w:val="000000"/>
          <w:szCs w:val="24"/>
        </w:rPr>
        <w:t xml:space="preserve">A </w:t>
      </w:r>
      <w:r w:rsidR="00C357C9" w:rsidRPr="00EE5777">
        <w:rPr>
          <w:rFonts w:asciiTheme="minorHAnsi" w:hAnsiTheme="minorHAnsi"/>
          <w:color w:val="000000"/>
          <w:szCs w:val="24"/>
        </w:rPr>
        <w:t>c</w:t>
      </w:r>
      <w:r w:rsidR="00DD632F" w:rsidRPr="00EE5777">
        <w:rPr>
          <w:rFonts w:asciiTheme="minorHAnsi" w:hAnsiTheme="minorHAnsi"/>
          <w:color w:val="000000"/>
          <w:szCs w:val="24"/>
        </w:rPr>
        <w:t xml:space="preserve">onformity and </w:t>
      </w:r>
      <w:r w:rsidR="00F1345A" w:rsidRPr="00EE5777">
        <w:rPr>
          <w:rFonts w:asciiTheme="minorHAnsi" w:hAnsiTheme="minorHAnsi"/>
          <w:color w:val="000000"/>
          <w:szCs w:val="24"/>
        </w:rPr>
        <w:t>i</w:t>
      </w:r>
      <w:r w:rsidR="00DD632F" w:rsidRPr="00EE5777">
        <w:rPr>
          <w:rFonts w:asciiTheme="minorHAnsi" w:hAnsiTheme="minorHAnsi"/>
          <w:color w:val="000000"/>
          <w:szCs w:val="24"/>
        </w:rPr>
        <w:t xml:space="preserve">nteroperability </w:t>
      </w:r>
      <w:r w:rsidR="00F1345A" w:rsidRPr="00EE5777">
        <w:rPr>
          <w:rFonts w:asciiTheme="minorHAnsi" w:hAnsiTheme="minorHAnsi"/>
          <w:color w:val="000000"/>
          <w:szCs w:val="24"/>
        </w:rPr>
        <w:t>a</w:t>
      </w:r>
      <w:r w:rsidR="00DD632F" w:rsidRPr="00EE5777">
        <w:rPr>
          <w:rFonts w:asciiTheme="minorHAnsi" w:hAnsiTheme="minorHAnsi"/>
          <w:color w:val="000000"/>
          <w:szCs w:val="24"/>
        </w:rPr>
        <w:t xml:space="preserve">ssessment </w:t>
      </w:r>
      <w:r w:rsidR="00F1345A" w:rsidRPr="00EE5777">
        <w:rPr>
          <w:rFonts w:asciiTheme="minorHAnsi" w:hAnsiTheme="minorHAnsi"/>
          <w:color w:val="000000"/>
          <w:szCs w:val="24"/>
        </w:rPr>
        <w:t>s</w:t>
      </w:r>
      <w:r w:rsidR="00DD632F" w:rsidRPr="00EE5777">
        <w:rPr>
          <w:rFonts w:asciiTheme="minorHAnsi" w:hAnsiTheme="minorHAnsi"/>
          <w:color w:val="000000"/>
          <w:szCs w:val="24"/>
        </w:rPr>
        <w:t>tudy was conducted</w:t>
      </w:r>
      <w:r w:rsidR="00272700" w:rsidRPr="00EE5777">
        <w:rPr>
          <w:rFonts w:asciiTheme="minorHAnsi" w:hAnsiTheme="minorHAnsi"/>
          <w:color w:val="000000"/>
          <w:szCs w:val="24"/>
        </w:rPr>
        <w:t xml:space="preserve"> with</w:t>
      </w:r>
      <w:r w:rsidR="00F1345A" w:rsidRPr="00EE5777">
        <w:rPr>
          <w:rFonts w:asciiTheme="minorHAnsi" w:hAnsiTheme="minorHAnsi"/>
          <w:color w:val="000000"/>
          <w:szCs w:val="24"/>
        </w:rPr>
        <w:t xml:space="preserve"> the</w:t>
      </w:r>
      <w:r w:rsidR="00272700" w:rsidRPr="00EE5777">
        <w:rPr>
          <w:rFonts w:asciiTheme="minorHAnsi" w:hAnsiTheme="minorHAnsi"/>
          <w:color w:val="000000"/>
          <w:szCs w:val="24"/>
        </w:rPr>
        <w:t xml:space="preserve"> main</w:t>
      </w:r>
      <w:r w:rsidR="00DD632F" w:rsidRPr="00EE5777">
        <w:rPr>
          <w:rFonts w:asciiTheme="minorHAnsi" w:hAnsiTheme="minorHAnsi"/>
          <w:color w:val="000000"/>
          <w:szCs w:val="24"/>
        </w:rPr>
        <w:t xml:space="preserve"> objective </w:t>
      </w:r>
      <w:r w:rsidR="00272700" w:rsidRPr="00EE5777">
        <w:rPr>
          <w:rFonts w:asciiTheme="minorHAnsi" w:hAnsiTheme="minorHAnsi"/>
          <w:color w:val="000000"/>
          <w:szCs w:val="24"/>
        </w:rPr>
        <w:t xml:space="preserve">of </w:t>
      </w:r>
      <w:r w:rsidR="00DD632F" w:rsidRPr="00EE5777">
        <w:rPr>
          <w:rFonts w:asciiTheme="minorHAnsi" w:hAnsiTheme="minorHAnsi"/>
          <w:color w:val="000000"/>
          <w:szCs w:val="24"/>
        </w:rPr>
        <w:t>creat</w:t>
      </w:r>
      <w:r w:rsidR="00272700" w:rsidRPr="00EE5777">
        <w:rPr>
          <w:rFonts w:asciiTheme="minorHAnsi" w:hAnsiTheme="minorHAnsi"/>
          <w:color w:val="000000"/>
          <w:szCs w:val="24"/>
        </w:rPr>
        <w:t>ing</w:t>
      </w:r>
      <w:r w:rsidR="00DD632F" w:rsidRPr="00EE5777">
        <w:rPr>
          <w:rFonts w:asciiTheme="minorHAnsi" w:hAnsiTheme="minorHAnsi"/>
          <w:color w:val="000000"/>
          <w:szCs w:val="24"/>
        </w:rPr>
        <w:t xml:space="preserve"> proposals on ways forward to improve the C&amp;I status in the region.</w:t>
      </w:r>
      <w:r w:rsidR="00216EB2" w:rsidRPr="00EE5777">
        <w:rPr>
          <w:rFonts w:asciiTheme="minorHAnsi" w:hAnsiTheme="minorHAnsi"/>
          <w:color w:val="000000"/>
          <w:szCs w:val="24"/>
        </w:rPr>
        <w:t xml:space="preserve"> </w:t>
      </w:r>
    </w:p>
    <w:p w14:paraId="52C9BB2C" w14:textId="25128D00" w:rsidR="00B42D84" w:rsidRPr="00EE5777" w:rsidRDefault="00024847" w:rsidP="00041613">
      <w:pPr>
        <w:pStyle w:val="Heading4"/>
        <w:spacing w:before="120"/>
        <w:rPr>
          <w:rFonts w:asciiTheme="minorHAnsi" w:hAnsiTheme="minorHAnsi"/>
          <w:bCs/>
          <w:color w:val="000000"/>
          <w:szCs w:val="24"/>
        </w:rPr>
      </w:pPr>
      <w:r w:rsidRPr="00EE5777">
        <w:rPr>
          <w:rFonts w:asciiTheme="minorHAnsi" w:hAnsiTheme="minorHAnsi"/>
          <w:bCs/>
          <w:color w:val="000000"/>
          <w:szCs w:val="24"/>
        </w:rPr>
        <w:t>2.6</w:t>
      </w:r>
      <w:r w:rsidRPr="00EE5777">
        <w:rPr>
          <w:rFonts w:asciiTheme="minorHAnsi" w:hAnsiTheme="minorHAnsi"/>
          <w:bCs/>
          <w:color w:val="000000"/>
          <w:szCs w:val="24"/>
        </w:rPr>
        <w:tab/>
      </w:r>
      <w:r w:rsidR="00B42D84" w:rsidRPr="00EE5777">
        <w:rPr>
          <w:rFonts w:asciiTheme="minorHAnsi" w:hAnsiTheme="minorHAnsi"/>
          <w:bCs/>
          <w:color w:val="000000"/>
          <w:szCs w:val="24"/>
        </w:rPr>
        <w:t>Arab</w:t>
      </w:r>
      <w:r w:rsidR="00AA79AE">
        <w:rPr>
          <w:rFonts w:asciiTheme="minorHAnsi" w:hAnsiTheme="minorHAnsi"/>
          <w:bCs/>
          <w:color w:val="000000"/>
          <w:szCs w:val="24"/>
        </w:rPr>
        <w:t xml:space="preserve"> States</w:t>
      </w:r>
      <w:r w:rsidR="00B42D84" w:rsidRPr="00EE5777">
        <w:rPr>
          <w:rFonts w:asciiTheme="minorHAnsi" w:hAnsiTheme="minorHAnsi"/>
          <w:bCs/>
          <w:color w:val="000000"/>
          <w:szCs w:val="24"/>
        </w:rPr>
        <w:t xml:space="preserve"> region</w:t>
      </w:r>
    </w:p>
    <w:p w14:paraId="201E7641" w14:textId="53B80A4C" w:rsidR="002643DD"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2.6.1</w:t>
      </w:r>
      <w:r w:rsidRPr="00EE5777">
        <w:rPr>
          <w:rFonts w:asciiTheme="minorHAnsi" w:hAnsiTheme="minorHAnsi"/>
          <w:szCs w:val="24"/>
        </w:rPr>
        <w:tab/>
      </w:r>
      <w:r w:rsidR="002643DD" w:rsidRPr="00EE5777">
        <w:rPr>
          <w:rFonts w:asciiTheme="minorHAnsi" w:hAnsiTheme="minorHAnsi"/>
          <w:szCs w:val="24"/>
        </w:rPr>
        <w:t xml:space="preserve">In 2017, BDT implemented project activities under </w:t>
      </w:r>
      <w:r w:rsidR="00DF1A3B">
        <w:rPr>
          <w:rFonts w:asciiTheme="minorHAnsi" w:hAnsiTheme="minorHAnsi"/>
          <w:szCs w:val="24"/>
        </w:rPr>
        <w:t>eight</w:t>
      </w:r>
      <w:r w:rsidR="002643DD" w:rsidRPr="00EE5777">
        <w:rPr>
          <w:rFonts w:asciiTheme="minorHAnsi" w:hAnsiTheme="minorHAnsi"/>
          <w:szCs w:val="24"/>
        </w:rPr>
        <w:t xml:space="preserve"> technical cooperation projects for a total amount of 8</w:t>
      </w:r>
      <w:r w:rsidR="00AD02F9" w:rsidRPr="00EE5777">
        <w:rPr>
          <w:rFonts w:asciiTheme="minorHAnsi" w:hAnsiTheme="minorHAnsi"/>
          <w:szCs w:val="24"/>
        </w:rPr>
        <w:t>60</w:t>
      </w:r>
      <w:r w:rsidR="00DF1A3B">
        <w:rPr>
          <w:rFonts w:asciiTheme="minorHAnsi" w:hAnsiTheme="minorHAnsi"/>
          <w:szCs w:val="24"/>
        </w:rPr>
        <w:t>,000</w:t>
      </w:r>
      <w:r w:rsidR="002643DD" w:rsidRPr="00EE5777">
        <w:rPr>
          <w:rFonts w:asciiTheme="minorHAnsi" w:hAnsiTheme="minorHAnsi"/>
          <w:szCs w:val="24"/>
        </w:rPr>
        <w:t xml:space="preserve"> CHF in the Arab</w:t>
      </w:r>
      <w:r w:rsidR="00AA79AE">
        <w:rPr>
          <w:rFonts w:asciiTheme="minorHAnsi" w:hAnsiTheme="minorHAnsi"/>
          <w:szCs w:val="24"/>
        </w:rPr>
        <w:t xml:space="preserve"> States</w:t>
      </w:r>
      <w:r w:rsidR="002643DD" w:rsidRPr="00EE5777">
        <w:rPr>
          <w:rFonts w:asciiTheme="minorHAnsi" w:hAnsiTheme="minorHAnsi"/>
          <w:szCs w:val="24"/>
        </w:rPr>
        <w:t xml:space="preserve"> region, in collaboration with Member States.</w:t>
      </w:r>
      <w:r w:rsidR="00216EB2" w:rsidRPr="00EE5777">
        <w:rPr>
          <w:rFonts w:asciiTheme="minorHAnsi" w:hAnsiTheme="minorHAnsi"/>
          <w:szCs w:val="24"/>
        </w:rPr>
        <w:t xml:space="preserve"> </w:t>
      </w:r>
      <w:r w:rsidR="002643DD" w:rsidRPr="00EE5777">
        <w:rPr>
          <w:rFonts w:asciiTheme="minorHAnsi" w:hAnsiTheme="minorHAnsi"/>
          <w:szCs w:val="24"/>
        </w:rPr>
        <w:t xml:space="preserve">In addition, </w:t>
      </w:r>
      <w:r w:rsidR="00E44899" w:rsidRPr="00EE5777">
        <w:rPr>
          <w:rFonts w:asciiTheme="minorHAnsi" w:hAnsiTheme="minorHAnsi"/>
          <w:szCs w:val="24"/>
        </w:rPr>
        <w:t xml:space="preserve">activities on </w:t>
      </w:r>
      <w:r w:rsidR="002643DD" w:rsidRPr="00EE5777">
        <w:rPr>
          <w:rFonts w:asciiTheme="minorHAnsi" w:hAnsiTheme="minorHAnsi"/>
          <w:szCs w:val="24"/>
        </w:rPr>
        <w:t>3</w:t>
      </w:r>
      <w:r w:rsidR="00E44899" w:rsidRPr="00EE5777">
        <w:rPr>
          <w:rFonts w:asciiTheme="minorHAnsi" w:hAnsiTheme="minorHAnsi"/>
          <w:szCs w:val="24"/>
        </w:rPr>
        <w:t>2</w:t>
      </w:r>
      <w:r w:rsidR="002643DD" w:rsidRPr="00EE5777">
        <w:rPr>
          <w:rFonts w:asciiTheme="minorHAnsi" w:hAnsiTheme="minorHAnsi"/>
          <w:szCs w:val="24"/>
        </w:rPr>
        <w:t xml:space="preserve"> actions were implemented for an amount of 3</w:t>
      </w:r>
      <w:r w:rsidR="00AD02F9" w:rsidRPr="00EE5777">
        <w:rPr>
          <w:rFonts w:asciiTheme="minorHAnsi" w:hAnsiTheme="minorHAnsi"/>
          <w:szCs w:val="24"/>
        </w:rPr>
        <w:t>69</w:t>
      </w:r>
      <w:r w:rsidR="00DF1A3B">
        <w:rPr>
          <w:rFonts w:asciiTheme="minorHAnsi" w:hAnsiTheme="minorHAnsi"/>
          <w:szCs w:val="24"/>
        </w:rPr>
        <w:t>,000</w:t>
      </w:r>
      <w:r w:rsidR="002643DD" w:rsidRPr="00EE5777">
        <w:rPr>
          <w:rFonts w:asciiTheme="minorHAnsi" w:hAnsiTheme="minorHAnsi"/>
          <w:szCs w:val="24"/>
        </w:rPr>
        <w:t xml:space="preserve"> CHF.</w:t>
      </w:r>
    </w:p>
    <w:p w14:paraId="4BAB6B56" w14:textId="1A5B160C" w:rsidR="006A6482" w:rsidRPr="00EE5777" w:rsidRDefault="00024847" w:rsidP="00D30883">
      <w:pPr>
        <w:tabs>
          <w:tab w:val="clear" w:pos="1134"/>
          <w:tab w:val="clear" w:pos="1701"/>
          <w:tab w:val="clear" w:pos="2268"/>
          <w:tab w:val="clear" w:pos="2835"/>
        </w:tabs>
        <w:snapToGrid w:val="0"/>
        <w:jc w:val="both"/>
        <w:rPr>
          <w:rFonts w:asciiTheme="minorHAnsi" w:hAnsiTheme="minorHAnsi"/>
          <w:color w:val="000000"/>
          <w:szCs w:val="24"/>
        </w:rPr>
      </w:pPr>
      <w:r w:rsidRPr="00EE5777">
        <w:rPr>
          <w:rFonts w:asciiTheme="minorHAnsi" w:hAnsiTheme="minorHAnsi"/>
          <w:szCs w:val="24"/>
        </w:rPr>
        <w:t>2.6.2</w:t>
      </w:r>
      <w:r w:rsidRPr="00EE5777">
        <w:rPr>
          <w:rFonts w:asciiTheme="minorHAnsi" w:hAnsiTheme="minorHAnsi"/>
          <w:szCs w:val="24"/>
        </w:rPr>
        <w:tab/>
      </w:r>
      <w:r w:rsidR="006A6482" w:rsidRPr="00EE5777">
        <w:rPr>
          <w:rFonts w:asciiTheme="minorHAnsi" w:hAnsiTheme="minorHAnsi"/>
          <w:color w:val="000000"/>
          <w:szCs w:val="24"/>
        </w:rPr>
        <w:t xml:space="preserve">Through the ITU Arab </w:t>
      </w:r>
      <w:proofErr w:type="spellStart"/>
      <w:r w:rsidR="006A6482" w:rsidRPr="00EE5777">
        <w:rPr>
          <w:rFonts w:asciiTheme="minorHAnsi" w:hAnsiTheme="minorHAnsi"/>
          <w:color w:val="000000"/>
          <w:szCs w:val="24"/>
        </w:rPr>
        <w:t>CoEs</w:t>
      </w:r>
      <w:proofErr w:type="spellEnd"/>
      <w:r w:rsidR="006A6482" w:rsidRPr="00EE5777">
        <w:rPr>
          <w:rFonts w:asciiTheme="minorHAnsi" w:hAnsiTheme="minorHAnsi"/>
          <w:color w:val="000000"/>
          <w:szCs w:val="24"/>
        </w:rPr>
        <w:t xml:space="preserve"> Network, </w:t>
      </w:r>
      <w:r w:rsidR="00DF1A3B">
        <w:rPr>
          <w:rFonts w:asciiTheme="minorHAnsi" w:hAnsiTheme="minorHAnsi"/>
          <w:color w:val="000000"/>
          <w:szCs w:val="24"/>
        </w:rPr>
        <w:t>ten</w:t>
      </w:r>
      <w:r w:rsidR="006A6482" w:rsidRPr="00EE5777">
        <w:rPr>
          <w:rFonts w:asciiTheme="minorHAnsi" w:hAnsiTheme="minorHAnsi"/>
          <w:color w:val="000000"/>
          <w:szCs w:val="24"/>
        </w:rPr>
        <w:t xml:space="preserve"> capacity building courses were implemented in different aspects of ICTs applications and services, and more than 250 participants were trained. A cooperation agreement was signed with the Deutsche </w:t>
      </w:r>
      <w:proofErr w:type="spellStart"/>
      <w:r w:rsidR="006A6482" w:rsidRPr="00EE5777">
        <w:rPr>
          <w:rFonts w:asciiTheme="minorHAnsi" w:hAnsiTheme="minorHAnsi"/>
          <w:color w:val="000000"/>
          <w:szCs w:val="24"/>
        </w:rPr>
        <w:t>Gesellschaft</w:t>
      </w:r>
      <w:proofErr w:type="spellEnd"/>
      <w:r w:rsidR="006A6482" w:rsidRPr="00EE5777">
        <w:rPr>
          <w:rFonts w:asciiTheme="minorHAnsi" w:hAnsiTheme="minorHAnsi"/>
          <w:color w:val="000000"/>
          <w:szCs w:val="24"/>
        </w:rPr>
        <w:t xml:space="preserve"> </w:t>
      </w:r>
      <w:proofErr w:type="spellStart"/>
      <w:r w:rsidR="006A6482" w:rsidRPr="00EE5777">
        <w:rPr>
          <w:rFonts w:asciiTheme="minorHAnsi" w:hAnsiTheme="minorHAnsi"/>
          <w:color w:val="000000"/>
          <w:szCs w:val="24"/>
        </w:rPr>
        <w:t>für</w:t>
      </w:r>
      <w:proofErr w:type="spellEnd"/>
      <w:r w:rsidR="006A6482" w:rsidRPr="00EE5777">
        <w:rPr>
          <w:rFonts w:asciiTheme="minorHAnsi" w:hAnsiTheme="minorHAnsi"/>
          <w:color w:val="000000"/>
          <w:szCs w:val="24"/>
        </w:rPr>
        <w:t xml:space="preserve"> Internationale </w:t>
      </w:r>
      <w:proofErr w:type="spellStart"/>
      <w:r w:rsidR="006A6482" w:rsidRPr="00EE5777">
        <w:rPr>
          <w:rFonts w:asciiTheme="minorHAnsi" w:hAnsiTheme="minorHAnsi"/>
          <w:color w:val="000000"/>
          <w:szCs w:val="24"/>
        </w:rPr>
        <w:t>Zusammenarbeit</w:t>
      </w:r>
      <w:proofErr w:type="spellEnd"/>
      <w:r w:rsidR="006A6482" w:rsidRPr="00EE5777">
        <w:rPr>
          <w:rFonts w:asciiTheme="minorHAnsi" w:hAnsiTheme="minorHAnsi"/>
          <w:color w:val="000000"/>
          <w:szCs w:val="24"/>
        </w:rPr>
        <w:t xml:space="preserve"> (GIZ) represented by the Employment Promotion Project (EPP) for the organization of </w:t>
      </w:r>
      <w:r w:rsidR="006E079D">
        <w:rPr>
          <w:rFonts w:asciiTheme="minorHAnsi" w:hAnsiTheme="minorHAnsi"/>
          <w:color w:val="000000"/>
          <w:szCs w:val="24"/>
        </w:rPr>
        <w:t>“</w:t>
      </w:r>
      <w:r w:rsidR="006A6482" w:rsidRPr="00EE5777">
        <w:rPr>
          <w:rFonts w:asciiTheme="minorHAnsi" w:hAnsiTheme="minorHAnsi"/>
          <w:color w:val="000000"/>
          <w:szCs w:val="24"/>
        </w:rPr>
        <w:t>Girls in ICT Day Events</w:t>
      </w:r>
      <w:r w:rsidR="006E079D">
        <w:rPr>
          <w:rFonts w:asciiTheme="minorHAnsi" w:hAnsiTheme="minorHAnsi"/>
          <w:color w:val="000000"/>
          <w:szCs w:val="24"/>
        </w:rPr>
        <w:t>”</w:t>
      </w:r>
      <w:r w:rsidR="006A6482" w:rsidRPr="00EE5777">
        <w:rPr>
          <w:rFonts w:asciiTheme="minorHAnsi" w:hAnsiTheme="minorHAnsi"/>
          <w:color w:val="000000"/>
          <w:szCs w:val="24"/>
        </w:rPr>
        <w:t xml:space="preserve"> until 2019. Assistance was provided to the Arab Incubators and </w:t>
      </w:r>
      <w:proofErr w:type="spellStart"/>
      <w:r w:rsidR="006A6482" w:rsidRPr="00EE5777">
        <w:rPr>
          <w:rFonts w:asciiTheme="minorHAnsi" w:hAnsiTheme="minorHAnsi"/>
          <w:color w:val="000000"/>
          <w:szCs w:val="24"/>
        </w:rPr>
        <w:t>Technoparks</w:t>
      </w:r>
      <w:proofErr w:type="spellEnd"/>
      <w:r w:rsidR="006A6482" w:rsidRPr="00EE5777">
        <w:rPr>
          <w:rFonts w:asciiTheme="minorHAnsi" w:hAnsiTheme="minorHAnsi"/>
          <w:color w:val="000000"/>
          <w:szCs w:val="24"/>
        </w:rPr>
        <w:t xml:space="preserve"> Network (ARTECNET), and a study was conducted on broadband networks and IXPs development. </w:t>
      </w:r>
    </w:p>
    <w:p w14:paraId="0A41A646" w14:textId="566FE285" w:rsidR="006A6482" w:rsidRPr="00EE5777" w:rsidRDefault="00024847" w:rsidP="00041613">
      <w:pPr>
        <w:tabs>
          <w:tab w:val="clear" w:pos="1134"/>
          <w:tab w:val="clear" w:pos="1701"/>
          <w:tab w:val="clear" w:pos="2268"/>
          <w:tab w:val="clear" w:pos="2835"/>
        </w:tabs>
        <w:snapToGrid w:val="0"/>
        <w:jc w:val="both"/>
        <w:rPr>
          <w:rFonts w:asciiTheme="minorHAnsi" w:hAnsiTheme="minorHAnsi"/>
          <w:color w:val="000000"/>
          <w:szCs w:val="24"/>
        </w:rPr>
      </w:pPr>
      <w:r w:rsidRPr="00EE5777">
        <w:rPr>
          <w:rFonts w:asciiTheme="minorHAnsi" w:hAnsiTheme="minorHAnsi"/>
          <w:color w:val="000000"/>
          <w:szCs w:val="24"/>
        </w:rPr>
        <w:t>2.6.3</w:t>
      </w:r>
      <w:r w:rsidRPr="00EE5777">
        <w:rPr>
          <w:rFonts w:asciiTheme="minorHAnsi" w:hAnsiTheme="minorHAnsi"/>
          <w:color w:val="000000"/>
          <w:szCs w:val="24"/>
        </w:rPr>
        <w:tab/>
      </w:r>
      <w:r w:rsidR="006A6482" w:rsidRPr="00EE5777">
        <w:rPr>
          <w:rFonts w:asciiTheme="minorHAnsi" w:hAnsiTheme="minorHAnsi"/>
          <w:color w:val="000000"/>
          <w:szCs w:val="24"/>
        </w:rPr>
        <w:t>Capacity</w:t>
      </w:r>
      <w:r w:rsidR="00DF1A3B">
        <w:rPr>
          <w:rFonts w:asciiTheme="minorHAnsi" w:hAnsiTheme="minorHAnsi"/>
          <w:color w:val="000000"/>
          <w:szCs w:val="24"/>
        </w:rPr>
        <w:t>-</w:t>
      </w:r>
      <w:r w:rsidR="006A6482" w:rsidRPr="00EE5777">
        <w:rPr>
          <w:rFonts w:asciiTheme="minorHAnsi" w:hAnsiTheme="minorHAnsi"/>
          <w:color w:val="000000"/>
          <w:szCs w:val="24"/>
        </w:rPr>
        <w:t xml:space="preserve">building activities on </w:t>
      </w:r>
      <w:proofErr w:type="spellStart"/>
      <w:r w:rsidR="006A6482" w:rsidRPr="00EE5777">
        <w:rPr>
          <w:rFonts w:asciiTheme="minorHAnsi" w:hAnsiTheme="minorHAnsi"/>
          <w:color w:val="000000"/>
          <w:szCs w:val="24"/>
        </w:rPr>
        <w:t>IoT</w:t>
      </w:r>
      <w:proofErr w:type="spellEnd"/>
      <w:r w:rsidR="006A6482" w:rsidRPr="00EE5777">
        <w:rPr>
          <w:rFonts w:asciiTheme="minorHAnsi" w:hAnsiTheme="minorHAnsi"/>
          <w:color w:val="000000"/>
          <w:szCs w:val="24"/>
        </w:rPr>
        <w:t>, Smart cities development, ICT</w:t>
      </w:r>
      <w:r w:rsidR="00DF1A3B">
        <w:rPr>
          <w:rFonts w:asciiTheme="minorHAnsi" w:hAnsiTheme="minorHAnsi"/>
          <w:color w:val="000000"/>
          <w:szCs w:val="24"/>
        </w:rPr>
        <w:t>s</w:t>
      </w:r>
      <w:r w:rsidR="006A6482" w:rsidRPr="00EE5777">
        <w:rPr>
          <w:rFonts w:asciiTheme="minorHAnsi" w:hAnsiTheme="minorHAnsi"/>
          <w:color w:val="000000"/>
          <w:szCs w:val="24"/>
        </w:rPr>
        <w:t xml:space="preserve"> and Climate Change, and ICTs for Disaster Management were organized in the Arab</w:t>
      </w:r>
      <w:r w:rsidR="00AA79AE">
        <w:rPr>
          <w:rFonts w:asciiTheme="minorHAnsi" w:hAnsiTheme="minorHAnsi"/>
          <w:color w:val="000000"/>
          <w:szCs w:val="24"/>
        </w:rPr>
        <w:t xml:space="preserve"> States</w:t>
      </w:r>
      <w:r w:rsidR="006A6482" w:rsidRPr="00EE5777">
        <w:rPr>
          <w:rFonts w:asciiTheme="minorHAnsi" w:hAnsiTheme="minorHAnsi"/>
          <w:color w:val="000000"/>
          <w:szCs w:val="24"/>
        </w:rPr>
        <w:t xml:space="preserve"> Region.</w:t>
      </w:r>
      <w:r w:rsidR="00216EB2" w:rsidRPr="00EE5777">
        <w:rPr>
          <w:rFonts w:asciiTheme="minorHAnsi" w:hAnsiTheme="minorHAnsi"/>
          <w:color w:val="000000"/>
          <w:szCs w:val="24"/>
        </w:rPr>
        <w:t xml:space="preserve"> </w:t>
      </w:r>
      <w:r w:rsidR="006A6482" w:rsidRPr="00EE5777">
        <w:rPr>
          <w:rFonts w:asciiTheme="minorHAnsi" w:hAnsiTheme="minorHAnsi"/>
          <w:color w:val="000000"/>
          <w:szCs w:val="24"/>
        </w:rPr>
        <w:t>Direct assistance was provided to Palestine, Somalia</w:t>
      </w:r>
      <w:r w:rsidR="00DF1A3B">
        <w:rPr>
          <w:rFonts w:asciiTheme="minorHAnsi" w:hAnsiTheme="minorHAnsi"/>
          <w:color w:val="000000"/>
          <w:szCs w:val="24"/>
        </w:rPr>
        <w:t>,</w:t>
      </w:r>
      <w:r w:rsidR="006A6482" w:rsidRPr="00EE5777">
        <w:rPr>
          <w:rFonts w:asciiTheme="minorHAnsi" w:hAnsiTheme="minorHAnsi"/>
          <w:color w:val="000000"/>
          <w:szCs w:val="24"/>
        </w:rPr>
        <w:t xml:space="preserve"> and Sudan on mobile number portability, national numbering</w:t>
      </w:r>
      <w:r w:rsidR="00DF1A3B">
        <w:rPr>
          <w:rFonts w:asciiTheme="minorHAnsi" w:hAnsiTheme="minorHAnsi"/>
          <w:color w:val="000000"/>
          <w:szCs w:val="24"/>
        </w:rPr>
        <w:t>,</w:t>
      </w:r>
      <w:r w:rsidR="006A6482" w:rsidRPr="00EE5777">
        <w:rPr>
          <w:rFonts w:asciiTheme="minorHAnsi" w:hAnsiTheme="minorHAnsi"/>
          <w:color w:val="000000"/>
          <w:szCs w:val="24"/>
        </w:rPr>
        <w:t xml:space="preserve"> and appraisal systems, respectively. Furthermore, capacity</w:t>
      </w:r>
      <w:r w:rsidR="00DF1A3B">
        <w:rPr>
          <w:rFonts w:asciiTheme="minorHAnsi" w:hAnsiTheme="minorHAnsi"/>
          <w:color w:val="000000"/>
          <w:szCs w:val="24"/>
        </w:rPr>
        <w:t>-</w:t>
      </w:r>
      <w:r w:rsidR="006A6482" w:rsidRPr="00EE5777">
        <w:rPr>
          <w:rFonts w:asciiTheme="minorHAnsi" w:hAnsiTheme="minorHAnsi"/>
          <w:color w:val="000000"/>
          <w:szCs w:val="24"/>
        </w:rPr>
        <w:t>building assistance was provided to countries in the area of spectrum management and frequency coordination.</w:t>
      </w:r>
      <w:r w:rsidR="00216EB2" w:rsidRPr="00EE5777">
        <w:rPr>
          <w:rFonts w:asciiTheme="minorHAnsi" w:hAnsiTheme="minorHAnsi"/>
          <w:color w:val="000000"/>
          <w:szCs w:val="24"/>
        </w:rPr>
        <w:t xml:space="preserve"> </w:t>
      </w:r>
      <w:r w:rsidR="006A6482" w:rsidRPr="00EE5777">
        <w:rPr>
          <w:rFonts w:asciiTheme="minorHAnsi" w:hAnsiTheme="minorHAnsi"/>
          <w:color w:val="000000"/>
          <w:szCs w:val="24"/>
        </w:rPr>
        <w:t>Efforts were continued in relation to cyber security through annual regional summit and annual regional Cyber Drills as well as child online protection activities.</w:t>
      </w:r>
      <w:r w:rsidR="00216EB2" w:rsidRPr="00EE5777">
        <w:rPr>
          <w:rFonts w:asciiTheme="minorHAnsi" w:hAnsiTheme="minorHAnsi"/>
          <w:color w:val="000000"/>
          <w:szCs w:val="24"/>
        </w:rPr>
        <w:t xml:space="preserve"> </w:t>
      </w:r>
      <w:r w:rsidR="006A6482" w:rsidRPr="00EE5777">
        <w:rPr>
          <w:rFonts w:asciiTheme="minorHAnsi" w:hAnsiTheme="minorHAnsi"/>
          <w:color w:val="000000"/>
          <w:szCs w:val="24"/>
        </w:rPr>
        <w:t>ICT Accessibility was promoted regionally through the organization of Regional ICT Accessibility Week.</w:t>
      </w:r>
    </w:p>
    <w:p w14:paraId="139491B7" w14:textId="77777777" w:rsidR="00B42D84" w:rsidRPr="00EE5777" w:rsidRDefault="00024847" w:rsidP="00041613">
      <w:pPr>
        <w:pStyle w:val="Heading4"/>
        <w:spacing w:before="120"/>
        <w:rPr>
          <w:rFonts w:asciiTheme="minorHAnsi" w:hAnsiTheme="minorHAnsi"/>
          <w:b w:val="0"/>
          <w:bCs/>
          <w:color w:val="000000"/>
          <w:szCs w:val="24"/>
        </w:rPr>
      </w:pPr>
      <w:r w:rsidRPr="00EE5777">
        <w:rPr>
          <w:rFonts w:asciiTheme="minorHAnsi" w:hAnsiTheme="minorHAnsi"/>
          <w:bCs/>
          <w:color w:val="000000"/>
          <w:szCs w:val="24"/>
        </w:rPr>
        <w:t>2.7</w:t>
      </w:r>
      <w:r w:rsidRPr="00EE5777">
        <w:rPr>
          <w:rFonts w:asciiTheme="minorHAnsi" w:hAnsiTheme="minorHAnsi"/>
          <w:bCs/>
          <w:color w:val="000000"/>
          <w:szCs w:val="24"/>
        </w:rPr>
        <w:tab/>
      </w:r>
      <w:r w:rsidR="00B42D84" w:rsidRPr="00EE5777">
        <w:rPr>
          <w:rFonts w:asciiTheme="minorHAnsi" w:hAnsiTheme="minorHAnsi"/>
          <w:bCs/>
          <w:color w:val="000000"/>
          <w:szCs w:val="24"/>
        </w:rPr>
        <w:t>Asia and the Pacific region</w:t>
      </w:r>
    </w:p>
    <w:p w14:paraId="45A6DB7E" w14:textId="54D83C1E" w:rsidR="00DE2F6B" w:rsidRPr="00EE5777" w:rsidRDefault="00024847" w:rsidP="00373996">
      <w:pPr>
        <w:jc w:val="both"/>
        <w:rPr>
          <w:rFonts w:asciiTheme="minorHAnsi" w:hAnsiTheme="minorHAnsi"/>
          <w:szCs w:val="24"/>
        </w:rPr>
      </w:pPr>
      <w:r w:rsidRPr="00EE5777">
        <w:rPr>
          <w:rFonts w:asciiTheme="minorHAnsi" w:hAnsiTheme="minorHAnsi"/>
          <w:szCs w:val="24"/>
        </w:rPr>
        <w:t>2.7.1</w:t>
      </w:r>
      <w:r w:rsidRPr="00EE5777">
        <w:rPr>
          <w:rFonts w:asciiTheme="minorHAnsi" w:hAnsiTheme="minorHAnsi"/>
          <w:szCs w:val="24"/>
        </w:rPr>
        <w:tab/>
      </w:r>
      <w:r w:rsidR="002643DD" w:rsidRPr="00EE5777">
        <w:rPr>
          <w:rFonts w:asciiTheme="minorHAnsi" w:hAnsiTheme="minorHAnsi"/>
          <w:szCs w:val="24"/>
        </w:rPr>
        <w:t>In 2017, BDT implemented project activities under 14 technical cooperation projects for a total amount of about 1.</w:t>
      </w:r>
      <w:r w:rsidR="00F30FD3" w:rsidRPr="00EE5777">
        <w:rPr>
          <w:rFonts w:asciiTheme="minorHAnsi" w:hAnsiTheme="minorHAnsi"/>
          <w:szCs w:val="24"/>
        </w:rPr>
        <w:t>4</w:t>
      </w:r>
      <w:r w:rsidR="002643DD" w:rsidRPr="00EE5777">
        <w:rPr>
          <w:rFonts w:asciiTheme="minorHAnsi" w:hAnsiTheme="minorHAnsi"/>
          <w:szCs w:val="24"/>
        </w:rPr>
        <w:t xml:space="preserve"> million CHF in the Asia</w:t>
      </w:r>
      <w:r w:rsidR="002F5188" w:rsidRPr="00EE5777">
        <w:rPr>
          <w:rFonts w:asciiTheme="minorHAnsi" w:hAnsiTheme="minorHAnsi"/>
          <w:szCs w:val="24"/>
        </w:rPr>
        <w:t xml:space="preserve"> and the </w:t>
      </w:r>
      <w:r w:rsidR="002643DD" w:rsidRPr="00EE5777">
        <w:rPr>
          <w:rFonts w:asciiTheme="minorHAnsi" w:hAnsiTheme="minorHAnsi"/>
          <w:szCs w:val="24"/>
        </w:rPr>
        <w:t>Pacific region, in collaboration with Member States.</w:t>
      </w:r>
      <w:r w:rsidR="00216EB2" w:rsidRPr="00EE5777">
        <w:rPr>
          <w:rFonts w:asciiTheme="minorHAnsi" w:hAnsiTheme="minorHAnsi"/>
          <w:szCs w:val="24"/>
        </w:rPr>
        <w:t xml:space="preserve"> </w:t>
      </w:r>
      <w:r w:rsidR="002643DD" w:rsidRPr="00EE5777">
        <w:rPr>
          <w:rFonts w:asciiTheme="minorHAnsi" w:hAnsiTheme="minorHAnsi"/>
          <w:szCs w:val="24"/>
        </w:rPr>
        <w:t xml:space="preserve">In addition, </w:t>
      </w:r>
      <w:r w:rsidR="00AA5D66" w:rsidRPr="00EE5777">
        <w:rPr>
          <w:rFonts w:asciiTheme="minorHAnsi" w:hAnsiTheme="minorHAnsi"/>
          <w:szCs w:val="24"/>
        </w:rPr>
        <w:t xml:space="preserve">activities on </w:t>
      </w:r>
      <w:r w:rsidR="00E44899" w:rsidRPr="00EE5777">
        <w:rPr>
          <w:rFonts w:asciiTheme="minorHAnsi" w:hAnsiTheme="minorHAnsi"/>
          <w:szCs w:val="24"/>
        </w:rPr>
        <w:t>40</w:t>
      </w:r>
      <w:r w:rsidR="002643DD" w:rsidRPr="00EE5777">
        <w:rPr>
          <w:rFonts w:asciiTheme="minorHAnsi" w:hAnsiTheme="minorHAnsi"/>
          <w:szCs w:val="24"/>
        </w:rPr>
        <w:t xml:space="preserve"> actions were implemented for an amount of 3</w:t>
      </w:r>
      <w:r w:rsidR="00AA5D66" w:rsidRPr="00EE5777">
        <w:rPr>
          <w:rFonts w:asciiTheme="minorHAnsi" w:hAnsiTheme="minorHAnsi"/>
          <w:szCs w:val="24"/>
        </w:rPr>
        <w:t>71</w:t>
      </w:r>
      <w:r w:rsidR="00DF1A3B">
        <w:rPr>
          <w:rFonts w:asciiTheme="minorHAnsi" w:hAnsiTheme="minorHAnsi"/>
          <w:szCs w:val="24"/>
        </w:rPr>
        <w:t>,000</w:t>
      </w:r>
      <w:r w:rsidR="002643DD" w:rsidRPr="00EE5777">
        <w:rPr>
          <w:rFonts w:asciiTheme="minorHAnsi" w:hAnsiTheme="minorHAnsi"/>
          <w:szCs w:val="24"/>
        </w:rPr>
        <w:t xml:space="preserve"> CHF.</w:t>
      </w:r>
    </w:p>
    <w:p w14:paraId="2D3F4B97" w14:textId="77777777" w:rsidR="00DE2F6B" w:rsidRPr="00EE5777" w:rsidRDefault="00024847" w:rsidP="00373996">
      <w:pPr>
        <w:jc w:val="both"/>
        <w:rPr>
          <w:rFonts w:asciiTheme="minorHAnsi" w:eastAsiaTheme="minorHAnsi" w:hAnsiTheme="minorHAnsi" w:cstheme="minorBidi"/>
          <w:szCs w:val="24"/>
        </w:rPr>
      </w:pPr>
      <w:r w:rsidRPr="00EE5777">
        <w:rPr>
          <w:rFonts w:asciiTheme="minorHAnsi" w:hAnsiTheme="minorHAnsi"/>
          <w:szCs w:val="24"/>
        </w:rPr>
        <w:lastRenderedPageBreak/>
        <w:t>2.7.2</w:t>
      </w:r>
      <w:r w:rsidRPr="00EE5777">
        <w:rPr>
          <w:rFonts w:asciiTheme="minorHAnsi" w:hAnsiTheme="minorHAnsi"/>
          <w:szCs w:val="24"/>
        </w:rPr>
        <w:tab/>
      </w:r>
      <w:r w:rsidR="0018021C" w:rsidRPr="00EE5777">
        <w:rPr>
          <w:rFonts w:asciiTheme="minorHAnsi" w:eastAsiaTheme="minorHAnsi" w:hAnsiTheme="minorHAnsi" w:cstheme="minorBidi"/>
          <w:szCs w:val="24"/>
        </w:rPr>
        <w:t>The key emphasis was on capacity building and specialized assistances in the areas of spectrum management and developing spectrum monitoring plans, policy and regulatory frameworks, cybersecurity and child online protection, broadband, conformance, interoperability and type approvals, broadcasting, ICT applications, converged licensing, quality of service, ICT Indicators and Statistics, Internet of Things, internet exchange, content delivery network interconnection and the implementation of IPv6, ICTs for promoting innovation and entrepreneurship, ICTs for the empowerment of women, e-governance, smart and sustainable cities,</w:t>
      </w:r>
      <w:r w:rsidR="00216EB2" w:rsidRPr="00EE5777">
        <w:rPr>
          <w:rFonts w:asciiTheme="minorHAnsi" w:eastAsiaTheme="minorHAnsi" w:hAnsiTheme="minorHAnsi" w:cstheme="minorBidi"/>
          <w:szCs w:val="24"/>
        </w:rPr>
        <w:t xml:space="preserve"> </w:t>
      </w:r>
      <w:r w:rsidR="0018021C" w:rsidRPr="00EE5777">
        <w:rPr>
          <w:rFonts w:asciiTheme="minorHAnsi" w:eastAsiaTheme="minorHAnsi" w:hAnsiTheme="minorHAnsi" w:cstheme="minorBidi"/>
          <w:szCs w:val="24"/>
        </w:rPr>
        <w:t>e-agriculture, and other technical and regulatory assistances.</w:t>
      </w:r>
    </w:p>
    <w:p w14:paraId="70439906" w14:textId="77777777" w:rsidR="0018021C" w:rsidRPr="00EE5777" w:rsidRDefault="00024847" w:rsidP="00373996">
      <w:pPr>
        <w:jc w:val="both"/>
        <w:rPr>
          <w:rFonts w:asciiTheme="minorHAnsi" w:eastAsiaTheme="minorHAnsi" w:hAnsiTheme="minorHAnsi" w:cstheme="minorBidi"/>
          <w:szCs w:val="24"/>
        </w:rPr>
      </w:pPr>
      <w:r w:rsidRPr="00EE5777">
        <w:rPr>
          <w:rFonts w:asciiTheme="minorHAnsi" w:eastAsiaTheme="minorHAnsi" w:hAnsiTheme="minorHAnsi" w:cstheme="minorBidi"/>
          <w:spacing w:val="4"/>
          <w:szCs w:val="24"/>
        </w:rPr>
        <w:t>2.7.3</w:t>
      </w:r>
      <w:r w:rsidRPr="00EE5777">
        <w:rPr>
          <w:rFonts w:asciiTheme="minorHAnsi" w:eastAsiaTheme="minorHAnsi" w:hAnsiTheme="minorHAnsi" w:cstheme="minorBidi"/>
          <w:spacing w:val="4"/>
          <w:szCs w:val="24"/>
        </w:rPr>
        <w:tab/>
      </w:r>
      <w:r w:rsidR="0018021C" w:rsidRPr="00EE5777">
        <w:rPr>
          <w:rFonts w:asciiTheme="minorHAnsi" w:eastAsiaTheme="minorHAnsi" w:hAnsiTheme="minorHAnsi" w:cstheme="minorBidi"/>
          <w:spacing w:val="4"/>
          <w:szCs w:val="24"/>
        </w:rPr>
        <w:t>In the area of training, emphasis continued to focus on smart sustainable technologies, e-applications, cloud computing, IPv6 infrastructure security and transition, internet exchange points, cybersecurity and child online protection, ICT indicators and statistics, broadband technologies and roadmaps, conformity and interoperability, Internet of Things, spectrum economics, monitoring and automation tools (SMS4DC), preparing for international conferences, developing e-strategies (agriculture, health, postal service, telecommunication), cost modelling for wholesale, retail and mobile networks</w:t>
      </w:r>
      <w:r w:rsidR="00DF1A3B">
        <w:rPr>
          <w:rFonts w:asciiTheme="minorHAnsi" w:eastAsiaTheme="minorHAnsi" w:hAnsiTheme="minorHAnsi" w:cstheme="minorBidi"/>
          <w:spacing w:val="4"/>
          <w:szCs w:val="24"/>
        </w:rPr>
        <w:t>,</w:t>
      </w:r>
      <w:r w:rsidR="0018021C" w:rsidRPr="00EE5777">
        <w:rPr>
          <w:rFonts w:asciiTheme="minorHAnsi" w:eastAsiaTheme="minorHAnsi" w:hAnsiTheme="minorHAnsi" w:cstheme="minorBidi"/>
          <w:spacing w:val="4"/>
          <w:szCs w:val="24"/>
        </w:rPr>
        <w:t xml:space="preserve"> and broadcasting, among others.</w:t>
      </w:r>
    </w:p>
    <w:p w14:paraId="6C526BB8" w14:textId="77777777" w:rsidR="00B42D84" w:rsidRPr="00EE5777" w:rsidRDefault="00024847" w:rsidP="00373996">
      <w:pPr>
        <w:pStyle w:val="Heading4"/>
        <w:spacing w:before="120"/>
        <w:jc w:val="both"/>
        <w:rPr>
          <w:rFonts w:asciiTheme="minorHAnsi" w:hAnsiTheme="minorHAnsi"/>
          <w:b w:val="0"/>
          <w:bCs/>
          <w:color w:val="000000"/>
          <w:szCs w:val="24"/>
        </w:rPr>
      </w:pPr>
      <w:r w:rsidRPr="00EE5777">
        <w:rPr>
          <w:rFonts w:asciiTheme="minorHAnsi" w:hAnsiTheme="minorHAnsi"/>
          <w:bCs/>
          <w:color w:val="000000"/>
          <w:szCs w:val="24"/>
        </w:rPr>
        <w:t>2.8</w:t>
      </w:r>
      <w:r w:rsidRPr="00EE5777">
        <w:rPr>
          <w:rFonts w:asciiTheme="minorHAnsi" w:hAnsiTheme="minorHAnsi"/>
          <w:bCs/>
          <w:color w:val="000000"/>
          <w:szCs w:val="24"/>
        </w:rPr>
        <w:tab/>
      </w:r>
      <w:r w:rsidR="00B42D84" w:rsidRPr="00EE5777">
        <w:rPr>
          <w:rFonts w:asciiTheme="minorHAnsi" w:hAnsiTheme="minorHAnsi"/>
          <w:bCs/>
          <w:color w:val="000000"/>
          <w:szCs w:val="24"/>
        </w:rPr>
        <w:t>CIS region</w:t>
      </w:r>
    </w:p>
    <w:p w14:paraId="30FB6B74" w14:textId="5E7EDE46" w:rsidR="002F5188" w:rsidRPr="00EE5777" w:rsidRDefault="00024847" w:rsidP="00DF1A3B">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2.8.1</w:t>
      </w:r>
      <w:r w:rsidRPr="00EE5777">
        <w:rPr>
          <w:rFonts w:asciiTheme="minorHAnsi" w:hAnsiTheme="minorHAnsi"/>
          <w:szCs w:val="24"/>
        </w:rPr>
        <w:tab/>
      </w:r>
      <w:r w:rsidR="002F5188" w:rsidRPr="00EE5777">
        <w:rPr>
          <w:rFonts w:asciiTheme="minorHAnsi" w:hAnsiTheme="minorHAnsi"/>
          <w:szCs w:val="24"/>
        </w:rPr>
        <w:t xml:space="preserve">In 2017, BDT implemented </w:t>
      </w:r>
      <w:r w:rsidR="00E44899" w:rsidRPr="00EE5777">
        <w:rPr>
          <w:rFonts w:asciiTheme="minorHAnsi" w:hAnsiTheme="minorHAnsi"/>
          <w:szCs w:val="24"/>
        </w:rPr>
        <w:t xml:space="preserve">activities on </w:t>
      </w:r>
      <w:r w:rsidR="00EE7CF6" w:rsidRPr="00EE5777">
        <w:rPr>
          <w:rFonts w:asciiTheme="minorHAnsi" w:hAnsiTheme="minorHAnsi"/>
          <w:szCs w:val="24"/>
        </w:rPr>
        <w:t>19</w:t>
      </w:r>
      <w:r w:rsidR="002F5188" w:rsidRPr="00EE5777">
        <w:rPr>
          <w:rFonts w:asciiTheme="minorHAnsi" w:hAnsiTheme="minorHAnsi"/>
          <w:szCs w:val="24"/>
        </w:rPr>
        <w:t xml:space="preserve"> actions for an amount of </w:t>
      </w:r>
      <w:r w:rsidR="00EE7CF6" w:rsidRPr="00EE5777">
        <w:rPr>
          <w:rFonts w:asciiTheme="minorHAnsi" w:hAnsiTheme="minorHAnsi"/>
          <w:szCs w:val="24"/>
        </w:rPr>
        <w:t>2</w:t>
      </w:r>
      <w:r w:rsidR="00015F0F" w:rsidRPr="00EE5777">
        <w:rPr>
          <w:rFonts w:asciiTheme="minorHAnsi" w:hAnsiTheme="minorHAnsi"/>
          <w:szCs w:val="24"/>
        </w:rPr>
        <w:t>31</w:t>
      </w:r>
      <w:r w:rsidR="00DF1A3B">
        <w:rPr>
          <w:rFonts w:asciiTheme="minorHAnsi" w:hAnsiTheme="minorHAnsi"/>
          <w:szCs w:val="24"/>
        </w:rPr>
        <w:t>,000</w:t>
      </w:r>
      <w:r w:rsidR="002F5188" w:rsidRPr="00EE5777">
        <w:rPr>
          <w:rFonts w:asciiTheme="minorHAnsi" w:hAnsiTheme="minorHAnsi"/>
          <w:szCs w:val="24"/>
        </w:rPr>
        <w:t xml:space="preserve"> CHF.</w:t>
      </w:r>
    </w:p>
    <w:p w14:paraId="3856137D" w14:textId="07B7EF19" w:rsidR="0054281F" w:rsidRPr="00EE5777" w:rsidRDefault="00024847" w:rsidP="00373996">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2.8.2</w:t>
      </w:r>
      <w:r w:rsidRPr="00EE5777">
        <w:rPr>
          <w:rFonts w:asciiTheme="minorHAnsi" w:hAnsiTheme="minorHAnsi"/>
          <w:szCs w:val="24"/>
        </w:rPr>
        <w:tab/>
      </w:r>
      <w:r w:rsidR="0054281F" w:rsidRPr="00EE5777">
        <w:rPr>
          <w:rFonts w:asciiTheme="minorHAnsi" w:hAnsiTheme="minorHAnsi"/>
          <w:szCs w:val="24"/>
        </w:rPr>
        <w:t>All five WTDC-14 Regional Initiatives were implemented.</w:t>
      </w:r>
      <w:r w:rsidR="00216EB2" w:rsidRPr="00EE5777">
        <w:rPr>
          <w:rFonts w:asciiTheme="minorHAnsi" w:hAnsiTheme="minorHAnsi"/>
          <w:szCs w:val="24"/>
        </w:rPr>
        <w:t xml:space="preserve"> </w:t>
      </w:r>
      <w:r w:rsidR="0054281F" w:rsidRPr="00EE5777">
        <w:rPr>
          <w:rFonts w:asciiTheme="minorHAnsi" w:hAnsiTheme="minorHAnsi"/>
          <w:szCs w:val="24"/>
        </w:rPr>
        <w:t>Major outputs of CIS Regional Initiatives in 2017</w:t>
      </w:r>
      <w:r w:rsidR="00495653" w:rsidRPr="00EE5777">
        <w:rPr>
          <w:rFonts w:asciiTheme="minorHAnsi" w:hAnsiTheme="minorHAnsi"/>
          <w:szCs w:val="24"/>
        </w:rPr>
        <w:t xml:space="preserve"> were</w:t>
      </w:r>
      <w:r w:rsidR="0054281F" w:rsidRPr="00EE5777">
        <w:rPr>
          <w:rFonts w:asciiTheme="minorHAnsi" w:hAnsiTheme="minorHAnsi"/>
          <w:szCs w:val="24"/>
        </w:rPr>
        <w:t xml:space="preserve"> Internet Access and Training Centre for persons with hearing disabilities in Vitebsk, Republic</w:t>
      </w:r>
      <w:r w:rsidR="00495653" w:rsidRPr="00EE5777">
        <w:rPr>
          <w:rFonts w:asciiTheme="minorHAnsi" w:hAnsiTheme="minorHAnsi"/>
          <w:szCs w:val="24"/>
        </w:rPr>
        <w:t xml:space="preserve"> of Belarus (</w:t>
      </w:r>
      <w:r w:rsidR="00DF1A3B">
        <w:rPr>
          <w:rFonts w:asciiTheme="minorHAnsi" w:hAnsiTheme="minorHAnsi"/>
          <w:szCs w:val="24"/>
        </w:rPr>
        <w:t>five</w:t>
      </w:r>
      <w:r w:rsidR="00495653" w:rsidRPr="00EE5777">
        <w:rPr>
          <w:rFonts w:asciiTheme="minorHAnsi" w:hAnsiTheme="minorHAnsi"/>
          <w:szCs w:val="24"/>
        </w:rPr>
        <w:t xml:space="preserve"> working places) and the </w:t>
      </w:r>
      <w:r w:rsidR="0054281F" w:rsidRPr="00EE5777">
        <w:rPr>
          <w:rFonts w:asciiTheme="minorHAnsi" w:hAnsiTheme="minorHAnsi"/>
          <w:szCs w:val="24"/>
        </w:rPr>
        <w:t>software that helps to select the most feasible solution for broadband deployment in all cities and settlements in CIS and Georgia (</w:t>
      </w:r>
      <w:hyperlink r:id="rId22" w:history="1">
        <w:r w:rsidR="00495653" w:rsidRPr="00EE5777">
          <w:rPr>
            <w:rStyle w:val="Hyperlink"/>
            <w:rFonts w:asciiTheme="minorHAnsi" w:hAnsiTheme="minorHAnsi"/>
            <w:szCs w:val="24"/>
          </w:rPr>
          <w:t>https://broadbandcalculator.online</w:t>
        </w:r>
      </w:hyperlink>
      <w:r w:rsidR="0054281F" w:rsidRPr="00EE5777">
        <w:rPr>
          <w:rFonts w:asciiTheme="minorHAnsi" w:hAnsiTheme="minorHAnsi"/>
          <w:szCs w:val="24"/>
        </w:rPr>
        <w:t>)</w:t>
      </w:r>
      <w:r w:rsidR="00495653" w:rsidRPr="00EE5777">
        <w:rPr>
          <w:rFonts w:asciiTheme="minorHAnsi" w:hAnsiTheme="minorHAnsi"/>
          <w:szCs w:val="24"/>
        </w:rPr>
        <w:t>, among others</w:t>
      </w:r>
      <w:r w:rsidR="0054281F" w:rsidRPr="00EE5777">
        <w:rPr>
          <w:rFonts w:asciiTheme="minorHAnsi" w:hAnsiTheme="minorHAnsi"/>
          <w:szCs w:val="24"/>
        </w:rPr>
        <w:t>.</w:t>
      </w:r>
    </w:p>
    <w:p w14:paraId="59366DC9" w14:textId="37CBB29F" w:rsidR="0054281F"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2.8.3</w:t>
      </w:r>
      <w:r w:rsidRPr="00EE5777">
        <w:rPr>
          <w:rFonts w:asciiTheme="minorHAnsi" w:hAnsiTheme="minorHAnsi"/>
          <w:szCs w:val="24"/>
        </w:rPr>
        <w:tab/>
      </w:r>
      <w:r w:rsidR="0054281F" w:rsidRPr="00EE5777">
        <w:rPr>
          <w:rFonts w:asciiTheme="minorHAnsi" w:hAnsiTheme="minorHAnsi"/>
          <w:szCs w:val="24"/>
        </w:rPr>
        <w:t>Following demand from ITU membership in the CIS region, areas of capacity-building activities and regional discussion</w:t>
      </w:r>
      <w:r w:rsidR="00495653" w:rsidRPr="00EE5777">
        <w:rPr>
          <w:rFonts w:asciiTheme="minorHAnsi" w:hAnsiTheme="minorHAnsi"/>
          <w:szCs w:val="24"/>
        </w:rPr>
        <w:t>s</w:t>
      </w:r>
      <w:r w:rsidR="0054281F" w:rsidRPr="00EE5777">
        <w:rPr>
          <w:rFonts w:asciiTheme="minorHAnsi" w:hAnsiTheme="minorHAnsi"/>
          <w:szCs w:val="24"/>
        </w:rPr>
        <w:t xml:space="preserve"> in 2017 included innovation, spectrum management and broadcasting, smart sustainable cities, future networks, </w:t>
      </w:r>
      <w:proofErr w:type="spellStart"/>
      <w:r w:rsidR="0054281F" w:rsidRPr="00EE5777">
        <w:rPr>
          <w:rFonts w:asciiTheme="minorHAnsi" w:hAnsiTheme="minorHAnsi"/>
          <w:szCs w:val="24"/>
        </w:rPr>
        <w:t>IoT</w:t>
      </w:r>
      <w:proofErr w:type="spellEnd"/>
      <w:r w:rsidR="0054281F" w:rsidRPr="00EE5777">
        <w:rPr>
          <w:rFonts w:asciiTheme="minorHAnsi" w:hAnsiTheme="minorHAnsi"/>
          <w:szCs w:val="24"/>
        </w:rPr>
        <w:t>, digital financial services, policy and regulation and cybersecurity. Throughout the year, 18 regional events were organized, attracting around 1</w:t>
      </w:r>
      <w:r w:rsidR="00495653" w:rsidRPr="00EE5777">
        <w:rPr>
          <w:rFonts w:asciiTheme="minorHAnsi" w:hAnsiTheme="minorHAnsi"/>
          <w:szCs w:val="24"/>
        </w:rPr>
        <w:t>,</w:t>
      </w:r>
      <w:r w:rsidR="0054281F" w:rsidRPr="00EE5777">
        <w:rPr>
          <w:rFonts w:asciiTheme="minorHAnsi" w:hAnsiTheme="minorHAnsi"/>
          <w:szCs w:val="24"/>
        </w:rPr>
        <w:t>170 participants in total from more th</w:t>
      </w:r>
      <w:r w:rsidR="00495653" w:rsidRPr="00EE5777">
        <w:rPr>
          <w:rFonts w:asciiTheme="minorHAnsi" w:hAnsiTheme="minorHAnsi"/>
          <w:szCs w:val="24"/>
        </w:rPr>
        <w:t>an 30 countries. T</w:t>
      </w:r>
      <w:r w:rsidR="0054281F" w:rsidRPr="00EE5777">
        <w:rPr>
          <w:rFonts w:asciiTheme="minorHAnsi" w:hAnsiTheme="minorHAnsi"/>
          <w:szCs w:val="24"/>
        </w:rPr>
        <w:t>echnical assistance was provided to address requests from ITU Mem</w:t>
      </w:r>
      <w:r w:rsidR="00495653" w:rsidRPr="00EE5777">
        <w:rPr>
          <w:rFonts w:asciiTheme="minorHAnsi" w:hAnsiTheme="minorHAnsi"/>
          <w:szCs w:val="24"/>
        </w:rPr>
        <w:t>ber</w:t>
      </w:r>
      <w:r w:rsidR="00DF1A3B">
        <w:rPr>
          <w:rFonts w:asciiTheme="minorHAnsi" w:hAnsiTheme="minorHAnsi"/>
          <w:szCs w:val="24"/>
        </w:rPr>
        <w:t xml:space="preserve"> </w:t>
      </w:r>
      <w:r w:rsidR="00495653" w:rsidRPr="00EE5777">
        <w:rPr>
          <w:rFonts w:asciiTheme="minorHAnsi" w:hAnsiTheme="minorHAnsi"/>
          <w:szCs w:val="24"/>
        </w:rPr>
        <w:t>States in the region in areas of</w:t>
      </w:r>
      <w:r w:rsidR="00DF1A3B">
        <w:rPr>
          <w:rFonts w:asciiTheme="minorHAnsi" w:hAnsiTheme="minorHAnsi"/>
          <w:szCs w:val="24"/>
        </w:rPr>
        <w:t>:</w:t>
      </w:r>
      <w:r w:rsidR="0054281F" w:rsidRPr="00EE5777">
        <w:rPr>
          <w:rFonts w:asciiTheme="minorHAnsi" w:hAnsiTheme="minorHAnsi"/>
          <w:szCs w:val="24"/>
        </w:rPr>
        <w:t xml:space="preserve"> training of informatics teachers in rural areas; improvement of remote education facilities for capacity building; research on best practices of regulation; </w:t>
      </w:r>
      <w:r w:rsidR="00495653" w:rsidRPr="00EE5777">
        <w:rPr>
          <w:rFonts w:asciiTheme="minorHAnsi" w:hAnsiTheme="minorHAnsi"/>
          <w:szCs w:val="24"/>
        </w:rPr>
        <w:t xml:space="preserve">and </w:t>
      </w:r>
      <w:r w:rsidR="0054281F" w:rsidRPr="00EE5777">
        <w:rPr>
          <w:rFonts w:asciiTheme="minorHAnsi" w:hAnsiTheme="minorHAnsi"/>
          <w:szCs w:val="24"/>
        </w:rPr>
        <w:t>expert assessment of broadband tariff methodology</w:t>
      </w:r>
      <w:r w:rsidR="00495653" w:rsidRPr="00EE5777">
        <w:rPr>
          <w:rFonts w:asciiTheme="minorHAnsi" w:hAnsiTheme="minorHAnsi"/>
          <w:szCs w:val="24"/>
        </w:rPr>
        <w:t>, among others</w:t>
      </w:r>
      <w:r w:rsidR="0054281F" w:rsidRPr="00EE5777">
        <w:rPr>
          <w:rFonts w:asciiTheme="minorHAnsi" w:hAnsiTheme="minorHAnsi"/>
          <w:szCs w:val="24"/>
        </w:rPr>
        <w:t>.</w:t>
      </w:r>
    </w:p>
    <w:p w14:paraId="181EADE2" w14:textId="77777777" w:rsidR="00B42D84" w:rsidRPr="00EE5777" w:rsidRDefault="00024847" w:rsidP="00041613">
      <w:pPr>
        <w:pStyle w:val="Heading4"/>
        <w:spacing w:before="120"/>
        <w:rPr>
          <w:rFonts w:asciiTheme="minorHAnsi" w:hAnsiTheme="minorHAnsi"/>
          <w:b w:val="0"/>
          <w:bCs/>
          <w:color w:val="000000"/>
          <w:szCs w:val="24"/>
        </w:rPr>
      </w:pPr>
      <w:r w:rsidRPr="00EE5777">
        <w:rPr>
          <w:rFonts w:asciiTheme="minorHAnsi" w:hAnsiTheme="minorHAnsi"/>
          <w:bCs/>
          <w:color w:val="000000"/>
          <w:szCs w:val="24"/>
        </w:rPr>
        <w:t>2.9</w:t>
      </w:r>
      <w:r w:rsidRPr="00EE5777">
        <w:rPr>
          <w:rFonts w:asciiTheme="minorHAnsi" w:hAnsiTheme="minorHAnsi"/>
          <w:bCs/>
          <w:color w:val="000000"/>
          <w:szCs w:val="24"/>
        </w:rPr>
        <w:tab/>
      </w:r>
      <w:r w:rsidR="00B42D84" w:rsidRPr="00EE5777">
        <w:rPr>
          <w:rFonts w:asciiTheme="minorHAnsi" w:hAnsiTheme="minorHAnsi"/>
          <w:bCs/>
          <w:color w:val="000000"/>
          <w:szCs w:val="24"/>
        </w:rPr>
        <w:t>Europe region</w:t>
      </w:r>
    </w:p>
    <w:p w14:paraId="6C018639" w14:textId="3C95DA1D" w:rsidR="002647A1"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2.9.1</w:t>
      </w:r>
      <w:r w:rsidRPr="00EE5777">
        <w:rPr>
          <w:rFonts w:asciiTheme="minorHAnsi" w:hAnsiTheme="minorHAnsi"/>
          <w:szCs w:val="24"/>
        </w:rPr>
        <w:tab/>
      </w:r>
      <w:r w:rsidR="002647A1" w:rsidRPr="00EE5777">
        <w:rPr>
          <w:rFonts w:asciiTheme="minorHAnsi" w:hAnsiTheme="minorHAnsi"/>
          <w:szCs w:val="24"/>
        </w:rPr>
        <w:t xml:space="preserve">In 2017, BDT implemented project activities under </w:t>
      </w:r>
      <w:r w:rsidR="00DF1A3B">
        <w:rPr>
          <w:rFonts w:asciiTheme="minorHAnsi" w:hAnsiTheme="minorHAnsi"/>
          <w:szCs w:val="24"/>
        </w:rPr>
        <w:t>two</w:t>
      </w:r>
      <w:r w:rsidR="002647A1" w:rsidRPr="00EE5777">
        <w:rPr>
          <w:rFonts w:asciiTheme="minorHAnsi" w:hAnsiTheme="minorHAnsi"/>
          <w:szCs w:val="24"/>
        </w:rPr>
        <w:t xml:space="preserve"> technical cooperation projects for a total amount of </w:t>
      </w:r>
      <w:r w:rsidR="00015F0F" w:rsidRPr="00EE5777">
        <w:rPr>
          <w:rFonts w:asciiTheme="minorHAnsi" w:hAnsiTheme="minorHAnsi"/>
          <w:szCs w:val="24"/>
        </w:rPr>
        <w:t>415</w:t>
      </w:r>
      <w:r w:rsidR="00DF1A3B">
        <w:rPr>
          <w:rFonts w:asciiTheme="minorHAnsi" w:hAnsiTheme="minorHAnsi"/>
          <w:szCs w:val="24"/>
        </w:rPr>
        <w:t>,000</w:t>
      </w:r>
      <w:r w:rsidR="002647A1" w:rsidRPr="00EE5777">
        <w:rPr>
          <w:rFonts w:asciiTheme="minorHAnsi" w:hAnsiTheme="minorHAnsi"/>
          <w:szCs w:val="24"/>
        </w:rPr>
        <w:t xml:space="preserve"> CHF in the Europe region, in collaboration with Member States.</w:t>
      </w:r>
      <w:r w:rsidR="00216EB2" w:rsidRPr="00EE5777">
        <w:rPr>
          <w:rFonts w:asciiTheme="minorHAnsi" w:hAnsiTheme="minorHAnsi"/>
          <w:szCs w:val="24"/>
        </w:rPr>
        <w:t xml:space="preserve"> </w:t>
      </w:r>
      <w:r w:rsidR="002647A1" w:rsidRPr="00EE5777">
        <w:rPr>
          <w:rFonts w:asciiTheme="minorHAnsi" w:hAnsiTheme="minorHAnsi"/>
          <w:szCs w:val="24"/>
        </w:rPr>
        <w:t xml:space="preserve">In addition, </w:t>
      </w:r>
      <w:r w:rsidR="00015F0F" w:rsidRPr="00EE5777">
        <w:rPr>
          <w:rFonts w:asciiTheme="minorHAnsi" w:hAnsiTheme="minorHAnsi"/>
          <w:szCs w:val="24"/>
        </w:rPr>
        <w:t xml:space="preserve">activities on </w:t>
      </w:r>
      <w:r w:rsidR="00E44899" w:rsidRPr="00EE5777">
        <w:rPr>
          <w:rFonts w:asciiTheme="minorHAnsi" w:hAnsiTheme="minorHAnsi"/>
          <w:szCs w:val="24"/>
        </w:rPr>
        <w:t>16</w:t>
      </w:r>
      <w:r w:rsidR="002647A1" w:rsidRPr="00EE5777">
        <w:rPr>
          <w:rFonts w:asciiTheme="minorHAnsi" w:hAnsiTheme="minorHAnsi"/>
          <w:szCs w:val="24"/>
        </w:rPr>
        <w:t xml:space="preserve"> actions were implemented for an amount of 2</w:t>
      </w:r>
      <w:r w:rsidR="00015F0F" w:rsidRPr="00EE5777">
        <w:rPr>
          <w:rFonts w:asciiTheme="minorHAnsi" w:hAnsiTheme="minorHAnsi"/>
          <w:szCs w:val="24"/>
        </w:rPr>
        <w:t>23</w:t>
      </w:r>
      <w:r w:rsidR="006E079D">
        <w:rPr>
          <w:rFonts w:asciiTheme="minorHAnsi" w:hAnsiTheme="minorHAnsi"/>
          <w:szCs w:val="24"/>
        </w:rPr>
        <w:t>,000</w:t>
      </w:r>
      <w:r w:rsidR="002647A1" w:rsidRPr="00EE5777">
        <w:rPr>
          <w:rFonts w:asciiTheme="minorHAnsi" w:hAnsiTheme="minorHAnsi"/>
          <w:szCs w:val="24"/>
        </w:rPr>
        <w:t xml:space="preserve"> CHF.</w:t>
      </w:r>
    </w:p>
    <w:p w14:paraId="118731B8" w14:textId="614BFD64" w:rsidR="009D3C3E" w:rsidRPr="00EE5777" w:rsidRDefault="00024847" w:rsidP="00373996">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2.9.2</w:t>
      </w:r>
      <w:r w:rsidRPr="00EE5777">
        <w:rPr>
          <w:rFonts w:asciiTheme="minorHAnsi" w:hAnsiTheme="minorHAnsi"/>
          <w:szCs w:val="24"/>
        </w:rPr>
        <w:tab/>
      </w:r>
      <w:r w:rsidR="009D3C3E" w:rsidRPr="00EE5777">
        <w:rPr>
          <w:rFonts w:asciiTheme="minorHAnsi" w:hAnsiTheme="minorHAnsi"/>
          <w:szCs w:val="24"/>
        </w:rPr>
        <w:t>Efforts to strengthen the implementation mechanism for the region were continued, including coordination of actions with diverse relevant organizations in the region</w:t>
      </w:r>
      <w:r w:rsidR="003A29C7" w:rsidRPr="00EE5777">
        <w:rPr>
          <w:rFonts w:asciiTheme="minorHAnsi" w:hAnsiTheme="minorHAnsi"/>
          <w:szCs w:val="24"/>
        </w:rPr>
        <w:t>,</w:t>
      </w:r>
      <w:r w:rsidR="009D3C3E" w:rsidRPr="00EE5777">
        <w:rPr>
          <w:rFonts w:asciiTheme="minorHAnsi" w:hAnsiTheme="minorHAnsi"/>
          <w:szCs w:val="24"/>
        </w:rPr>
        <w:t xml:space="preserve"> such as CEPT, EU, EC, ECO, ENISA, Regional Cooperation Council, ICPE and the UN, including UN ECE, R-UNDG, UNIDO, UNCTAD, WHO and FAO, as well as some UN country teams.</w:t>
      </w:r>
      <w:r w:rsidR="00216EB2" w:rsidRPr="00EE5777">
        <w:rPr>
          <w:rFonts w:asciiTheme="minorHAnsi" w:hAnsiTheme="minorHAnsi"/>
          <w:szCs w:val="24"/>
        </w:rPr>
        <w:t xml:space="preserve"> </w:t>
      </w:r>
      <w:r w:rsidR="009D3C3E" w:rsidRPr="00EE5777">
        <w:rPr>
          <w:rFonts w:asciiTheme="minorHAnsi" w:hAnsiTheme="minorHAnsi"/>
          <w:szCs w:val="24"/>
        </w:rPr>
        <w:t>Throughout the year, more than 21 workshops, seminars, expert group meetings on broadcasting, broadband, accessibility, cybersecurity, innovation,</w:t>
      </w:r>
      <w:r w:rsidR="003A29C7" w:rsidRPr="00EE5777">
        <w:rPr>
          <w:rFonts w:asciiTheme="minorHAnsi" w:hAnsiTheme="minorHAnsi"/>
          <w:szCs w:val="24"/>
        </w:rPr>
        <w:t xml:space="preserve"> ICT for energy and electromagnetic field in the context of 5G roll</w:t>
      </w:r>
      <w:r w:rsidR="006E079D">
        <w:rPr>
          <w:rFonts w:asciiTheme="minorHAnsi" w:hAnsiTheme="minorHAnsi"/>
          <w:szCs w:val="24"/>
        </w:rPr>
        <w:t>-</w:t>
      </w:r>
      <w:r w:rsidR="003A29C7" w:rsidRPr="00EE5777">
        <w:rPr>
          <w:rFonts w:asciiTheme="minorHAnsi" w:hAnsiTheme="minorHAnsi"/>
          <w:szCs w:val="24"/>
        </w:rPr>
        <w:t>out,</w:t>
      </w:r>
      <w:r w:rsidR="009D3C3E" w:rsidRPr="00EE5777">
        <w:rPr>
          <w:rFonts w:asciiTheme="minorHAnsi" w:hAnsiTheme="minorHAnsi"/>
          <w:szCs w:val="24"/>
        </w:rPr>
        <w:t xml:space="preserve"> and human capacity building were organized, attracting more than 2,100 participants in total from more than 35 countries. In addition, human capacity of more than 400 professionals was built through the European Network of </w:t>
      </w:r>
      <w:proofErr w:type="spellStart"/>
      <w:r w:rsidR="009D3C3E" w:rsidRPr="00EE5777">
        <w:rPr>
          <w:rFonts w:asciiTheme="minorHAnsi" w:hAnsiTheme="minorHAnsi"/>
          <w:szCs w:val="24"/>
        </w:rPr>
        <w:t>Centers</w:t>
      </w:r>
      <w:proofErr w:type="spellEnd"/>
      <w:r w:rsidR="009D3C3E" w:rsidRPr="00EE5777">
        <w:rPr>
          <w:rFonts w:asciiTheme="minorHAnsi" w:hAnsiTheme="minorHAnsi"/>
          <w:szCs w:val="24"/>
        </w:rPr>
        <w:t xml:space="preserve"> of Excellence (</w:t>
      </w:r>
      <w:proofErr w:type="spellStart"/>
      <w:r w:rsidR="009D3C3E" w:rsidRPr="00EE5777">
        <w:rPr>
          <w:rFonts w:asciiTheme="minorHAnsi" w:hAnsiTheme="minorHAnsi"/>
          <w:szCs w:val="24"/>
        </w:rPr>
        <w:t>CoEs</w:t>
      </w:r>
      <w:proofErr w:type="spellEnd"/>
      <w:r w:rsidR="009D3C3E" w:rsidRPr="00EE5777">
        <w:rPr>
          <w:rFonts w:asciiTheme="minorHAnsi" w:hAnsiTheme="minorHAnsi"/>
          <w:szCs w:val="24"/>
        </w:rPr>
        <w:t>) that offered 25</w:t>
      </w:r>
      <w:r w:rsidR="003A29C7" w:rsidRPr="00EE5777">
        <w:rPr>
          <w:rFonts w:asciiTheme="minorHAnsi" w:hAnsiTheme="minorHAnsi"/>
          <w:szCs w:val="24"/>
        </w:rPr>
        <w:t xml:space="preserve"> </w:t>
      </w:r>
      <w:r w:rsidR="009D3C3E" w:rsidRPr="00EE5777">
        <w:rPr>
          <w:rFonts w:asciiTheme="minorHAnsi" w:hAnsiTheme="minorHAnsi"/>
          <w:szCs w:val="24"/>
        </w:rPr>
        <w:t xml:space="preserve">training opportunities. </w:t>
      </w:r>
    </w:p>
    <w:p w14:paraId="0A8B20CF" w14:textId="407EFC37" w:rsidR="009D3C3E" w:rsidRPr="00EE5777" w:rsidRDefault="00024847" w:rsidP="00373996">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lastRenderedPageBreak/>
        <w:t>2.9.</w:t>
      </w:r>
      <w:r w:rsidR="003A29C7" w:rsidRPr="00EE5777">
        <w:rPr>
          <w:rFonts w:asciiTheme="minorHAnsi" w:hAnsiTheme="minorHAnsi"/>
          <w:szCs w:val="24"/>
        </w:rPr>
        <w:t>3</w:t>
      </w:r>
      <w:r w:rsidRPr="00EE5777">
        <w:rPr>
          <w:rFonts w:asciiTheme="minorHAnsi" w:hAnsiTheme="minorHAnsi"/>
          <w:szCs w:val="24"/>
        </w:rPr>
        <w:tab/>
      </w:r>
      <w:r w:rsidR="009D3C3E" w:rsidRPr="00EE5777">
        <w:rPr>
          <w:rFonts w:asciiTheme="minorHAnsi" w:hAnsiTheme="minorHAnsi"/>
          <w:szCs w:val="24"/>
        </w:rPr>
        <w:t>Assistance was provided to Albania, Bosnia and Her</w:t>
      </w:r>
      <w:r w:rsidR="003A29C7" w:rsidRPr="00EE5777">
        <w:rPr>
          <w:rFonts w:asciiTheme="minorHAnsi" w:hAnsiTheme="minorHAnsi"/>
          <w:szCs w:val="24"/>
        </w:rPr>
        <w:t>zegovina, Montenegro, Cyprus,</w:t>
      </w:r>
      <w:r w:rsidR="009D3C3E" w:rsidRPr="00EE5777">
        <w:rPr>
          <w:rFonts w:asciiTheme="minorHAnsi" w:hAnsiTheme="minorHAnsi"/>
          <w:szCs w:val="24"/>
        </w:rPr>
        <w:t xml:space="preserve"> Poland</w:t>
      </w:r>
      <w:r w:rsidR="003A29C7" w:rsidRPr="00EE5777">
        <w:rPr>
          <w:rFonts w:asciiTheme="minorHAnsi" w:hAnsiTheme="minorHAnsi"/>
          <w:szCs w:val="24"/>
        </w:rPr>
        <w:t>,</w:t>
      </w:r>
      <w:r w:rsidR="009D3C3E" w:rsidRPr="00EE5777">
        <w:rPr>
          <w:rFonts w:asciiTheme="minorHAnsi" w:hAnsiTheme="minorHAnsi"/>
          <w:szCs w:val="24"/>
        </w:rPr>
        <w:t xml:space="preserve"> </w:t>
      </w:r>
      <w:r w:rsidR="003A29C7" w:rsidRPr="00EE5777">
        <w:rPr>
          <w:rFonts w:asciiTheme="minorHAnsi" w:hAnsiTheme="minorHAnsi"/>
          <w:szCs w:val="24"/>
        </w:rPr>
        <w:t xml:space="preserve">FYR Macedonia, and Serbia </w:t>
      </w:r>
      <w:r w:rsidR="009D3C3E" w:rsidRPr="00EE5777">
        <w:rPr>
          <w:rFonts w:asciiTheme="minorHAnsi" w:hAnsiTheme="minorHAnsi"/>
          <w:szCs w:val="24"/>
        </w:rPr>
        <w:t>in the fields of innovation, broadcasting, broadband, cybe</w:t>
      </w:r>
      <w:r w:rsidR="003A29C7" w:rsidRPr="00EE5777">
        <w:rPr>
          <w:rFonts w:asciiTheme="minorHAnsi" w:hAnsiTheme="minorHAnsi"/>
          <w:szCs w:val="24"/>
        </w:rPr>
        <w:t>rsecurity, ICT applications, and elaboration of digital innovations profiles.</w:t>
      </w:r>
      <w:r w:rsidR="00216EB2" w:rsidRPr="00EE5777">
        <w:rPr>
          <w:rFonts w:asciiTheme="minorHAnsi" w:hAnsiTheme="minorHAnsi"/>
          <w:szCs w:val="24"/>
        </w:rPr>
        <w:t xml:space="preserve"> </w:t>
      </w:r>
      <w:r w:rsidR="009D3C3E" w:rsidRPr="00EE5777">
        <w:rPr>
          <w:rFonts w:asciiTheme="minorHAnsi" w:hAnsiTheme="minorHAnsi"/>
          <w:szCs w:val="24"/>
        </w:rPr>
        <w:t xml:space="preserve">More than </w:t>
      </w:r>
      <w:r w:rsidR="006E079D">
        <w:rPr>
          <w:rFonts w:asciiTheme="minorHAnsi" w:hAnsiTheme="minorHAnsi"/>
          <w:szCs w:val="24"/>
        </w:rPr>
        <w:t>ten</w:t>
      </w:r>
      <w:r w:rsidR="009D3C3E" w:rsidRPr="00EE5777">
        <w:rPr>
          <w:rFonts w:asciiTheme="minorHAnsi" w:hAnsiTheme="minorHAnsi"/>
          <w:szCs w:val="24"/>
        </w:rPr>
        <w:t xml:space="preserve"> publications</w:t>
      </w:r>
      <w:r w:rsidR="003A29C7" w:rsidRPr="00EE5777">
        <w:rPr>
          <w:rFonts w:asciiTheme="minorHAnsi" w:hAnsiTheme="minorHAnsi"/>
          <w:szCs w:val="24"/>
        </w:rPr>
        <w:t xml:space="preserve"> and</w:t>
      </w:r>
      <w:r w:rsidR="009D3C3E" w:rsidRPr="00EE5777">
        <w:rPr>
          <w:rFonts w:asciiTheme="minorHAnsi" w:hAnsiTheme="minorHAnsi"/>
          <w:szCs w:val="24"/>
        </w:rPr>
        <w:t xml:space="preserve"> reports have been elaborated. A new approach for effective delivery of executive trainings on accessibility at national level with the collaboration of UN resident teams has been piloted in two countries and will be further replicated across </w:t>
      </w:r>
      <w:r w:rsidR="006E079D">
        <w:rPr>
          <w:rFonts w:asciiTheme="minorHAnsi" w:hAnsiTheme="minorHAnsi"/>
          <w:szCs w:val="24"/>
        </w:rPr>
        <w:t xml:space="preserve">the </w:t>
      </w:r>
      <w:r w:rsidR="009D3C3E" w:rsidRPr="00EE5777">
        <w:rPr>
          <w:rFonts w:asciiTheme="minorHAnsi" w:hAnsiTheme="minorHAnsi"/>
          <w:szCs w:val="24"/>
        </w:rPr>
        <w:t xml:space="preserve">Europe region. Collaboration with </w:t>
      </w:r>
      <w:r w:rsidR="006E079D">
        <w:rPr>
          <w:rFonts w:asciiTheme="minorHAnsi" w:hAnsiTheme="minorHAnsi"/>
          <w:szCs w:val="24"/>
        </w:rPr>
        <w:t xml:space="preserve">the </w:t>
      </w:r>
      <w:r w:rsidR="009D3C3E" w:rsidRPr="00EE5777">
        <w:rPr>
          <w:rFonts w:asciiTheme="minorHAnsi" w:hAnsiTheme="minorHAnsi"/>
          <w:szCs w:val="24"/>
        </w:rPr>
        <w:t xml:space="preserve">European Commission and the Regional Cooperation Council has been strengthened to advance the digital integration of Western Balkans. </w:t>
      </w:r>
    </w:p>
    <w:p w14:paraId="16766B2F" w14:textId="11C216E0" w:rsidR="00E634DF" w:rsidRPr="00EE5777" w:rsidRDefault="00E634DF" w:rsidP="00373996">
      <w:pPr>
        <w:pStyle w:val="Heading4"/>
        <w:tabs>
          <w:tab w:val="clear" w:pos="1134"/>
          <w:tab w:val="left" w:pos="0"/>
        </w:tabs>
        <w:spacing w:before="120"/>
        <w:ind w:left="0" w:firstLine="0"/>
        <w:jc w:val="both"/>
        <w:rPr>
          <w:rFonts w:asciiTheme="minorHAnsi" w:hAnsiTheme="minorHAnsi"/>
          <w:b w:val="0"/>
          <w:bCs/>
          <w:szCs w:val="24"/>
        </w:rPr>
      </w:pPr>
      <w:r w:rsidRPr="00EE5777">
        <w:rPr>
          <w:rFonts w:asciiTheme="minorHAnsi" w:hAnsiTheme="minorHAnsi"/>
          <w:b w:val="0"/>
          <w:bCs/>
          <w:szCs w:val="24"/>
        </w:rPr>
        <w:t>2.10</w:t>
      </w:r>
      <w:r w:rsidRPr="00EE5777">
        <w:rPr>
          <w:rFonts w:asciiTheme="minorHAnsi" w:hAnsiTheme="minorHAnsi"/>
          <w:b w:val="0"/>
          <w:bCs/>
          <w:szCs w:val="24"/>
        </w:rPr>
        <w:tab/>
        <w:t>The 7</w:t>
      </w:r>
      <w:r w:rsidR="006E079D">
        <w:rPr>
          <w:rFonts w:asciiTheme="minorHAnsi" w:hAnsiTheme="minorHAnsi"/>
          <w:b w:val="0"/>
          <w:bCs/>
          <w:szCs w:val="24"/>
        </w:rPr>
        <w:t>th</w:t>
      </w:r>
      <w:r w:rsidRPr="00EE5777">
        <w:rPr>
          <w:rFonts w:asciiTheme="minorHAnsi" w:hAnsiTheme="minorHAnsi"/>
          <w:b w:val="0"/>
          <w:bCs/>
          <w:szCs w:val="24"/>
        </w:rPr>
        <w:t xml:space="preserve"> ITU World Telecommunication Development Conference 2017 (WTDC-17), held from 9 to 20 October 2017 in Buenos Aires, Argentina, under the theme of </w:t>
      </w:r>
      <w:r w:rsidR="006E079D">
        <w:rPr>
          <w:rFonts w:asciiTheme="minorHAnsi" w:hAnsiTheme="minorHAnsi"/>
          <w:b w:val="0"/>
          <w:bCs/>
          <w:szCs w:val="24"/>
        </w:rPr>
        <w:t>““</w:t>
      </w:r>
      <w:r w:rsidRPr="00EE5777">
        <w:rPr>
          <w:rFonts w:asciiTheme="minorHAnsi" w:hAnsiTheme="minorHAnsi"/>
          <w:b w:val="0"/>
          <w:bCs/>
          <w:szCs w:val="24"/>
        </w:rPr>
        <w:t>ICT for Sustainable Development Goals</w:t>
      </w:r>
      <w:r w:rsidR="006E079D">
        <w:rPr>
          <w:rFonts w:asciiTheme="minorHAnsi" w:hAnsiTheme="minorHAnsi"/>
          <w:b w:val="0"/>
          <w:bCs/>
          <w:szCs w:val="24"/>
        </w:rPr>
        <w:t>”</w:t>
      </w:r>
      <w:r w:rsidRPr="00EE5777">
        <w:rPr>
          <w:rFonts w:asciiTheme="minorHAnsi" w:hAnsiTheme="minorHAnsi"/>
          <w:b w:val="0"/>
          <w:bCs/>
          <w:szCs w:val="24"/>
        </w:rPr>
        <w:t xml:space="preserve"> (ICT④SDGs), adopted the Buenos Aires Declaration, the contribution of the ITU-D to the ITU Strategic Plan and the Buenos Aires Action Plan (</w:t>
      </w:r>
      <w:proofErr w:type="spellStart"/>
      <w:r w:rsidRPr="00EE5777">
        <w:rPr>
          <w:rFonts w:asciiTheme="minorHAnsi" w:hAnsiTheme="minorHAnsi"/>
          <w:b w:val="0"/>
          <w:bCs/>
          <w:szCs w:val="24"/>
        </w:rPr>
        <w:t>BaAP</w:t>
      </w:r>
      <w:proofErr w:type="spellEnd"/>
      <w:r w:rsidRPr="00EE5777">
        <w:rPr>
          <w:rFonts w:asciiTheme="minorHAnsi" w:hAnsiTheme="minorHAnsi"/>
          <w:b w:val="0"/>
          <w:bCs/>
          <w:szCs w:val="24"/>
        </w:rPr>
        <w:t>), including five regional initiatives per region</w:t>
      </w:r>
      <w:r w:rsidR="008A432D" w:rsidRPr="00EE5777">
        <w:rPr>
          <w:rFonts w:asciiTheme="minorHAnsi" w:hAnsiTheme="minorHAnsi"/>
          <w:b w:val="0"/>
          <w:bCs/>
          <w:szCs w:val="24"/>
        </w:rPr>
        <w:t xml:space="preserve"> for all six regions</w:t>
      </w:r>
      <w:r w:rsidRPr="00EE5777">
        <w:rPr>
          <w:rFonts w:asciiTheme="minorHAnsi" w:hAnsiTheme="minorHAnsi"/>
          <w:b w:val="0"/>
          <w:bCs/>
          <w:szCs w:val="24"/>
        </w:rPr>
        <w:t xml:space="preserve">. </w:t>
      </w:r>
    </w:p>
    <w:p w14:paraId="57FAB693" w14:textId="77777777" w:rsidR="00B42D84" w:rsidRPr="00EE5777" w:rsidRDefault="00024847" w:rsidP="00373996">
      <w:pPr>
        <w:pStyle w:val="Heading2"/>
        <w:spacing w:before="120"/>
        <w:jc w:val="both"/>
        <w:rPr>
          <w:rFonts w:asciiTheme="minorHAnsi" w:hAnsiTheme="minorHAnsi"/>
          <w:b w:val="0"/>
          <w:szCs w:val="24"/>
        </w:rPr>
      </w:pPr>
      <w:r w:rsidRPr="00EE5777">
        <w:rPr>
          <w:rFonts w:asciiTheme="minorHAnsi" w:hAnsiTheme="minorHAnsi"/>
          <w:szCs w:val="24"/>
        </w:rPr>
        <w:t>3</w:t>
      </w:r>
      <w:r w:rsidRPr="00EE5777">
        <w:rPr>
          <w:rFonts w:asciiTheme="minorHAnsi" w:hAnsiTheme="minorHAnsi"/>
          <w:szCs w:val="24"/>
        </w:rPr>
        <w:tab/>
      </w:r>
      <w:r w:rsidR="0094206B" w:rsidRPr="00EE5777">
        <w:rPr>
          <w:rFonts w:asciiTheme="minorHAnsi" w:hAnsiTheme="minorHAnsi"/>
          <w:szCs w:val="24"/>
        </w:rPr>
        <w:t>C</w:t>
      </w:r>
      <w:r w:rsidR="00B42D84" w:rsidRPr="00EE5777">
        <w:rPr>
          <w:rFonts w:asciiTheme="minorHAnsi" w:hAnsiTheme="minorHAnsi"/>
          <w:szCs w:val="24"/>
        </w:rPr>
        <w:t>ontribution to other Sectors and the General Secretariat</w:t>
      </w:r>
      <w:r w:rsidR="00216EB2" w:rsidRPr="00EE5777">
        <w:rPr>
          <w:rFonts w:asciiTheme="minorHAnsi" w:hAnsiTheme="minorHAnsi"/>
          <w:szCs w:val="24"/>
        </w:rPr>
        <w:t xml:space="preserve"> </w:t>
      </w:r>
    </w:p>
    <w:p w14:paraId="483B10B3" w14:textId="77777777" w:rsidR="0035172D" w:rsidRPr="00EE5777" w:rsidRDefault="00024847" w:rsidP="006E079D">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3.1</w:t>
      </w:r>
      <w:r w:rsidRPr="00EE5777">
        <w:rPr>
          <w:rFonts w:asciiTheme="minorHAnsi" w:hAnsiTheme="minorHAnsi"/>
          <w:szCs w:val="24"/>
        </w:rPr>
        <w:tab/>
      </w:r>
      <w:r w:rsidR="00B42D84" w:rsidRPr="00EE5777">
        <w:rPr>
          <w:rFonts w:asciiTheme="minorHAnsi" w:hAnsiTheme="minorHAnsi"/>
          <w:szCs w:val="24"/>
        </w:rPr>
        <w:t>Regional and area offices contributed to the implementation of strategic and operational plans of ITU-R, ITU-T, and the General Secretariat as follows:</w:t>
      </w:r>
    </w:p>
    <w:p w14:paraId="1CFC8111" w14:textId="77777777" w:rsidR="00B42D84" w:rsidRPr="00EE5777" w:rsidRDefault="00024847" w:rsidP="00373996">
      <w:pPr>
        <w:pStyle w:val="Heading4"/>
        <w:spacing w:before="120"/>
        <w:jc w:val="both"/>
        <w:rPr>
          <w:rFonts w:asciiTheme="minorHAnsi" w:hAnsiTheme="minorHAnsi"/>
          <w:b w:val="0"/>
          <w:szCs w:val="24"/>
        </w:rPr>
      </w:pPr>
      <w:r w:rsidRPr="00EE5777">
        <w:rPr>
          <w:rFonts w:asciiTheme="minorHAnsi" w:hAnsiTheme="minorHAnsi"/>
          <w:szCs w:val="24"/>
        </w:rPr>
        <w:t>3.2</w:t>
      </w:r>
      <w:r w:rsidRPr="00EE5777">
        <w:rPr>
          <w:rFonts w:asciiTheme="minorHAnsi" w:hAnsiTheme="minorHAnsi"/>
          <w:szCs w:val="24"/>
        </w:rPr>
        <w:tab/>
      </w:r>
      <w:r w:rsidR="00B42D84" w:rsidRPr="00EE5777">
        <w:rPr>
          <w:rFonts w:asciiTheme="minorHAnsi" w:hAnsiTheme="minorHAnsi"/>
          <w:szCs w:val="24"/>
        </w:rPr>
        <w:t>ITU-R</w:t>
      </w:r>
    </w:p>
    <w:p w14:paraId="1DF01B15" w14:textId="77777777" w:rsidR="003C3CC1" w:rsidRPr="00EE5777" w:rsidRDefault="00024847" w:rsidP="00373996">
      <w:pPr>
        <w:jc w:val="both"/>
        <w:rPr>
          <w:rFonts w:asciiTheme="minorHAnsi" w:hAnsiTheme="minorHAnsi"/>
          <w:bCs/>
          <w:szCs w:val="24"/>
        </w:rPr>
      </w:pPr>
      <w:r w:rsidRPr="00EE5777">
        <w:rPr>
          <w:rFonts w:asciiTheme="minorHAnsi" w:hAnsiTheme="minorHAnsi"/>
          <w:szCs w:val="24"/>
          <w:lang w:val="en-US"/>
        </w:rPr>
        <w:t>3</w:t>
      </w:r>
      <w:r w:rsidRPr="00EE5777">
        <w:rPr>
          <w:rFonts w:asciiTheme="minorHAnsi" w:hAnsiTheme="minorHAnsi"/>
          <w:bCs/>
          <w:szCs w:val="24"/>
        </w:rPr>
        <w:t>.2.1</w:t>
      </w:r>
      <w:r w:rsidRPr="00EE5777">
        <w:rPr>
          <w:rFonts w:asciiTheme="minorHAnsi" w:hAnsiTheme="minorHAnsi"/>
          <w:bCs/>
          <w:szCs w:val="24"/>
        </w:rPr>
        <w:tab/>
      </w:r>
      <w:r w:rsidR="003C3CC1" w:rsidRPr="00EE5777">
        <w:rPr>
          <w:rFonts w:asciiTheme="minorHAnsi" w:hAnsiTheme="minorHAnsi"/>
          <w:bCs/>
          <w:szCs w:val="24"/>
        </w:rPr>
        <w:t xml:space="preserve">With the objective of informing and assisting the ITU membership on </w:t>
      </w:r>
      <w:proofErr w:type="spellStart"/>
      <w:r w:rsidR="003C3CC1" w:rsidRPr="00EE5777">
        <w:rPr>
          <w:rFonts w:asciiTheme="minorHAnsi" w:hAnsiTheme="minorHAnsi"/>
          <w:bCs/>
          <w:szCs w:val="24"/>
        </w:rPr>
        <w:t>radiocommunication</w:t>
      </w:r>
      <w:proofErr w:type="spellEnd"/>
      <w:r w:rsidR="003C3CC1" w:rsidRPr="00EE5777">
        <w:rPr>
          <w:rFonts w:asciiTheme="minorHAnsi" w:hAnsiTheme="minorHAnsi"/>
          <w:bCs/>
          <w:szCs w:val="24"/>
        </w:rPr>
        <w:t>-related matters, in particular developing countries, BDT and BR continued to organize spectrum-related workshops, seminars, meetings, and capacity-building activities, with the support of the Regional Offices and in cooperation with the relevant international organizations and national authorities. In that direction, during 2017 the following events were organized, among others:</w:t>
      </w:r>
    </w:p>
    <w:p w14:paraId="1F4BA70F" w14:textId="77777777" w:rsidR="003C3CC1" w:rsidRPr="00EE5777" w:rsidRDefault="003C3CC1" w:rsidP="00373996">
      <w:pPr>
        <w:pStyle w:val="ListParagraph"/>
        <w:numPr>
          <w:ilvl w:val="0"/>
          <w:numId w:val="9"/>
        </w:numPr>
        <w:spacing w:before="60" w:after="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Four Regional Radio Seminars (RRS) in Nairobi (Kenya), Lima (Peru), Phnom Penh (Cambodia) and Muscat (Oman); these 4 seminars gather</w:t>
      </w:r>
      <w:r w:rsidR="00F73551" w:rsidRPr="00EE5777">
        <w:rPr>
          <w:rFonts w:eastAsia="Times New Roman" w:cs="Times New Roman"/>
          <w:bCs/>
          <w:sz w:val="24"/>
          <w:szCs w:val="24"/>
          <w:lang w:val="en-GB" w:eastAsia="en-US"/>
        </w:rPr>
        <w:t>ed</w:t>
      </w:r>
      <w:r w:rsidRPr="00EE5777">
        <w:rPr>
          <w:rFonts w:eastAsia="Times New Roman" w:cs="Times New Roman"/>
          <w:bCs/>
          <w:sz w:val="24"/>
          <w:szCs w:val="24"/>
          <w:lang w:val="en-GB" w:eastAsia="en-US"/>
        </w:rPr>
        <w:t xml:space="preserve"> more than 450 participants coming from 80 countries of those regions. </w:t>
      </w:r>
    </w:p>
    <w:p w14:paraId="3454A74B" w14:textId="77777777" w:rsidR="003C3CC1" w:rsidRPr="00EE5777" w:rsidRDefault="003C3CC1" w:rsidP="00373996">
      <w:pPr>
        <w:pStyle w:val="ListParagraph"/>
        <w:numPr>
          <w:ilvl w:val="0"/>
          <w:numId w:val="9"/>
        </w:numPr>
        <w:spacing w:before="60" w:after="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Two ITU Frequency Coordination Meeting on the use of the VHF band (174-216 MHz)</w:t>
      </w:r>
      <w:r w:rsidR="00316A6B" w:rsidRPr="00EE5777">
        <w:rPr>
          <w:rFonts w:eastAsia="Times New Roman" w:cs="Times New Roman"/>
          <w:bCs/>
          <w:sz w:val="24"/>
          <w:szCs w:val="24"/>
          <w:lang w:val="en-GB" w:eastAsia="en-US"/>
        </w:rPr>
        <w:t xml:space="preserve"> and UHF band (470-806 MHz) in </w:t>
      </w:r>
      <w:r w:rsidRPr="00EE5777">
        <w:rPr>
          <w:rFonts w:eastAsia="Times New Roman" w:cs="Times New Roman"/>
          <w:bCs/>
          <w:sz w:val="24"/>
          <w:szCs w:val="24"/>
          <w:lang w:val="en-GB" w:eastAsia="en-US"/>
        </w:rPr>
        <w:t>Managua, Nicaragua (8-10 March) and Guatemala City, Guatemala (28 August-1 September), respectively</w:t>
      </w:r>
      <w:r w:rsidR="00F73551" w:rsidRPr="00EE5777">
        <w:rPr>
          <w:rFonts w:eastAsia="Times New Roman" w:cs="Times New Roman"/>
          <w:bCs/>
          <w:sz w:val="24"/>
          <w:szCs w:val="24"/>
          <w:lang w:val="en-GB" w:eastAsia="en-US"/>
        </w:rPr>
        <w:t>.</w:t>
      </w:r>
    </w:p>
    <w:p w14:paraId="2EA2AE9B" w14:textId="77777777" w:rsidR="003C3CC1" w:rsidRPr="00EE5777" w:rsidRDefault="003C3CC1" w:rsidP="00373996">
      <w:pPr>
        <w:pStyle w:val="ListParagraph"/>
        <w:numPr>
          <w:ilvl w:val="0"/>
          <w:numId w:val="9"/>
        </w:numPr>
        <w:spacing w:before="60" w:after="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 xml:space="preserve">Two International Satellite Symposia in </w:t>
      </w:r>
      <w:proofErr w:type="spellStart"/>
      <w:r w:rsidRPr="00EE5777">
        <w:rPr>
          <w:rFonts w:eastAsia="Times New Roman" w:cs="Times New Roman"/>
          <w:bCs/>
          <w:sz w:val="24"/>
          <w:szCs w:val="24"/>
          <w:lang w:val="en-GB" w:eastAsia="en-US"/>
        </w:rPr>
        <w:t>Bariloche</w:t>
      </w:r>
      <w:proofErr w:type="spellEnd"/>
      <w:r w:rsidRPr="00EE5777">
        <w:rPr>
          <w:rFonts w:eastAsia="Times New Roman" w:cs="Times New Roman"/>
          <w:bCs/>
          <w:sz w:val="24"/>
          <w:szCs w:val="24"/>
          <w:lang w:val="en-GB" w:eastAsia="en-US"/>
        </w:rPr>
        <w:t>, Argentina (29-31 May) an</w:t>
      </w:r>
      <w:r w:rsidR="00316A6B" w:rsidRPr="00EE5777">
        <w:rPr>
          <w:rFonts w:eastAsia="Times New Roman" w:cs="Times New Roman"/>
          <w:bCs/>
          <w:sz w:val="24"/>
          <w:szCs w:val="24"/>
          <w:lang w:val="en-GB" w:eastAsia="en-US"/>
        </w:rPr>
        <w:t>d Bangkok, Thailand (30 August-</w:t>
      </w:r>
      <w:r w:rsidRPr="00EE5777">
        <w:rPr>
          <w:rFonts w:eastAsia="Times New Roman" w:cs="Times New Roman"/>
          <w:bCs/>
          <w:sz w:val="24"/>
          <w:szCs w:val="24"/>
          <w:lang w:val="en-GB" w:eastAsia="en-US"/>
        </w:rPr>
        <w:t>1 September)</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respectively</w:t>
      </w:r>
      <w:r w:rsidR="00F73551" w:rsidRPr="00EE5777">
        <w:rPr>
          <w:rFonts w:eastAsia="Times New Roman" w:cs="Times New Roman"/>
          <w:bCs/>
          <w:sz w:val="24"/>
          <w:szCs w:val="24"/>
          <w:lang w:val="en-GB" w:eastAsia="en-US"/>
        </w:rPr>
        <w:t>.</w:t>
      </w:r>
    </w:p>
    <w:p w14:paraId="3211394A" w14:textId="2CE5B96E" w:rsidR="003C3CC1" w:rsidRPr="00EE5777" w:rsidRDefault="003C3CC1" w:rsidP="00373996">
      <w:pPr>
        <w:pStyle w:val="ListParagraph"/>
        <w:numPr>
          <w:ilvl w:val="0"/>
          <w:numId w:val="9"/>
        </w:numPr>
        <w:spacing w:before="60" w:after="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2</w:t>
      </w:r>
      <w:r w:rsidR="006E079D">
        <w:rPr>
          <w:rFonts w:eastAsia="Times New Roman" w:cs="Times New Roman"/>
          <w:bCs/>
          <w:sz w:val="24"/>
          <w:szCs w:val="24"/>
          <w:lang w:val="en-GB" w:eastAsia="en-US"/>
        </w:rPr>
        <w:t>nd</w:t>
      </w:r>
      <w:r w:rsidRPr="00EE5777">
        <w:rPr>
          <w:rFonts w:eastAsia="Times New Roman" w:cs="Times New Roman"/>
          <w:bCs/>
          <w:sz w:val="24"/>
          <w:szCs w:val="24"/>
          <w:lang w:val="en-GB" w:eastAsia="en-US"/>
        </w:rPr>
        <w:t xml:space="preserve"> ITU/WMO Seminar </w:t>
      </w:r>
      <w:r w:rsidR="006E079D">
        <w:rPr>
          <w:rFonts w:eastAsia="Times New Roman" w:cs="Times New Roman"/>
          <w:bCs/>
          <w:sz w:val="24"/>
          <w:szCs w:val="24"/>
          <w:lang w:val="en-GB" w:eastAsia="en-US"/>
        </w:rPr>
        <w:t>“</w:t>
      </w:r>
      <w:r w:rsidRPr="00EE5777">
        <w:rPr>
          <w:rFonts w:eastAsia="Times New Roman" w:cs="Times New Roman"/>
          <w:bCs/>
          <w:sz w:val="24"/>
          <w:szCs w:val="24"/>
          <w:lang w:val="en-GB" w:eastAsia="en-US"/>
        </w:rPr>
        <w:t>Use of Radio Spectrum for Meteorology: Weather, Water and Climate Monitoring and Prediction</w:t>
      </w:r>
      <w:r w:rsidR="006E079D">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w:t>
      </w:r>
      <w:r w:rsidR="00F73551" w:rsidRPr="00EE5777">
        <w:rPr>
          <w:rFonts w:eastAsia="Times New Roman" w:cs="Times New Roman"/>
          <w:bCs/>
          <w:sz w:val="24"/>
          <w:szCs w:val="24"/>
          <w:lang w:val="en-GB" w:eastAsia="en-US"/>
        </w:rPr>
        <w:t xml:space="preserve">in Geneva, Switzerland on </w:t>
      </w:r>
      <w:r w:rsidRPr="00EE5777">
        <w:rPr>
          <w:rFonts w:eastAsia="Times New Roman" w:cs="Times New Roman"/>
          <w:bCs/>
          <w:sz w:val="24"/>
          <w:szCs w:val="24"/>
          <w:lang w:val="en-GB" w:eastAsia="en-US"/>
        </w:rPr>
        <w:t>23-24 October</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w:t>
      </w:r>
    </w:p>
    <w:p w14:paraId="59CFA293" w14:textId="3C2D4938" w:rsidR="003C3CC1" w:rsidRPr="00EE5777" w:rsidRDefault="003C3CC1" w:rsidP="00373996">
      <w:pPr>
        <w:pStyle w:val="ListParagraph"/>
        <w:numPr>
          <w:ilvl w:val="0"/>
          <w:numId w:val="9"/>
        </w:numPr>
        <w:spacing w:before="60" w:after="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5</w:t>
      </w:r>
      <w:r w:rsidR="006E079D">
        <w:rPr>
          <w:rFonts w:eastAsia="Times New Roman" w:cs="Times New Roman"/>
          <w:bCs/>
          <w:sz w:val="24"/>
          <w:szCs w:val="24"/>
          <w:lang w:val="en-GB" w:eastAsia="en-US"/>
        </w:rPr>
        <w:t>th</w:t>
      </w:r>
      <w:r w:rsidR="00316A6B" w:rsidRPr="00EE5777">
        <w:rPr>
          <w:rFonts w:eastAsia="Times New Roman" w:cs="Times New Roman"/>
          <w:bCs/>
          <w:sz w:val="24"/>
          <w:szCs w:val="24"/>
          <w:lang w:val="en-GB" w:eastAsia="en-US"/>
        </w:rPr>
        <w:t xml:space="preserve"> </w:t>
      </w:r>
      <w:r w:rsidRPr="00EE5777">
        <w:rPr>
          <w:rFonts w:eastAsia="Times New Roman" w:cs="Times New Roman"/>
          <w:bCs/>
          <w:sz w:val="24"/>
          <w:szCs w:val="24"/>
          <w:lang w:val="en-GB" w:eastAsia="en-US"/>
        </w:rPr>
        <w:t>Latin-American Telecommunication Congress, Cartagena, Colombia, 20</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23 June</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w:t>
      </w:r>
    </w:p>
    <w:p w14:paraId="0D9CC150" w14:textId="3F36EF52" w:rsidR="003C3CC1" w:rsidRPr="00EE5777" w:rsidRDefault="003C3CC1" w:rsidP="00373996">
      <w:pPr>
        <w:pStyle w:val="ListParagraph"/>
        <w:numPr>
          <w:ilvl w:val="0"/>
          <w:numId w:val="9"/>
        </w:numPr>
        <w:spacing w:before="60" w:after="120" w:line="240" w:lineRule="auto"/>
        <w:ind w:left="567" w:hanging="567"/>
        <w:contextualSpacing w:val="0"/>
        <w:jc w:val="both"/>
        <w:rPr>
          <w:rFonts w:eastAsia="Times New Roman" w:cs="Times New Roman"/>
          <w:bCs/>
          <w:sz w:val="24"/>
          <w:szCs w:val="24"/>
          <w:lang w:val="en-GB" w:eastAsia="en-US"/>
        </w:rPr>
      </w:pPr>
      <w:r w:rsidRPr="00EE5777">
        <w:rPr>
          <w:rFonts w:eastAsia="Times New Roman" w:cs="Times New Roman"/>
          <w:bCs/>
          <w:sz w:val="24"/>
          <w:szCs w:val="24"/>
          <w:lang w:val="en-GB" w:eastAsia="en-US"/>
        </w:rPr>
        <w:t>7</w:t>
      </w:r>
      <w:r w:rsidR="006E079D">
        <w:rPr>
          <w:rFonts w:eastAsia="Times New Roman" w:cs="Times New Roman"/>
          <w:bCs/>
          <w:sz w:val="24"/>
          <w:szCs w:val="24"/>
          <w:lang w:val="en-GB" w:eastAsia="en-US"/>
        </w:rPr>
        <w:t>th</w:t>
      </w:r>
      <w:r w:rsidR="00316A6B" w:rsidRPr="00EE5777">
        <w:rPr>
          <w:rFonts w:eastAsia="Times New Roman" w:cs="Times New Roman"/>
          <w:bCs/>
          <w:sz w:val="24"/>
          <w:szCs w:val="24"/>
          <w:lang w:val="en-GB" w:eastAsia="en-US"/>
        </w:rPr>
        <w:t xml:space="preserve"> </w:t>
      </w:r>
      <w:r w:rsidRPr="00EE5777">
        <w:rPr>
          <w:rFonts w:eastAsia="Times New Roman" w:cs="Times New Roman"/>
          <w:bCs/>
          <w:sz w:val="24"/>
          <w:szCs w:val="24"/>
          <w:lang w:val="en-GB" w:eastAsia="en-US"/>
        </w:rPr>
        <w:t>International Spectrum Congress and ITU Wor</w:t>
      </w:r>
      <w:r w:rsidR="00F73551" w:rsidRPr="00EE5777">
        <w:rPr>
          <w:rFonts w:eastAsia="Times New Roman" w:cs="Times New Roman"/>
          <w:bCs/>
          <w:sz w:val="24"/>
          <w:szCs w:val="24"/>
          <w:lang w:val="en-GB" w:eastAsia="en-US"/>
        </w:rPr>
        <w:t>kshop of frequency coordination in</w:t>
      </w:r>
      <w:r w:rsidRPr="00EE5777">
        <w:rPr>
          <w:rFonts w:eastAsia="Times New Roman" w:cs="Times New Roman"/>
          <w:bCs/>
          <w:sz w:val="24"/>
          <w:szCs w:val="24"/>
          <w:lang w:val="en-GB" w:eastAsia="en-US"/>
        </w:rPr>
        <w:t xml:space="preserve"> Bogota, Colombia</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5-8 September</w:t>
      </w:r>
      <w:r w:rsidR="00F73551" w:rsidRPr="00EE5777">
        <w:rPr>
          <w:rFonts w:eastAsia="Times New Roman" w:cs="Times New Roman"/>
          <w:bCs/>
          <w:sz w:val="24"/>
          <w:szCs w:val="24"/>
          <w:lang w:val="en-GB" w:eastAsia="en-US"/>
        </w:rPr>
        <w:t>.</w:t>
      </w:r>
      <w:r w:rsidRPr="00EE5777">
        <w:rPr>
          <w:rFonts w:eastAsia="Times New Roman" w:cs="Times New Roman"/>
          <w:bCs/>
          <w:sz w:val="24"/>
          <w:szCs w:val="24"/>
          <w:lang w:val="en-GB" w:eastAsia="en-US"/>
        </w:rPr>
        <w:t xml:space="preserve"> </w:t>
      </w:r>
    </w:p>
    <w:p w14:paraId="51B0E0B8" w14:textId="77777777" w:rsidR="003C3CC1" w:rsidRPr="00EE5777" w:rsidRDefault="00024847" w:rsidP="00373996">
      <w:pPr>
        <w:jc w:val="both"/>
        <w:rPr>
          <w:rFonts w:asciiTheme="minorHAnsi" w:hAnsiTheme="minorHAnsi"/>
          <w:szCs w:val="24"/>
          <w:lang w:val="en-US"/>
        </w:rPr>
      </w:pPr>
      <w:r w:rsidRPr="00EE5777">
        <w:rPr>
          <w:rFonts w:asciiTheme="minorHAnsi" w:hAnsiTheme="minorHAnsi"/>
          <w:szCs w:val="24"/>
          <w:lang w:val="en-US"/>
        </w:rPr>
        <w:t>3.2.2</w:t>
      </w:r>
      <w:r w:rsidRPr="00EE5777">
        <w:rPr>
          <w:rFonts w:asciiTheme="minorHAnsi" w:hAnsiTheme="minorHAnsi"/>
          <w:szCs w:val="24"/>
          <w:lang w:val="en-US"/>
        </w:rPr>
        <w:tab/>
      </w:r>
      <w:r w:rsidR="003C3CC1" w:rsidRPr="00EE5777">
        <w:rPr>
          <w:rFonts w:asciiTheme="minorHAnsi" w:hAnsiTheme="minorHAnsi"/>
          <w:szCs w:val="24"/>
          <w:lang w:val="en-US"/>
        </w:rPr>
        <w:t>Those events fostered human capacity building on the use of the radio-frequency spectrum and the satellite orbits, as well as the application of the provisions of the ITU Radio Regulations.</w:t>
      </w:r>
    </w:p>
    <w:p w14:paraId="09A9D7B3" w14:textId="77777777" w:rsidR="003C3CC1" w:rsidRPr="00EE5777" w:rsidRDefault="00024847" w:rsidP="00373996">
      <w:pPr>
        <w:jc w:val="both"/>
        <w:rPr>
          <w:rFonts w:asciiTheme="minorHAnsi" w:hAnsiTheme="minorHAnsi"/>
          <w:szCs w:val="24"/>
          <w:lang w:val="en-US"/>
        </w:rPr>
      </w:pPr>
      <w:r w:rsidRPr="00EE5777">
        <w:rPr>
          <w:rFonts w:asciiTheme="minorHAnsi" w:hAnsiTheme="minorHAnsi"/>
          <w:szCs w:val="24"/>
          <w:lang w:val="en-US"/>
        </w:rPr>
        <w:t>3.2.3</w:t>
      </w:r>
      <w:r w:rsidRPr="00EE5777">
        <w:rPr>
          <w:rFonts w:asciiTheme="minorHAnsi" w:hAnsiTheme="minorHAnsi"/>
          <w:szCs w:val="24"/>
          <w:lang w:val="en-US"/>
        </w:rPr>
        <w:tab/>
      </w:r>
      <w:r w:rsidR="003C3CC1" w:rsidRPr="00EE5777">
        <w:rPr>
          <w:rFonts w:asciiTheme="minorHAnsi" w:hAnsiTheme="minorHAnsi"/>
          <w:szCs w:val="24"/>
          <w:lang w:val="en-US"/>
        </w:rPr>
        <w:t>In addition, direct assistance was provided (upon demand) to several countries</w:t>
      </w:r>
      <w:r w:rsidR="00F73551" w:rsidRPr="00EE5777">
        <w:rPr>
          <w:rFonts w:asciiTheme="minorHAnsi" w:hAnsiTheme="minorHAnsi"/>
          <w:szCs w:val="24"/>
          <w:lang w:val="en-US"/>
        </w:rPr>
        <w:t>,</w:t>
      </w:r>
      <w:r w:rsidR="003C3CC1" w:rsidRPr="00EE5777">
        <w:rPr>
          <w:rFonts w:asciiTheme="minorHAnsi" w:hAnsiTheme="minorHAnsi"/>
          <w:szCs w:val="24"/>
          <w:lang w:val="en-US"/>
        </w:rPr>
        <w:t xml:space="preserve"> including Bhutan, Thailand,</w:t>
      </w:r>
      <w:r w:rsidR="00F73551" w:rsidRPr="00EE5777">
        <w:rPr>
          <w:rFonts w:asciiTheme="minorHAnsi" w:hAnsiTheme="minorHAnsi"/>
          <w:szCs w:val="24"/>
          <w:lang w:val="en-US"/>
        </w:rPr>
        <w:t xml:space="preserve"> Cambodia, Senegal, El Salvador</w:t>
      </w:r>
      <w:r w:rsidR="006E079D">
        <w:rPr>
          <w:rFonts w:asciiTheme="minorHAnsi" w:hAnsiTheme="minorHAnsi"/>
          <w:szCs w:val="24"/>
          <w:lang w:val="en-US"/>
        </w:rPr>
        <w:t>,</w:t>
      </w:r>
      <w:r w:rsidR="00F73551" w:rsidRPr="00EE5777">
        <w:rPr>
          <w:rFonts w:asciiTheme="minorHAnsi" w:hAnsiTheme="minorHAnsi"/>
          <w:szCs w:val="24"/>
          <w:lang w:val="en-US"/>
        </w:rPr>
        <w:t xml:space="preserve"> and</w:t>
      </w:r>
      <w:r w:rsidR="003C3CC1" w:rsidRPr="00EE5777">
        <w:rPr>
          <w:rFonts w:asciiTheme="minorHAnsi" w:hAnsiTheme="minorHAnsi"/>
          <w:szCs w:val="24"/>
          <w:lang w:val="en-US"/>
        </w:rPr>
        <w:t xml:space="preserve"> Peru to support their national spectrum management activities, long-term frequency management for mobile broadband, as well as transition to digital broadcasting and the allocation of the digital dividend.</w:t>
      </w:r>
    </w:p>
    <w:p w14:paraId="53C4B43C" w14:textId="77777777" w:rsidR="00B42D84" w:rsidRPr="00EE5777" w:rsidRDefault="00024847" w:rsidP="00041613">
      <w:pPr>
        <w:pStyle w:val="Heading4"/>
        <w:spacing w:before="120"/>
        <w:rPr>
          <w:rFonts w:asciiTheme="minorHAnsi" w:hAnsiTheme="minorHAnsi"/>
          <w:b w:val="0"/>
          <w:bCs/>
          <w:szCs w:val="24"/>
        </w:rPr>
      </w:pPr>
      <w:r w:rsidRPr="00EE5777">
        <w:rPr>
          <w:rFonts w:asciiTheme="minorHAnsi" w:hAnsiTheme="minorHAnsi"/>
          <w:szCs w:val="24"/>
        </w:rPr>
        <w:lastRenderedPageBreak/>
        <w:t>3.3</w:t>
      </w:r>
      <w:r w:rsidRPr="00EE5777">
        <w:rPr>
          <w:rFonts w:asciiTheme="minorHAnsi" w:hAnsiTheme="minorHAnsi"/>
          <w:szCs w:val="24"/>
        </w:rPr>
        <w:tab/>
      </w:r>
      <w:r w:rsidR="0094206B" w:rsidRPr="00EE5777">
        <w:rPr>
          <w:rFonts w:asciiTheme="minorHAnsi" w:hAnsiTheme="minorHAnsi"/>
          <w:bCs/>
          <w:szCs w:val="24"/>
        </w:rPr>
        <w:t>I</w:t>
      </w:r>
      <w:r w:rsidR="00B42D84" w:rsidRPr="00EE5777">
        <w:rPr>
          <w:rFonts w:asciiTheme="minorHAnsi" w:hAnsiTheme="minorHAnsi"/>
          <w:bCs/>
          <w:szCs w:val="24"/>
        </w:rPr>
        <w:t>TU-T</w:t>
      </w:r>
    </w:p>
    <w:p w14:paraId="3C434334" w14:textId="1D51EB26" w:rsidR="000050F6"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3.3.1</w:t>
      </w:r>
      <w:r w:rsidRPr="00EE5777">
        <w:rPr>
          <w:rFonts w:asciiTheme="minorHAnsi" w:hAnsiTheme="minorHAnsi"/>
          <w:szCs w:val="24"/>
        </w:rPr>
        <w:tab/>
      </w:r>
      <w:r w:rsidR="000050F6" w:rsidRPr="00EE5777">
        <w:rPr>
          <w:rFonts w:asciiTheme="minorHAnsi" w:hAnsiTheme="minorHAnsi"/>
          <w:szCs w:val="24"/>
        </w:rPr>
        <w:t>Regional Groups within ITU-T Study Groups have proven effective mechanisms to assist in bridging the standardization gap by stimulating effective participation in ITU-T Study Groups and increasing the number and quality of contributions from developing countries that could eventually lead to standards. ITU-T has 23 regional groups, of which eight for Africa, four for the Americas, five for the Arab</w:t>
      </w:r>
      <w:r w:rsidR="00AA79AE">
        <w:rPr>
          <w:rFonts w:asciiTheme="minorHAnsi" w:hAnsiTheme="minorHAnsi"/>
          <w:szCs w:val="24"/>
        </w:rPr>
        <w:t xml:space="preserve"> States</w:t>
      </w:r>
      <w:r w:rsidR="000050F6" w:rsidRPr="00EE5777">
        <w:rPr>
          <w:rFonts w:asciiTheme="minorHAnsi" w:hAnsiTheme="minorHAnsi"/>
          <w:szCs w:val="24"/>
        </w:rPr>
        <w:t xml:space="preserve"> region, two for Asia and Oceania, and three for the Eastern Europe, Central Asia and Transcaucasia (EECAT) are active. </w:t>
      </w:r>
    </w:p>
    <w:p w14:paraId="7B7600D2" w14:textId="7EF89DC0" w:rsidR="000050F6"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3.3.2</w:t>
      </w:r>
      <w:r w:rsidRPr="00EE5777">
        <w:rPr>
          <w:rFonts w:asciiTheme="minorHAnsi" w:hAnsiTheme="minorHAnsi"/>
          <w:szCs w:val="24"/>
        </w:rPr>
        <w:tab/>
      </w:r>
      <w:r w:rsidR="0094206B" w:rsidRPr="00EE5777">
        <w:rPr>
          <w:rFonts w:asciiTheme="minorHAnsi" w:hAnsiTheme="minorHAnsi"/>
          <w:szCs w:val="24"/>
        </w:rPr>
        <w:t>U</w:t>
      </w:r>
      <w:r w:rsidR="000050F6" w:rsidRPr="00EE5777">
        <w:rPr>
          <w:rFonts w:asciiTheme="minorHAnsi" w:hAnsiTheme="minorHAnsi"/>
          <w:szCs w:val="24"/>
        </w:rPr>
        <w:t xml:space="preserve">nder the Bridging the Standardization Gap (BSG), there were </w:t>
      </w:r>
      <w:r w:rsidR="008133AF">
        <w:rPr>
          <w:rFonts w:asciiTheme="minorHAnsi" w:hAnsiTheme="minorHAnsi"/>
          <w:szCs w:val="24"/>
        </w:rPr>
        <w:t>four</w:t>
      </w:r>
      <w:r w:rsidR="000050F6" w:rsidRPr="00EE5777">
        <w:rPr>
          <w:rFonts w:asciiTheme="minorHAnsi" w:hAnsiTheme="minorHAnsi"/>
          <w:szCs w:val="24"/>
        </w:rPr>
        <w:t xml:space="preserve"> Standardization Forums</w:t>
      </w:r>
      <w:r w:rsidR="00C1377C" w:rsidRPr="00EE5777">
        <w:rPr>
          <w:rFonts w:asciiTheme="minorHAnsi" w:hAnsiTheme="minorHAnsi"/>
          <w:szCs w:val="24"/>
        </w:rPr>
        <w:t xml:space="preserve"> </w:t>
      </w:r>
      <w:r w:rsidR="000050F6" w:rsidRPr="00EE5777">
        <w:rPr>
          <w:rFonts w:asciiTheme="minorHAnsi" w:hAnsiTheme="minorHAnsi"/>
          <w:szCs w:val="24"/>
        </w:rPr>
        <w:t>held for developing countries in 2017</w:t>
      </w:r>
      <w:r w:rsidR="00F73551" w:rsidRPr="00EE5777">
        <w:rPr>
          <w:rFonts w:asciiTheme="minorHAnsi" w:hAnsiTheme="minorHAnsi"/>
          <w:szCs w:val="24"/>
        </w:rPr>
        <w:t>,</w:t>
      </w:r>
      <w:r w:rsidR="000050F6" w:rsidRPr="00EE5777">
        <w:rPr>
          <w:rFonts w:asciiTheme="minorHAnsi" w:hAnsiTheme="minorHAnsi"/>
          <w:szCs w:val="24"/>
        </w:rPr>
        <w:t xml:space="preserve"> which covered a wide range of themes, including operational aspects, economic and policy issues, </w:t>
      </w:r>
      <w:proofErr w:type="spellStart"/>
      <w:r w:rsidR="000050F6" w:rsidRPr="00EE5777">
        <w:rPr>
          <w:rFonts w:asciiTheme="minorHAnsi" w:hAnsiTheme="minorHAnsi"/>
          <w:szCs w:val="24"/>
        </w:rPr>
        <w:t>IoT</w:t>
      </w:r>
      <w:proofErr w:type="spellEnd"/>
      <w:r w:rsidR="000050F6" w:rsidRPr="00EE5777">
        <w:rPr>
          <w:rFonts w:asciiTheme="minorHAnsi" w:hAnsiTheme="minorHAnsi"/>
          <w:szCs w:val="24"/>
        </w:rPr>
        <w:t>, artificial intelligence and cybersecurity</w:t>
      </w:r>
      <w:r w:rsidR="008133AF">
        <w:rPr>
          <w:rFonts w:asciiTheme="minorHAnsi" w:hAnsiTheme="minorHAnsi"/>
          <w:szCs w:val="24"/>
        </w:rPr>
        <w:t>,</w:t>
      </w:r>
      <w:r w:rsidR="000050F6" w:rsidRPr="00EE5777">
        <w:rPr>
          <w:rFonts w:asciiTheme="minorHAnsi" w:hAnsiTheme="minorHAnsi"/>
          <w:szCs w:val="24"/>
        </w:rPr>
        <w:t xml:space="preserve"> etc., as well as tutorials on the ITU-T working methods.</w:t>
      </w:r>
      <w:r w:rsidR="00216EB2" w:rsidRPr="00EE5777">
        <w:rPr>
          <w:rFonts w:asciiTheme="minorHAnsi" w:hAnsiTheme="minorHAnsi"/>
          <w:szCs w:val="24"/>
        </w:rPr>
        <w:t xml:space="preserve"> </w:t>
      </w:r>
    </w:p>
    <w:p w14:paraId="790A7DCF" w14:textId="04957A3A" w:rsidR="000050F6" w:rsidRPr="00EE5777" w:rsidRDefault="00024847" w:rsidP="002867D2">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3.3.3</w:t>
      </w:r>
      <w:r w:rsidRPr="00EE5777">
        <w:rPr>
          <w:rFonts w:asciiTheme="minorHAnsi" w:hAnsiTheme="minorHAnsi"/>
          <w:szCs w:val="24"/>
        </w:rPr>
        <w:tab/>
      </w:r>
      <w:r w:rsidR="000050F6" w:rsidRPr="00EE5777">
        <w:rPr>
          <w:rFonts w:asciiTheme="minorHAnsi" w:hAnsiTheme="minorHAnsi"/>
          <w:szCs w:val="24"/>
        </w:rPr>
        <w:t xml:space="preserve">BDT and TSB have been jointly organizing Regional Economic and Financial Forums held back-to-back with SG3 Regional Groups since the 1990s. Every year, four such joint meetings </w:t>
      </w:r>
      <w:r w:rsidR="008133AF">
        <w:rPr>
          <w:rFonts w:asciiTheme="minorHAnsi" w:hAnsiTheme="minorHAnsi"/>
          <w:szCs w:val="24"/>
        </w:rPr>
        <w:t>are</w:t>
      </w:r>
      <w:r w:rsidR="000050F6" w:rsidRPr="00EE5777">
        <w:rPr>
          <w:rFonts w:asciiTheme="minorHAnsi" w:hAnsiTheme="minorHAnsi"/>
          <w:szCs w:val="24"/>
        </w:rPr>
        <w:t xml:space="preserve"> held in the four regions of Africa, Asia-Oceania, Arab States, and Latin America and the Caribbean. </w:t>
      </w:r>
    </w:p>
    <w:p w14:paraId="2289626A" w14:textId="375217D9" w:rsidR="000050F6"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3.3.4</w:t>
      </w:r>
      <w:r w:rsidRPr="00EE5777">
        <w:rPr>
          <w:rFonts w:asciiTheme="minorHAnsi" w:hAnsiTheme="minorHAnsi"/>
          <w:szCs w:val="24"/>
        </w:rPr>
        <w:tab/>
      </w:r>
      <w:r w:rsidR="000050F6" w:rsidRPr="00EE5777">
        <w:rPr>
          <w:rFonts w:asciiTheme="minorHAnsi" w:hAnsiTheme="minorHAnsi"/>
          <w:szCs w:val="24"/>
        </w:rPr>
        <w:t>The successful hands-on capacity-building training conducted by ITU</w:t>
      </w:r>
      <w:r w:rsidR="00F02444" w:rsidRPr="00EE5777">
        <w:rPr>
          <w:rFonts w:asciiTheme="minorHAnsi" w:hAnsiTheme="minorHAnsi"/>
          <w:szCs w:val="24"/>
        </w:rPr>
        <w:t>-</w:t>
      </w:r>
      <w:r w:rsidR="000050F6" w:rsidRPr="00EE5777">
        <w:rPr>
          <w:rFonts w:asciiTheme="minorHAnsi" w:hAnsiTheme="minorHAnsi"/>
          <w:szCs w:val="24"/>
        </w:rPr>
        <w:t>T SG3 since early 2014 has been extended to other study g</w:t>
      </w:r>
      <w:r w:rsidR="00F02444" w:rsidRPr="00EE5777">
        <w:rPr>
          <w:rFonts w:asciiTheme="minorHAnsi" w:hAnsiTheme="minorHAnsi"/>
          <w:szCs w:val="24"/>
        </w:rPr>
        <w:t>roups and their regional groups (</w:t>
      </w:r>
      <w:r w:rsidR="000050F6" w:rsidRPr="00EE5777">
        <w:rPr>
          <w:rFonts w:asciiTheme="minorHAnsi" w:hAnsiTheme="minorHAnsi"/>
          <w:szCs w:val="24"/>
        </w:rPr>
        <w:t>3 sessions in the regions and 7 in Geneva in 2017</w:t>
      </w:r>
      <w:r w:rsidR="00F02444" w:rsidRPr="00EE5777">
        <w:rPr>
          <w:rFonts w:asciiTheme="minorHAnsi" w:hAnsiTheme="minorHAnsi"/>
          <w:szCs w:val="24"/>
        </w:rPr>
        <w:t>)</w:t>
      </w:r>
      <w:r w:rsidR="000050F6" w:rsidRPr="00EE5777">
        <w:rPr>
          <w:rFonts w:asciiTheme="minorHAnsi" w:hAnsiTheme="minorHAnsi"/>
          <w:szCs w:val="24"/>
        </w:rPr>
        <w:t xml:space="preserve">. These BSG Hands-On sessions </w:t>
      </w:r>
      <w:r w:rsidR="00F02444" w:rsidRPr="00EE5777">
        <w:rPr>
          <w:rFonts w:asciiTheme="minorHAnsi" w:hAnsiTheme="minorHAnsi"/>
          <w:szCs w:val="24"/>
        </w:rPr>
        <w:t>were</w:t>
      </w:r>
      <w:r w:rsidR="000050F6" w:rsidRPr="00EE5777">
        <w:rPr>
          <w:rFonts w:asciiTheme="minorHAnsi" w:hAnsiTheme="minorHAnsi"/>
          <w:szCs w:val="24"/>
        </w:rPr>
        <w:t xml:space="preserve"> geared towards assisting developing countries in acquiring the right skills and capabilities for international standards-making and </w:t>
      </w:r>
      <w:r w:rsidR="00F02444" w:rsidRPr="00EE5777">
        <w:rPr>
          <w:rFonts w:asciiTheme="minorHAnsi" w:hAnsiTheme="minorHAnsi"/>
          <w:szCs w:val="24"/>
        </w:rPr>
        <w:t>d</w:t>
      </w:r>
      <w:r w:rsidR="000050F6" w:rsidRPr="00EE5777">
        <w:rPr>
          <w:rFonts w:asciiTheme="minorHAnsi" w:hAnsiTheme="minorHAnsi"/>
          <w:szCs w:val="24"/>
        </w:rPr>
        <w:t>raft</w:t>
      </w:r>
      <w:r w:rsidR="00F02444" w:rsidRPr="00EE5777">
        <w:rPr>
          <w:rFonts w:asciiTheme="minorHAnsi" w:hAnsiTheme="minorHAnsi"/>
          <w:szCs w:val="24"/>
        </w:rPr>
        <w:t>ing</w:t>
      </w:r>
      <w:r w:rsidR="000050F6" w:rsidRPr="00EE5777">
        <w:rPr>
          <w:rFonts w:asciiTheme="minorHAnsi" w:hAnsiTheme="minorHAnsi"/>
          <w:szCs w:val="24"/>
        </w:rPr>
        <w:t xml:space="preserve"> contributions for meetings. The sessions focus</w:t>
      </w:r>
      <w:r w:rsidR="00F02444" w:rsidRPr="00EE5777">
        <w:rPr>
          <w:rFonts w:asciiTheme="minorHAnsi" w:hAnsiTheme="minorHAnsi"/>
          <w:szCs w:val="24"/>
        </w:rPr>
        <w:t>ed</w:t>
      </w:r>
      <w:r w:rsidR="000050F6" w:rsidRPr="00EE5777">
        <w:rPr>
          <w:rFonts w:asciiTheme="minorHAnsi" w:hAnsiTheme="minorHAnsi"/>
          <w:szCs w:val="24"/>
        </w:rPr>
        <w:t xml:space="preserve"> on the development of practical skills to maximize the effectiveness of developing countries’ participation in the ITU-T standardization process, covering topics</w:t>
      </w:r>
      <w:r w:rsidR="00F02444" w:rsidRPr="00EE5777">
        <w:rPr>
          <w:rFonts w:asciiTheme="minorHAnsi" w:hAnsiTheme="minorHAnsi"/>
          <w:szCs w:val="24"/>
        </w:rPr>
        <w:t>, such as</w:t>
      </w:r>
      <w:r w:rsidR="000050F6" w:rsidRPr="00EE5777">
        <w:rPr>
          <w:rFonts w:asciiTheme="minorHAnsi" w:hAnsiTheme="minorHAnsi"/>
          <w:szCs w:val="24"/>
        </w:rPr>
        <w:t xml:space="preserve"> strategies for participation in Study Groups, drafting </w:t>
      </w:r>
      <w:r w:rsidR="008133AF">
        <w:rPr>
          <w:rFonts w:asciiTheme="minorHAnsi" w:hAnsiTheme="minorHAnsi"/>
          <w:szCs w:val="24"/>
        </w:rPr>
        <w:t>c</w:t>
      </w:r>
      <w:r w:rsidR="000050F6" w:rsidRPr="00EE5777">
        <w:rPr>
          <w:rFonts w:asciiTheme="minorHAnsi" w:hAnsiTheme="minorHAnsi"/>
          <w:szCs w:val="24"/>
        </w:rPr>
        <w:t>ontributions, presenting proposals, collaborative working methods</w:t>
      </w:r>
      <w:r w:rsidR="008133AF">
        <w:rPr>
          <w:rFonts w:asciiTheme="minorHAnsi" w:hAnsiTheme="minorHAnsi"/>
          <w:szCs w:val="24"/>
        </w:rPr>
        <w:t>,</w:t>
      </w:r>
      <w:r w:rsidR="000050F6" w:rsidRPr="00EE5777">
        <w:rPr>
          <w:rFonts w:asciiTheme="minorHAnsi" w:hAnsiTheme="minorHAnsi"/>
          <w:szCs w:val="24"/>
        </w:rPr>
        <w:t xml:space="preserve"> and means of gaining support and building consensus. </w:t>
      </w:r>
    </w:p>
    <w:p w14:paraId="0B914BDC" w14:textId="77777777" w:rsidR="000050F6"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3.3.5</w:t>
      </w:r>
      <w:r w:rsidRPr="00EE5777">
        <w:rPr>
          <w:rFonts w:asciiTheme="minorHAnsi" w:hAnsiTheme="minorHAnsi"/>
          <w:szCs w:val="24"/>
        </w:rPr>
        <w:tab/>
      </w:r>
      <w:r w:rsidR="000050F6" w:rsidRPr="00EE5777">
        <w:rPr>
          <w:rFonts w:asciiTheme="minorHAnsi" w:hAnsiTheme="minorHAnsi"/>
          <w:szCs w:val="24"/>
        </w:rPr>
        <w:t>In order to ensure continued and enhanced coordination between the regional offices and the work of ITU-T, a schedule of regular conference calls has been put into place between the Directors of the Regional offices, the TSB Director</w:t>
      </w:r>
      <w:r w:rsidR="008133AF">
        <w:rPr>
          <w:rFonts w:asciiTheme="minorHAnsi" w:hAnsiTheme="minorHAnsi"/>
          <w:szCs w:val="24"/>
        </w:rPr>
        <w:t>,</w:t>
      </w:r>
      <w:r w:rsidR="000050F6" w:rsidRPr="00EE5777">
        <w:rPr>
          <w:rFonts w:asciiTheme="minorHAnsi" w:hAnsiTheme="minorHAnsi"/>
          <w:szCs w:val="24"/>
        </w:rPr>
        <w:t xml:space="preserve"> and his senior management. In addition, each of the eleven ITU-T SG executive meeting reports</w:t>
      </w:r>
      <w:r w:rsidR="00F02444" w:rsidRPr="00EE5777">
        <w:rPr>
          <w:rFonts w:asciiTheme="minorHAnsi" w:hAnsiTheme="minorHAnsi"/>
          <w:szCs w:val="24"/>
        </w:rPr>
        <w:t>,</w:t>
      </w:r>
      <w:r w:rsidR="000050F6" w:rsidRPr="00EE5777">
        <w:rPr>
          <w:rFonts w:asciiTheme="minorHAnsi" w:hAnsiTheme="minorHAnsi"/>
          <w:szCs w:val="24"/>
        </w:rPr>
        <w:t xml:space="preserve"> including participation from each region</w:t>
      </w:r>
      <w:r w:rsidR="00F02444" w:rsidRPr="00EE5777">
        <w:rPr>
          <w:rFonts w:asciiTheme="minorHAnsi" w:hAnsiTheme="minorHAnsi"/>
          <w:szCs w:val="24"/>
        </w:rPr>
        <w:t>,</w:t>
      </w:r>
      <w:r w:rsidR="000050F6" w:rsidRPr="00EE5777">
        <w:rPr>
          <w:rFonts w:asciiTheme="minorHAnsi" w:hAnsiTheme="minorHAnsi"/>
          <w:szCs w:val="24"/>
        </w:rPr>
        <w:t xml:space="preserve"> are shared with the Directors of the Regional offices.</w:t>
      </w:r>
    </w:p>
    <w:p w14:paraId="6017F81C" w14:textId="77777777" w:rsidR="00B42D84" w:rsidRPr="00EE5777" w:rsidRDefault="00024847" w:rsidP="00041613">
      <w:pPr>
        <w:pStyle w:val="Heading3"/>
        <w:spacing w:before="120"/>
        <w:rPr>
          <w:rFonts w:asciiTheme="minorHAnsi" w:hAnsiTheme="minorHAnsi"/>
          <w:b w:val="0"/>
          <w:bCs/>
          <w:szCs w:val="24"/>
        </w:rPr>
      </w:pPr>
      <w:r w:rsidRPr="00EE5777">
        <w:rPr>
          <w:rFonts w:asciiTheme="minorHAnsi" w:hAnsiTheme="minorHAnsi"/>
          <w:szCs w:val="24"/>
        </w:rPr>
        <w:t>3.4</w:t>
      </w:r>
      <w:r w:rsidRPr="00EE5777">
        <w:rPr>
          <w:rFonts w:asciiTheme="minorHAnsi" w:hAnsiTheme="minorHAnsi"/>
          <w:szCs w:val="24"/>
        </w:rPr>
        <w:tab/>
      </w:r>
      <w:r w:rsidR="00300726" w:rsidRPr="00EE5777">
        <w:rPr>
          <w:rFonts w:asciiTheme="minorHAnsi" w:hAnsiTheme="minorHAnsi"/>
          <w:bCs/>
          <w:szCs w:val="24"/>
        </w:rPr>
        <w:t>G</w:t>
      </w:r>
      <w:r w:rsidR="00B42D84" w:rsidRPr="00EE5777">
        <w:rPr>
          <w:rFonts w:asciiTheme="minorHAnsi" w:hAnsiTheme="minorHAnsi"/>
          <w:bCs/>
          <w:szCs w:val="24"/>
        </w:rPr>
        <w:t>eneral Secretariat</w:t>
      </w:r>
    </w:p>
    <w:p w14:paraId="12962510" w14:textId="77777777" w:rsidR="00F340E3" w:rsidRPr="00EE5777" w:rsidRDefault="00024847" w:rsidP="00041613">
      <w:pPr>
        <w:tabs>
          <w:tab w:val="clear" w:pos="1134"/>
          <w:tab w:val="clear" w:pos="1701"/>
          <w:tab w:val="clear" w:pos="2268"/>
          <w:tab w:val="clear" w:pos="2835"/>
        </w:tabs>
        <w:overflowPunct/>
        <w:autoSpaceDE/>
        <w:autoSpaceDN/>
        <w:adjustRightInd/>
        <w:snapToGrid w:val="0"/>
        <w:jc w:val="both"/>
        <w:textAlignment w:val="auto"/>
        <w:rPr>
          <w:rFonts w:asciiTheme="minorHAnsi" w:hAnsiTheme="minorHAnsi"/>
          <w:szCs w:val="24"/>
        </w:rPr>
      </w:pPr>
      <w:r w:rsidRPr="00EE5777">
        <w:rPr>
          <w:rFonts w:asciiTheme="minorHAnsi" w:hAnsiTheme="minorHAnsi"/>
          <w:szCs w:val="24"/>
        </w:rPr>
        <w:t>3.4.1</w:t>
      </w:r>
      <w:r w:rsidRPr="00EE5777">
        <w:rPr>
          <w:rFonts w:asciiTheme="minorHAnsi" w:hAnsiTheme="minorHAnsi"/>
          <w:szCs w:val="24"/>
        </w:rPr>
        <w:tab/>
      </w:r>
      <w:r w:rsidR="00F340E3" w:rsidRPr="00EE5777">
        <w:rPr>
          <w:rFonts w:asciiTheme="minorHAnsi" w:hAnsiTheme="minorHAnsi"/>
          <w:szCs w:val="24"/>
        </w:rPr>
        <w:t xml:space="preserve">With the 2030 Agenda for Sustainable Development, which acknowledges the important role of ICTs as a critical enabler for advancing the globally agreed sustainable development goals (SDGs), cooperation between the ITU regional and area offices with relevant regional and other international organizations dealing with development and financial matters will continue to be enhanced. Levering ITU membership in the UN development system, and as a financial contributor to the UN Resident Coordinator system, to ensure that the enabling ICT dimension is adequately reflected in United Nations Development Assistance Frameworks (UNDAFS) and equivalent documents as well as in poverty reduction strategies will be strengthened. </w:t>
      </w:r>
    </w:p>
    <w:p w14:paraId="251896F4" w14:textId="63DA94CE" w:rsidR="00F340E3" w:rsidRPr="00EE5777" w:rsidRDefault="00024847" w:rsidP="00041613">
      <w:pPr>
        <w:tabs>
          <w:tab w:val="clear" w:pos="1134"/>
          <w:tab w:val="clear" w:pos="1701"/>
          <w:tab w:val="clear" w:pos="2268"/>
          <w:tab w:val="clear" w:pos="2835"/>
        </w:tabs>
        <w:overflowPunct/>
        <w:autoSpaceDE/>
        <w:autoSpaceDN/>
        <w:adjustRightInd/>
        <w:snapToGrid w:val="0"/>
        <w:jc w:val="both"/>
        <w:textAlignment w:val="auto"/>
        <w:rPr>
          <w:rFonts w:asciiTheme="minorHAnsi" w:hAnsiTheme="minorHAnsi"/>
          <w:szCs w:val="24"/>
        </w:rPr>
      </w:pPr>
      <w:r w:rsidRPr="00EE5777">
        <w:rPr>
          <w:rFonts w:asciiTheme="minorHAnsi" w:hAnsiTheme="minorHAnsi"/>
          <w:szCs w:val="24"/>
        </w:rPr>
        <w:t>3.4.2</w:t>
      </w:r>
      <w:r w:rsidRPr="00EE5777">
        <w:rPr>
          <w:rFonts w:asciiTheme="minorHAnsi" w:hAnsiTheme="minorHAnsi"/>
          <w:szCs w:val="24"/>
        </w:rPr>
        <w:tab/>
      </w:r>
      <w:r w:rsidR="00F340E3" w:rsidRPr="00EE5777">
        <w:rPr>
          <w:rFonts w:asciiTheme="minorHAnsi" w:hAnsiTheme="minorHAnsi"/>
          <w:szCs w:val="24"/>
        </w:rPr>
        <w:t>Council-16 resolved to use the WSIS framework as the foundation through which ITU helps to achieve the 2030 Agenda, within ITU’s mandate and within the allocated resources in the financial plan and biennial budget, noting the WSIS-SDG Matrix developed by UN Agencies.</w:t>
      </w:r>
      <w:r w:rsidR="00216EB2" w:rsidRPr="00EE5777">
        <w:rPr>
          <w:rFonts w:asciiTheme="minorHAnsi" w:hAnsiTheme="minorHAnsi"/>
          <w:szCs w:val="24"/>
        </w:rPr>
        <w:t xml:space="preserve"> </w:t>
      </w:r>
      <w:r w:rsidR="005619A6" w:rsidRPr="00EE5777">
        <w:rPr>
          <w:rFonts w:asciiTheme="minorHAnsi" w:hAnsiTheme="minorHAnsi"/>
          <w:szCs w:val="24"/>
        </w:rPr>
        <w:t xml:space="preserve">With the aim of strengthening the implementation of the WSIS Outcomes at the regional level, ITU regional and area offices, are encouraged to continue to coordinate and collaborate at the regional level (with the assistance of the WSIS Team) with the UN regional economic commissions and UN Regional Development Group, as well as all UN agencies (in particular those acting as facilitator for WSIS </w:t>
      </w:r>
      <w:r w:rsidR="008133AF">
        <w:rPr>
          <w:rFonts w:asciiTheme="minorHAnsi" w:hAnsiTheme="minorHAnsi"/>
          <w:szCs w:val="24"/>
        </w:rPr>
        <w:lastRenderedPageBreak/>
        <w:t>A</w:t>
      </w:r>
      <w:r w:rsidR="005619A6" w:rsidRPr="00EE5777">
        <w:rPr>
          <w:rFonts w:asciiTheme="minorHAnsi" w:hAnsiTheme="minorHAnsi"/>
          <w:szCs w:val="24"/>
        </w:rPr>
        <w:t xml:space="preserve">ction </w:t>
      </w:r>
      <w:r w:rsidR="008133AF">
        <w:rPr>
          <w:rFonts w:asciiTheme="minorHAnsi" w:hAnsiTheme="minorHAnsi"/>
          <w:szCs w:val="24"/>
        </w:rPr>
        <w:t>L</w:t>
      </w:r>
      <w:r w:rsidR="005619A6" w:rsidRPr="00EE5777">
        <w:rPr>
          <w:rFonts w:asciiTheme="minorHAnsi" w:hAnsiTheme="minorHAnsi"/>
          <w:szCs w:val="24"/>
        </w:rPr>
        <w:t xml:space="preserve">ines), other relevant regional organizations, especially in the field of telecommunication/ICT, with the aim of aligning WSIS and SDG processes and their implementation as requested by UNGA Resolution 70/125, developing partnerships for implementation of inter-agency and </w:t>
      </w:r>
      <w:proofErr w:type="spellStart"/>
      <w:r w:rsidR="005619A6" w:rsidRPr="00EE5777">
        <w:rPr>
          <w:rFonts w:asciiTheme="minorHAnsi" w:hAnsiTheme="minorHAnsi"/>
          <w:szCs w:val="24"/>
        </w:rPr>
        <w:t>multistakeholder</w:t>
      </w:r>
      <w:proofErr w:type="spellEnd"/>
      <w:r w:rsidR="005619A6" w:rsidRPr="00EE5777">
        <w:rPr>
          <w:rFonts w:asciiTheme="minorHAnsi" w:hAnsiTheme="minorHAnsi"/>
          <w:szCs w:val="24"/>
        </w:rPr>
        <w:t xml:space="preserve"> projects, advancing implementation of WSIS </w:t>
      </w:r>
      <w:r w:rsidR="008133AF" w:rsidRPr="00EE5777">
        <w:rPr>
          <w:rFonts w:asciiTheme="minorHAnsi" w:hAnsiTheme="minorHAnsi"/>
          <w:szCs w:val="24"/>
        </w:rPr>
        <w:t xml:space="preserve">Action Lines </w:t>
      </w:r>
      <w:r w:rsidR="005619A6" w:rsidRPr="00EE5777">
        <w:rPr>
          <w:rFonts w:asciiTheme="minorHAnsi" w:hAnsiTheme="minorHAnsi"/>
          <w:szCs w:val="24"/>
        </w:rPr>
        <w:t>and advancing achievement of SDGs and strengthening regional input to the WSIS Forum, WSIS Prizes and WSIS Stocktaking.</w:t>
      </w:r>
    </w:p>
    <w:p w14:paraId="3B63D4B3" w14:textId="77777777" w:rsidR="00B42D84" w:rsidRPr="00EE5777" w:rsidRDefault="00024847" w:rsidP="00041613">
      <w:pPr>
        <w:pStyle w:val="Heading2"/>
        <w:spacing w:before="120"/>
        <w:rPr>
          <w:rFonts w:asciiTheme="minorHAnsi" w:hAnsiTheme="minorHAnsi"/>
          <w:bCs/>
          <w:szCs w:val="24"/>
        </w:rPr>
      </w:pPr>
      <w:r w:rsidRPr="00EE5777">
        <w:rPr>
          <w:rFonts w:asciiTheme="minorHAnsi" w:hAnsiTheme="minorHAnsi"/>
          <w:szCs w:val="24"/>
        </w:rPr>
        <w:t>4</w:t>
      </w:r>
      <w:r w:rsidRPr="00EE5777">
        <w:rPr>
          <w:rFonts w:asciiTheme="minorHAnsi" w:hAnsiTheme="minorHAnsi"/>
          <w:szCs w:val="24"/>
        </w:rPr>
        <w:tab/>
      </w:r>
      <w:r w:rsidR="00B42D84" w:rsidRPr="00EE5777">
        <w:rPr>
          <w:rFonts w:asciiTheme="minorHAnsi" w:hAnsiTheme="minorHAnsi"/>
          <w:bCs/>
          <w:szCs w:val="24"/>
        </w:rPr>
        <w:t>Structure and staffing level</w:t>
      </w:r>
    </w:p>
    <w:p w14:paraId="7FE3AA7E" w14:textId="3836241C" w:rsidR="00B42D84" w:rsidRPr="00EE5777" w:rsidRDefault="00024847" w:rsidP="004B2621">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4.1</w:t>
      </w:r>
      <w:r w:rsidRPr="00EE5777">
        <w:rPr>
          <w:rFonts w:asciiTheme="minorHAnsi" w:hAnsiTheme="minorHAnsi"/>
          <w:szCs w:val="24"/>
        </w:rPr>
        <w:tab/>
      </w:r>
      <w:r w:rsidR="001A2518" w:rsidRPr="00EE5777">
        <w:rPr>
          <w:rFonts w:asciiTheme="minorHAnsi" w:hAnsiTheme="minorHAnsi" w:cstheme="minorHAnsi"/>
          <w:szCs w:val="24"/>
        </w:rPr>
        <w:t xml:space="preserve">Annexes 5 and 6 </w:t>
      </w:r>
      <w:r w:rsidR="00BD70ED" w:rsidRPr="00EE5777">
        <w:rPr>
          <w:rFonts w:asciiTheme="minorHAnsi" w:hAnsiTheme="minorHAnsi" w:cstheme="minorHAnsi"/>
          <w:szCs w:val="24"/>
        </w:rPr>
        <w:t xml:space="preserve">of </w:t>
      </w:r>
      <w:hyperlink r:id="rId23" w:history="1">
        <w:r w:rsidR="004B2621" w:rsidRPr="004B2621">
          <w:rPr>
            <w:rStyle w:val="Hyperlink"/>
          </w:rPr>
          <w:t>Document C18/INF/6</w:t>
        </w:r>
      </w:hyperlink>
      <w:r w:rsidR="00BD70ED" w:rsidRPr="00EE5777">
        <w:rPr>
          <w:rFonts w:asciiTheme="minorHAnsi" w:hAnsiTheme="minorHAnsi" w:cstheme="minorHAnsi"/>
          <w:szCs w:val="24"/>
        </w:rPr>
        <w:t xml:space="preserve"> </w:t>
      </w:r>
      <w:r w:rsidR="001A2518" w:rsidRPr="00EE5777">
        <w:rPr>
          <w:rFonts w:asciiTheme="minorHAnsi" w:hAnsiTheme="minorHAnsi" w:cstheme="minorHAnsi"/>
          <w:szCs w:val="24"/>
        </w:rPr>
        <w:t>provide the breakdown of the staffing level as of end 2017 for the regional and area offices by grade, region, and office</w:t>
      </w:r>
      <w:r w:rsidR="00363ED4" w:rsidRPr="00EE5777">
        <w:rPr>
          <w:rFonts w:asciiTheme="minorHAnsi" w:hAnsiTheme="minorHAnsi" w:cstheme="minorHAnsi"/>
          <w:szCs w:val="24"/>
        </w:rPr>
        <w:t>.</w:t>
      </w:r>
      <w:r w:rsidR="00216EB2" w:rsidRPr="00EE5777">
        <w:rPr>
          <w:rFonts w:asciiTheme="minorHAnsi" w:hAnsiTheme="minorHAnsi" w:cstheme="minorHAnsi"/>
          <w:szCs w:val="24"/>
        </w:rPr>
        <w:t xml:space="preserve"> </w:t>
      </w:r>
      <w:r w:rsidR="00B42D84" w:rsidRPr="00EE5777">
        <w:rPr>
          <w:rFonts w:asciiTheme="minorHAnsi" w:hAnsiTheme="minorHAnsi"/>
          <w:szCs w:val="24"/>
        </w:rPr>
        <w:t>The BDT structure</w:t>
      </w:r>
      <w:r w:rsidR="00FE17C1" w:rsidRPr="00EE5777">
        <w:rPr>
          <w:rFonts w:asciiTheme="minorHAnsi" w:hAnsiTheme="minorHAnsi"/>
          <w:szCs w:val="24"/>
        </w:rPr>
        <w:t xml:space="preserve"> continues to </w:t>
      </w:r>
      <w:r w:rsidR="00B42D84" w:rsidRPr="00EE5777">
        <w:rPr>
          <w:rFonts w:asciiTheme="minorHAnsi" w:hAnsiTheme="minorHAnsi"/>
          <w:szCs w:val="24"/>
        </w:rPr>
        <w:t>provide a sound basis for a horizontal relationship between headquarters and the field for the delivery of projects.</w:t>
      </w:r>
      <w:r w:rsidR="00216EB2" w:rsidRPr="00EE5777">
        <w:rPr>
          <w:rFonts w:asciiTheme="minorHAnsi" w:hAnsiTheme="minorHAnsi"/>
          <w:szCs w:val="24"/>
        </w:rPr>
        <w:t xml:space="preserve"> </w:t>
      </w:r>
      <w:r w:rsidR="00B42D84" w:rsidRPr="00EE5777">
        <w:rPr>
          <w:rFonts w:asciiTheme="minorHAnsi" w:hAnsiTheme="minorHAnsi"/>
          <w:szCs w:val="24"/>
        </w:rPr>
        <w:t>The structures as well as the staffing level of the various regional and area offices take into consideration the recommendations of the United Nations Joint Inspection Unit on ways to improve the ITU regional presence as well as the need to better respond to membership expectations.</w:t>
      </w:r>
    </w:p>
    <w:p w14:paraId="5C10B150" w14:textId="77777777" w:rsidR="00B42D84"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4.2</w:t>
      </w:r>
      <w:r w:rsidRPr="00EE5777">
        <w:rPr>
          <w:rFonts w:asciiTheme="minorHAnsi" w:hAnsiTheme="minorHAnsi"/>
          <w:szCs w:val="24"/>
        </w:rPr>
        <w:tab/>
      </w:r>
      <w:r w:rsidR="00B42D84" w:rsidRPr="00EE5777">
        <w:rPr>
          <w:rFonts w:asciiTheme="minorHAnsi" w:hAnsiTheme="minorHAnsi"/>
          <w:szCs w:val="24"/>
        </w:rPr>
        <w:t xml:space="preserve">The Regional Directors report directly to the BDT Director. </w:t>
      </w:r>
      <w:r w:rsidR="00363ED4" w:rsidRPr="00EE5777">
        <w:rPr>
          <w:rFonts w:asciiTheme="minorHAnsi" w:hAnsiTheme="minorHAnsi"/>
          <w:szCs w:val="24"/>
        </w:rPr>
        <w:t xml:space="preserve">They </w:t>
      </w:r>
      <w:r w:rsidR="00B42D84" w:rsidRPr="00EE5777">
        <w:rPr>
          <w:rFonts w:asciiTheme="minorHAnsi" w:hAnsiTheme="minorHAnsi"/>
          <w:szCs w:val="24"/>
        </w:rPr>
        <w:t>are members of the BDT Management Committee (ManCom) and therefore participate directly in the discussions on key strategy and policy issues affecting BDT operations, including budget preparation and resource allocation.</w:t>
      </w:r>
    </w:p>
    <w:p w14:paraId="076F288D" w14:textId="77777777" w:rsidR="00B42D84"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hAnsiTheme="minorHAnsi"/>
          <w:szCs w:val="24"/>
        </w:rPr>
        <w:t>4.3</w:t>
      </w:r>
      <w:r w:rsidRPr="00EE5777">
        <w:rPr>
          <w:rFonts w:asciiTheme="minorHAnsi" w:hAnsiTheme="minorHAnsi"/>
          <w:szCs w:val="24"/>
        </w:rPr>
        <w:tab/>
      </w:r>
      <w:r w:rsidR="00363ED4" w:rsidRPr="00EE5777">
        <w:rPr>
          <w:rFonts w:asciiTheme="minorHAnsi" w:hAnsiTheme="minorHAnsi"/>
          <w:szCs w:val="24"/>
        </w:rPr>
        <w:t>T</w:t>
      </w:r>
      <w:r w:rsidR="00B42D84" w:rsidRPr="00EE5777">
        <w:rPr>
          <w:rFonts w:asciiTheme="minorHAnsi" w:hAnsiTheme="minorHAnsi"/>
          <w:szCs w:val="24"/>
        </w:rPr>
        <w:t>he capacity of regional and area offices in specific areas of expertise continues to be strengthened through the recruitment of associate technical experts and support staff under regional initiatives and projects</w:t>
      </w:r>
      <w:r w:rsidR="00363ED4" w:rsidRPr="00EE5777">
        <w:rPr>
          <w:rFonts w:asciiTheme="minorHAnsi" w:hAnsiTheme="minorHAnsi"/>
          <w:szCs w:val="24"/>
        </w:rPr>
        <w:t>, drawing on networks of highly specialized experts.</w:t>
      </w:r>
    </w:p>
    <w:p w14:paraId="4E735E92" w14:textId="77777777" w:rsidR="00B42D84" w:rsidRPr="00EE5777" w:rsidRDefault="00024847" w:rsidP="00041613">
      <w:pPr>
        <w:tabs>
          <w:tab w:val="clear" w:pos="1134"/>
          <w:tab w:val="clear" w:pos="1701"/>
          <w:tab w:val="clear" w:pos="2268"/>
          <w:tab w:val="clear" w:pos="2835"/>
        </w:tabs>
        <w:snapToGrid w:val="0"/>
        <w:jc w:val="both"/>
        <w:rPr>
          <w:rFonts w:asciiTheme="minorHAnsi" w:hAnsiTheme="minorHAnsi" w:cstheme="minorHAnsi"/>
          <w:szCs w:val="24"/>
        </w:rPr>
      </w:pPr>
      <w:r w:rsidRPr="00EE5777">
        <w:rPr>
          <w:rFonts w:asciiTheme="minorHAnsi" w:hAnsiTheme="minorHAnsi"/>
          <w:szCs w:val="24"/>
        </w:rPr>
        <w:t>4.4</w:t>
      </w:r>
      <w:r w:rsidRPr="00EE5777">
        <w:rPr>
          <w:rFonts w:asciiTheme="minorHAnsi" w:hAnsiTheme="minorHAnsi"/>
          <w:szCs w:val="24"/>
        </w:rPr>
        <w:tab/>
      </w:r>
      <w:r w:rsidR="004372F8" w:rsidRPr="00EE5777">
        <w:rPr>
          <w:rFonts w:asciiTheme="minorHAnsi" w:hAnsiTheme="minorHAnsi"/>
          <w:szCs w:val="24"/>
        </w:rPr>
        <w:t>E</w:t>
      </w:r>
      <w:r w:rsidR="00B42D84" w:rsidRPr="00EE5777">
        <w:rPr>
          <w:rFonts w:asciiTheme="minorHAnsi" w:hAnsiTheme="minorHAnsi"/>
          <w:szCs w:val="24"/>
        </w:rPr>
        <w:t xml:space="preserve">fforts are </w:t>
      </w:r>
      <w:r w:rsidR="004372F8" w:rsidRPr="00EE5777">
        <w:rPr>
          <w:rFonts w:asciiTheme="minorHAnsi" w:hAnsiTheme="minorHAnsi"/>
          <w:szCs w:val="24"/>
        </w:rPr>
        <w:t xml:space="preserve">also </w:t>
      </w:r>
      <w:r w:rsidR="00242857" w:rsidRPr="00EE5777">
        <w:rPr>
          <w:rFonts w:asciiTheme="minorHAnsi" w:hAnsiTheme="minorHAnsi"/>
          <w:szCs w:val="24"/>
        </w:rPr>
        <w:t>underway to</w:t>
      </w:r>
      <w:r w:rsidR="00B42D84" w:rsidRPr="00EE5777">
        <w:rPr>
          <w:rFonts w:asciiTheme="minorHAnsi" w:hAnsiTheme="minorHAnsi"/>
          <w:szCs w:val="24"/>
        </w:rPr>
        <w:t xml:space="preserve"> encourag</w:t>
      </w:r>
      <w:r w:rsidR="00242857" w:rsidRPr="00EE5777">
        <w:rPr>
          <w:rFonts w:asciiTheme="minorHAnsi" w:hAnsiTheme="minorHAnsi"/>
          <w:szCs w:val="24"/>
        </w:rPr>
        <w:t>e</w:t>
      </w:r>
      <w:r w:rsidR="00B42D84" w:rsidRPr="00EE5777">
        <w:rPr>
          <w:rFonts w:asciiTheme="minorHAnsi" w:hAnsiTheme="minorHAnsi"/>
          <w:szCs w:val="24"/>
        </w:rPr>
        <w:t xml:space="preserve"> Member States to consider seconding experts to the ITU regional and area offices, including through participation in the Junior Professional Officer (JPO) and United Nations Volunteer (UNV) programmes.</w:t>
      </w:r>
      <w:r w:rsidR="00B42D84" w:rsidRPr="00EE5777">
        <w:rPr>
          <w:rFonts w:asciiTheme="minorHAnsi" w:hAnsiTheme="minorHAnsi" w:cstheme="minorHAnsi"/>
          <w:szCs w:val="24"/>
        </w:rPr>
        <w:tab/>
      </w:r>
    </w:p>
    <w:p w14:paraId="3AFFED77" w14:textId="77777777" w:rsidR="00B42D84" w:rsidRPr="00EE5777" w:rsidRDefault="00024847" w:rsidP="00041613">
      <w:pPr>
        <w:pStyle w:val="Heading2"/>
        <w:spacing w:before="120"/>
        <w:rPr>
          <w:rFonts w:asciiTheme="minorHAnsi" w:eastAsia="Arial Unicode MS" w:hAnsiTheme="minorHAnsi"/>
          <w:szCs w:val="24"/>
        </w:rPr>
      </w:pPr>
      <w:r w:rsidRPr="00EE5777">
        <w:rPr>
          <w:rFonts w:asciiTheme="minorHAnsi" w:hAnsiTheme="minorHAnsi"/>
          <w:szCs w:val="24"/>
        </w:rPr>
        <w:t>5</w:t>
      </w:r>
      <w:r w:rsidRPr="00EE5777">
        <w:rPr>
          <w:rFonts w:asciiTheme="minorHAnsi" w:hAnsiTheme="minorHAnsi"/>
          <w:szCs w:val="24"/>
        </w:rPr>
        <w:tab/>
      </w:r>
      <w:r w:rsidR="00B42D84" w:rsidRPr="00EE5777">
        <w:rPr>
          <w:rFonts w:asciiTheme="minorHAnsi" w:hAnsiTheme="minorHAnsi"/>
          <w:szCs w:val="24"/>
        </w:rPr>
        <w:t>Support activities towards empowering regional and area offices</w:t>
      </w:r>
    </w:p>
    <w:p w14:paraId="0745D3B0" w14:textId="77777777" w:rsidR="00B42D84" w:rsidRPr="00EE5777" w:rsidRDefault="00024847" w:rsidP="00041613">
      <w:pPr>
        <w:tabs>
          <w:tab w:val="clear" w:pos="1134"/>
          <w:tab w:val="clear" w:pos="1701"/>
          <w:tab w:val="clear" w:pos="2268"/>
          <w:tab w:val="clear" w:pos="2835"/>
        </w:tabs>
        <w:snapToGrid w:val="0"/>
        <w:jc w:val="both"/>
        <w:rPr>
          <w:rFonts w:asciiTheme="minorHAnsi" w:eastAsia="Arial Unicode MS" w:hAnsiTheme="minorHAnsi" w:cstheme="minorHAnsi"/>
          <w:szCs w:val="24"/>
        </w:rPr>
      </w:pPr>
      <w:r w:rsidRPr="00EE5777">
        <w:rPr>
          <w:rFonts w:asciiTheme="minorHAnsi" w:eastAsia="Arial Unicode MS" w:hAnsiTheme="minorHAnsi" w:cstheme="minorHAnsi"/>
          <w:szCs w:val="24"/>
        </w:rPr>
        <w:t>5.1</w:t>
      </w:r>
      <w:r w:rsidRPr="00EE5777">
        <w:rPr>
          <w:rFonts w:asciiTheme="minorHAnsi" w:eastAsia="Arial Unicode MS" w:hAnsiTheme="minorHAnsi" w:cstheme="minorHAnsi"/>
          <w:szCs w:val="24"/>
        </w:rPr>
        <w:tab/>
      </w:r>
      <w:r w:rsidR="002B0064" w:rsidRPr="00EE5777">
        <w:rPr>
          <w:rFonts w:asciiTheme="minorHAnsi" w:eastAsia="Arial Unicode MS" w:hAnsiTheme="minorHAnsi" w:cstheme="minorHAnsi"/>
          <w:szCs w:val="24"/>
        </w:rPr>
        <w:t xml:space="preserve">As indicated </w:t>
      </w:r>
      <w:r w:rsidR="006A65C2" w:rsidRPr="00EE5777">
        <w:rPr>
          <w:rFonts w:asciiTheme="minorHAnsi" w:eastAsia="Arial Unicode MS" w:hAnsiTheme="minorHAnsi" w:cstheme="minorHAnsi"/>
          <w:szCs w:val="24"/>
        </w:rPr>
        <w:t>in document C</w:t>
      </w:r>
      <w:r w:rsidR="002B0064" w:rsidRPr="00EE5777">
        <w:rPr>
          <w:rFonts w:asciiTheme="minorHAnsi" w:eastAsia="Arial Unicode MS" w:hAnsiTheme="minorHAnsi" w:cstheme="minorHAnsi"/>
          <w:szCs w:val="24"/>
        </w:rPr>
        <w:t xml:space="preserve">17/25 submitted to Council 2017, the </w:t>
      </w:r>
      <w:r w:rsidR="006A65C2" w:rsidRPr="00EE5777">
        <w:rPr>
          <w:rFonts w:asciiTheme="minorHAnsi" w:eastAsia="Arial Unicode MS" w:hAnsiTheme="minorHAnsi" w:cstheme="minorHAnsi"/>
          <w:szCs w:val="24"/>
        </w:rPr>
        <w:t>C</w:t>
      </w:r>
      <w:r w:rsidR="00B42D84" w:rsidRPr="00EE5777">
        <w:rPr>
          <w:rFonts w:asciiTheme="minorHAnsi" w:eastAsia="Arial Unicode MS" w:hAnsiTheme="minorHAnsi" w:cstheme="minorHAnsi"/>
          <w:szCs w:val="24"/>
        </w:rPr>
        <w:t xml:space="preserve">ash Management and Financial Guidelines for ITUs Regional/Area Offices </w:t>
      </w:r>
      <w:r w:rsidR="002B0064" w:rsidRPr="00EE5777">
        <w:rPr>
          <w:rFonts w:asciiTheme="minorHAnsi" w:eastAsia="Arial Unicode MS" w:hAnsiTheme="minorHAnsi" w:cstheme="minorHAnsi"/>
          <w:szCs w:val="24"/>
        </w:rPr>
        <w:t>have</w:t>
      </w:r>
      <w:r w:rsidR="006A65C2" w:rsidRPr="00EE5777">
        <w:rPr>
          <w:rFonts w:asciiTheme="minorHAnsi" w:eastAsia="Arial Unicode MS" w:hAnsiTheme="minorHAnsi" w:cstheme="minorHAnsi"/>
          <w:szCs w:val="24"/>
        </w:rPr>
        <w:t xml:space="preserve"> been</w:t>
      </w:r>
      <w:r w:rsidR="00B42D84" w:rsidRPr="00EE5777">
        <w:rPr>
          <w:rFonts w:asciiTheme="minorHAnsi" w:eastAsia="Arial Unicode MS" w:hAnsiTheme="minorHAnsi" w:cstheme="minorHAnsi"/>
          <w:szCs w:val="24"/>
        </w:rPr>
        <w:t xml:space="preserve"> developed and transmitted to Regional/Area Offices in response to internal auditor’s recommendation.</w:t>
      </w:r>
    </w:p>
    <w:p w14:paraId="1CD6B82B" w14:textId="77777777" w:rsidR="00B42D84" w:rsidRPr="00EE5777" w:rsidRDefault="00024847" w:rsidP="00041613">
      <w:pPr>
        <w:tabs>
          <w:tab w:val="clear" w:pos="1134"/>
          <w:tab w:val="clear" w:pos="1701"/>
          <w:tab w:val="clear" w:pos="2268"/>
          <w:tab w:val="clear" w:pos="2835"/>
        </w:tabs>
        <w:snapToGrid w:val="0"/>
        <w:jc w:val="both"/>
        <w:rPr>
          <w:rFonts w:asciiTheme="minorHAnsi" w:eastAsia="Arial Unicode MS" w:hAnsiTheme="minorHAnsi" w:cstheme="minorHAnsi"/>
          <w:szCs w:val="24"/>
        </w:rPr>
      </w:pPr>
      <w:r w:rsidRPr="00EE5777">
        <w:rPr>
          <w:rFonts w:asciiTheme="minorHAnsi" w:eastAsia="Arial Unicode MS" w:hAnsiTheme="minorHAnsi" w:cstheme="minorHAnsi"/>
          <w:szCs w:val="24"/>
        </w:rPr>
        <w:t>5.2</w:t>
      </w:r>
      <w:r w:rsidRPr="00EE5777">
        <w:rPr>
          <w:rFonts w:asciiTheme="minorHAnsi" w:eastAsia="Arial Unicode MS" w:hAnsiTheme="minorHAnsi" w:cstheme="minorHAnsi"/>
          <w:szCs w:val="24"/>
        </w:rPr>
        <w:tab/>
      </w:r>
      <w:r w:rsidR="002B0064" w:rsidRPr="00EE5777">
        <w:rPr>
          <w:rFonts w:asciiTheme="minorHAnsi" w:eastAsia="Arial Unicode MS" w:hAnsiTheme="minorHAnsi" w:cstheme="minorHAnsi"/>
          <w:szCs w:val="24"/>
        </w:rPr>
        <w:t>Regional Directors continue to have a g</w:t>
      </w:r>
      <w:r w:rsidR="00B42D84" w:rsidRPr="00EE5777">
        <w:rPr>
          <w:rFonts w:asciiTheme="minorHAnsi" w:eastAsia="Arial Unicode MS" w:hAnsiTheme="minorHAnsi" w:cstheme="minorHAnsi"/>
          <w:szCs w:val="24"/>
        </w:rPr>
        <w:t>reater delegation of authority</w:t>
      </w:r>
      <w:r w:rsidR="002B0064" w:rsidRPr="00EE5777">
        <w:rPr>
          <w:rFonts w:asciiTheme="minorHAnsi" w:eastAsia="Arial Unicode MS" w:hAnsiTheme="minorHAnsi" w:cstheme="minorHAnsi"/>
          <w:szCs w:val="24"/>
        </w:rPr>
        <w:t xml:space="preserve"> covering</w:t>
      </w:r>
      <w:r w:rsidR="00B42D84" w:rsidRPr="00EE5777">
        <w:rPr>
          <w:rFonts w:asciiTheme="minorHAnsi" w:eastAsia="Arial Unicode MS" w:hAnsiTheme="minorHAnsi" w:cstheme="minorHAnsi"/>
          <w:szCs w:val="24"/>
        </w:rPr>
        <w:t xml:space="preserve"> not only projects but also the implementation of the operational plan and regional initiatives, i.e.:</w:t>
      </w:r>
    </w:p>
    <w:p w14:paraId="74640A0E" w14:textId="77777777" w:rsidR="00B42D84" w:rsidRPr="00EE5777" w:rsidRDefault="00B42D84" w:rsidP="00163280">
      <w:pPr>
        <w:pStyle w:val="ListParagraph"/>
        <w:numPr>
          <w:ilvl w:val="0"/>
          <w:numId w:val="10"/>
        </w:numPr>
        <w:snapToGrid w:val="0"/>
        <w:spacing w:before="60" w:after="0" w:line="240" w:lineRule="auto"/>
        <w:ind w:left="567" w:hanging="567"/>
        <w:contextualSpacing w:val="0"/>
        <w:jc w:val="both"/>
        <w:rPr>
          <w:rFonts w:eastAsia="Arial Unicode MS" w:cstheme="minorHAnsi"/>
          <w:sz w:val="24"/>
          <w:szCs w:val="24"/>
          <w:lang w:val="en-GB"/>
        </w:rPr>
      </w:pPr>
      <w:r w:rsidRPr="00EE5777">
        <w:rPr>
          <w:rFonts w:eastAsia="Arial Unicode MS" w:cstheme="minorHAnsi"/>
          <w:sz w:val="24"/>
          <w:szCs w:val="24"/>
          <w:lang w:val="en-GB"/>
        </w:rPr>
        <w:t>signature of projects and cooperation agreements which have a budget of up to USD 150,000,</w:t>
      </w:r>
    </w:p>
    <w:p w14:paraId="3CE2C362" w14:textId="77777777" w:rsidR="00B42D84" w:rsidRPr="00EE5777" w:rsidRDefault="00B42D84" w:rsidP="00163280">
      <w:pPr>
        <w:pStyle w:val="ListParagraph"/>
        <w:numPr>
          <w:ilvl w:val="0"/>
          <w:numId w:val="10"/>
        </w:numPr>
        <w:snapToGrid w:val="0"/>
        <w:spacing w:before="60" w:after="0" w:line="240" w:lineRule="auto"/>
        <w:ind w:left="567" w:hanging="567"/>
        <w:contextualSpacing w:val="0"/>
        <w:jc w:val="both"/>
        <w:rPr>
          <w:rFonts w:eastAsia="Arial Unicode MS" w:cstheme="minorHAnsi"/>
          <w:sz w:val="24"/>
          <w:szCs w:val="24"/>
          <w:lang w:val="en-GB"/>
        </w:rPr>
      </w:pPr>
      <w:r w:rsidRPr="00EE5777">
        <w:rPr>
          <w:rFonts w:eastAsia="Arial Unicode MS" w:cstheme="minorHAnsi"/>
          <w:sz w:val="24"/>
          <w:szCs w:val="24"/>
          <w:lang w:val="en-GB"/>
        </w:rPr>
        <w:t>ad hoc assistance for new actions, and</w:t>
      </w:r>
    </w:p>
    <w:p w14:paraId="626E49A9" w14:textId="77777777" w:rsidR="00B42D84" w:rsidRPr="00EE5777" w:rsidRDefault="00B42D84" w:rsidP="00163280">
      <w:pPr>
        <w:pStyle w:val="ListParagraph"/>
        <w:numPr>
          <w:ilvl w:val="0"/>
          <w:numId w:val="10"/>
        </w:numPr>
        <w:snapToGrid w:val="0"/>
        <w:spacing w:before="60" w:after="0" w:line="240" w:lineRule="auto"/>
        <w:ind w:left="567" w:hanging="567"/>
        <w:contextualSpacing w:val="0"/>
        <w:jc w:val="both"/>
        <w:rPr>
          <w:rFonts w:eastAsia="Arial Unicode MS" w:cstheme="minorHAnsi"/>
          <w:sz w:val="24"/>
          <w:szCs w:val="24"/>
          <w:lang w:val="en-GB"/>
        </w:rPr>
      </w:pPr>
      <w:proofErr w:type="gramStart"/>
      <w:r w:rsidRPr="00EE5777">
        <w:rPr>
          <w:rFonts w:eastAsia="Arial Unicode MS" w:cstheme="minorHAnsi"/>
          <w:sz w:val="24"/>
          <w:szCs w:val="24"/>
          <w:lang w:val="en-GB"/>
        </w:rPr>
        <w:t>operational</w:t>
      </w:r>
      <w:proofErr w:type="gramEnd"/>
      <w:r w:rsidRPr="00EE5777">
        <w:rPr>
          <w:rFonts w:eastAsia="Arial Unicode MS" w:cstheme="minorHAnsi"/>
          <w:sz w:val="24"/>
          <w:szCs w:val="24"/>
          <w:lang w:val="en-GB"/>
        </w:rPr>
        <w:t xml:space="preserve"> plan for budget allocation and management.</w:t>
      </w:r>
    </w:p>
    <w:p w14:paraId="3C0CC80A" w14:textId="77777777" w:rsidR="00B42D84" w:rsidRPr="00EE5777" w:rsidRDefault="00024847" w:rsidP="00041613">
      <w:pPr>
        <w:tabs>
          <w:tab w:val="clear" w:pos="1134"/>
          <w:tab w:val="clear" w:pos="1701"/>
          <w:tab w:val="clear" w:pos="2268"/>
          <w:tab w:val="clear" w:pos="2835"/>
        </w:tabs>
        <w:snapToGrid w:val="0"/>
        <w:jc w:val="both"/>
        <w:rPr>
          <w:rFonts w:asciiTheme="minorHAnsi" w:hAnsiTheme="minorHAnsi"/>
          <w:szCs w:val="24"/>
        </w:rPr>
      </w:pPr>
      <w:r w:rsidRPr="00EE5777">
        <w:rPr>
          <w:rFonts w:asciiTheme="minorHAnsi" w:eastAsia="Arial Unicode MS" w:hAnsiTheme="minorHAnsi" w:cstheme="minorHAnsi"/>
          <w:szCs w:val="24"/>
        </w:rPr>
        <w:t>5.3</w:t>
      </w:r>
      <w:r w:rsidRPr="00EE5777">
        <w:rPr>
          <w:rFonts w:asciiTheme="minorHAnsi" w:eastAsia="Arial Unicode MS" w:hAnsiTheme="minorHAnsi" w:cstheme="minorHAnsi"/>
          <w:szCs w:val="24"/>
        </w:rPr>
        <w:tab/>
      </w:r>
      <w:r w:rsidR="008D232D" w:rsidRPr="00EE5777">
        <w:rPr>
          <w:rFonts w:asciiTheme="minorHAnsi" w:eastAsia="Arial Unicode MS" w:hAnsiTheme="minorHAnsi" w:cstheme="minorHAnsi"/>
          <w:szCs w:val="24"/>
        </w:rPr>
        <w:t xml:space="preserve">A number of </w:t>
      </w:r>
      <w:r w:rsidR="00B42D84" w:rsidRPr="00EE5777">
        <w:rPr>
          <w:rFonts w:asciiTheme="minorHAnsi" w:hAnsiTheme="minorHAnsi" w:cstheme="minorHAnsi"/>
          <w:szCs w:val="24"/>
        </w:rPr>
        <w:t>processes</w:t>
      </w:r>
      <w:r w:rsidR="008D232D" w:rsidRPr="00EE5777">
        <w:rPr>
          <w:rFonts w:asciiTheme="minorHAnsi" w:hAnsiTheme="minorHAnsi" w:cstheme="minorHAnsi"/>
          <w:szCs w:val="24"/>
        </w:rPr>
        <w:t xml:space="preserve"> have been</w:t>
      </w:r>
      <w:r w:rsidR="00B42D84" w:rsidRPr="00EE5777">
        <w:rPr>
          <w:rFonts w:asciiTheme="minorHAnsi" w:hAnsiTheme="minorHAnsi" w:cstheme="minorHAnsi"/>
          <w:szCs w:val="24"/>
        </w:rPr>
        <w:t xml:space="preserve"> improved, automated, and made accessible for regional and area offices through a dedicated web portal, including</w:t>
      </w:r>
      <w:r w:rsidR="0098340D" w:rsidRPr="00EE5777">
        <w:rPr>
          <w:rFonts w:asciiTheme="minorHAnsi" w:hAnsiTheme="minorHAnsi" w:cstheme="minorHAnsi"/>
          <w:szCs w:val="24"/>
        </w:rPr>
        <w:t xml:space="preserve"> the </w:t>
      </w:r>
      <w:r w:rsidR="00B42D84" w:rsidRPr="00EE5777">
        <w:rPr>
          <w:rFonts w:asciiTheme="minorHAnsi" w:hAnsiTheme="minorHAnsi" w:cstheme="minorHAnsi"/>
          <w:szCs w:val="24"/>
        </w:rPr>
        <w:t>recruitment of experts</w:t>
      </w:r>
      <w:r w:rsidR="0098340D" w:rsidRPr="00EE5777">
        <w:rPr>
          <w:rFonts w:asciiTheme="minorHAnsi" w:hAnsiTheme="minorHAnsi" w:cstheme="minorHAnsi"/>
          <w:szCs w:val="24"/>
        </w:rPr>
        <w:t xml:space="preserve">, </w:t>
      </w:r>
      <w:r w:rsidR="00C57216" w:rsidRPr="00EE5777">
        <w:rPr>
          <w:rFonts w:asciiTheme="minorHAnsi" w:hAnsiTheme="minorHAnsi" w:cstheme="minorHAnsi"/>
          <w:szCs w:val="24"/>
        </w:rPr>
        <w:t>t</w:t>
      </w:r>
      <w:r w:rsidR="00695436" w:rsidRPr="00EE5777">
        <w:rPr>
          <w:rFonts w:asciiTheme="minorHAnsi" w:hAnsiTheme="minorHAnsi" w:cstheme="minorHAnsi"/>
          <w:szCs w:val="24"/>
        </w:rPr>
        <w:t>ravel</w:t>
      </w:r>
      <w:r w:rsidR="00B42D84" w:rsidRPr="00EE5777">
        <w:rPr>
          <w:rFonts w:asciiTheme="minorHAnsi" w:hAnsiTheme="minorHAnsi" w:cstheme="minorHAnsi"/>
          <w:szCs w:val="24"/>
        </w:rPr>
        <w:t xml:space="preserve"> requests</w:t>
      </w:r>
      <w:r w:rsidR="0098340D" w:rsidRPr="00EE5777">
        <w:rPr>
          <w:rFonts w:asciiTheme="minorHAnsi" w:hAnsiTheme="minorHAnsi" w:cstheme="minorHAnsi"/>
          <w:szCs w:val="24"/>
        </w:rPr>
        <w:t xml:space="preserve">, </w:t>
      </w:r>
      <w:r w:rsidR="00C57216" w:rsidRPr="00EE5777">
        <w:rPr>
          <w:rFonts w:asciiTheme="minorHAnsi" w:hAnsiTheme="minorHAnsi" w:cstheme="minorHAnsi"/>
          <w:szCs w:val="24"/>
        </w:rPr>
        <w:t>r</w:t>
      </w:r>
      <w:r w:rsidR="00B42D84" w:rsidRPr="00EE5777">
        <w:rPr>
          <w:rFonts w:asciiTheme="minorHAnsi" w:hAnsiTheme="minorHAnsi" w:cstheme="minorHAnsi"/>
          <w:szCs w:val="24"/>
        </w:rPr>
        <w:t>equests for commitment of expenditure (SRM)</w:t>
      </w:r>
      <w:r w:rsidR="0098340D" w:rsidRPr="00EE5777">
        <w:rPr>
          <w:rFonts w:asciiTheme="minorHAnsi" w:hAnsiTheme="minorHAnsi" w:cstheme="minorHAnsi"/>
          <w:szCs w:val="24"/>
        </w:rPr>
        <w:t xml:space="preserve">, </w:t>
      </w:r>
      <w:r w:rsidR="00C57216" w:rsidRPr="00EE5777">
        <w:rPr>
          <w:rFonts w:asciiTheme="minorHAnsi" w:hAnsiTheme="minorHAnsi" w:cstheme="minorHAnsi"/>
          <w:szCs w:val="24"/>
        </w:rPr>
        <w:t xml:space="preserve">the </w:t>
      </w:r>
      <w:r w:rsidR="00B42D84" w:rsidRPr="00EE5777">
        <w:rPr>
          <w:rFonts w:asciiTheme="minorHAnsi" w:hAnsiTheme="minorHAnsi" w:cstheme="minorHAnsi"/>
          <w:szCs w:val="24"/>
        </w:rPr>
        <w:t>action/operational plan system (planning, monitoring, follow-up)</w:t>
      </w:r>
      <w:r w:rsidR="0098340D" w:rsidRPr="00EE5777">
        <w:rPr>
          <w:rFonts w:asciiTheme="minorHAnsi" w:hAnsiTheme="minorHAnsi" w:cstheme="minorHAnsi"/>
          <w:szCs w:val="24"/>
        </w:rPr>
        <w:t xml:space="preserve">, </w:t>
      </w:r>
      <w:r w:rsidR="00B42D84" w:rsidRPr="00EE5777">
        <w:rPr>
          <w:rFonts w:asciiTheme="minorHAnsi" w:hAnsiTheme="minorHAnsi" w:cstheme="minorHAnsi"/>
          <w:szCs w:val="24"/>
        </w:rPr>
        <w:t>s</w:t>
      </w:r>
      <w:r w:rsidR="00B42D84" w:rsidRPr="00EE5777">
        <w:rPr>
          <w:rFonts w:asciiTheme="minorHAnsi" w:hAnsiTheme="minorHAnsi"/>
          <w:szCs w:val="24"/>
        </w:rPr>
        <w:t>upplier relationship management</w:t>
      </w:r>
      <w:r w:rsidR="0098340D" w:rsidRPr="00EE5777">
        <w:rPr>
          <w:rFonts w:asciiTheme="minorHAnsi" w:hAnsiTheme="minorHAnsi"/>
          <w:szCs w:val="24"/>
        </w:rPr>
        <w:t xml:space="preserve"> and </w:t>
      </w:r>
      <w:r w:rsidR="00B42D84" w:rsidRPr="00EE5777">
        <w:rPr>
          <w:rFonts w:asciiTheme="minorHAnsi" w:hAnsiTheme="minorHAnsi"/>
          <w:szCs w:val="24"/>
        </w:rPr>
        <w:t>events coordination</w:t>
      </w:r>
      <w:r w:rsidR="0098340D" w:rsidRPr="00EE5777">
        <w:rPr>
          <w:rFonts w:asciiTheme="minorHAnsi" w:hAnsiTheme="minorHAnsi"/>
          <w:szCs w:val="24"/>
        </w:rPr>
        <w:t>.</w:t>
      </w:r>
    </w:p>
    <w:p w14:paraId="5162F3D6" w14:textId="36862526" w:rsidR="007114CA" w:rsidRPr="00EE5777" w:rsidRDefault="00024847" w:rsidP="00041613">
      <w:pPr>
        <w:snapToGrid w:val="0"/>
        <w:jc w:val="both"/>
        <w:rPr>
          <w:rFonts w:asciiTheme="minorHAnsi" w:hAnsiTheme="minorHAnsi"/>
          <w:szCs w:val="24"/>
        </w:rPr>
      </w:pPr>
      <w:r w:rsidRPr="00EE5777">
        <w:rPr>
          <w:rFonts w:asciiTheme="minorHAnsi" w:hAnsiTheme="minorHAnsi"/>
          <w:szCs w:val="24"/>
        </w:rPr>
        <w:t>5.4</w:t>
      </w:r>
      <w:r w:rsidRPr="00EE5777">
        <w:rPr>
          <w:rFonts w:asciiTheme="minorHAnsi" w:hAnsiTheme="minorHAnsi"/>
          <w:szCs w:val="24"/>
        </w:rPr>
        <w:tab/>
      </w:r>
      <w:r w:rsidR="007114CA" w:rsidRPr="00EE5777">
        <w:rPr>
          <w:rFonts w:asciiTheme="minorHAnsi" w:hAnsiTheme="minorHAnsi"/>
          <w:szCs w:val="24"/>
        </w:rPr>
        <w:t>Access to working methods has been further improved, including through tools for actions/project planning, monitoring and reporting, as well as the operational plan system (OPS).</w:t>
      </w:r>
      <w:r w:rsidR="00216EB2" w:rsidRPr="00EE5777">
        <w:rPr>
          <w:rFonts w:asciiTheme="minorHAnsi" w:hAnsiTheme="minorHAnsi"/>
          <w:szCs w:val="24"/>
        </w:rPr>
        <w:t xml:space="preserve"> </w:t>
      </w:r>
      <w:r w:rsidR="007114CA" w:rsidRPr="00EE5777">
        <w:rPr>
          <w:rFonts w:asciiTheme="minorHAnsi" w:hAnsiTheme="minorHAnsi"/>
          <w:szCs w:val="24"/>
        </w:rPr>
        <w:t xml:space="preserve">A large effort was placed on minimizing the IT related costs for all </w:t>
      </w:r>
      <w:r w:rsidR="008133AF">
        <w:rPr>
          <w:rFonts w:asciiTheme="minorHAnsi" w:hAnsiTheme="minorHAnsi"/>
          <w:szCs w:val="24"/>
        </w:rPr>
        <w:t>six</w:t>
      </w:r>
      <w:r w:rsidR="007114CA" w:rsidRPr="00EE5777">
        <w:rPr>
          <w:rFonts w:asciiTheme="minorHAnsi" w:hAnsiTheme="minorHAnsi"/>
          <w:szCs w:val="24"/>
        </w:rPr>
        <w:t xml:space="preserve"> Regional Preparatory Meetings. For these meetings, operational and infrastructure requirements was re-assessed to drastically </w:t>
      </w:r>
      <w:r w:rsidR="007114CA" w:rsidRPr="00EE5777">
        <w:rPr>
          <w:rFonts w:asciiTheme="minorHAnsi" w:hAnsiTheme="minorHAnsi"/>
          <w:szCs w:val="24"/>
        </w:rPr>
        <w:lastRenderedPageBreak/>
        <w:t xml:space="preserve">reduce equipment shipped and BDT IT Support was conducted remotely from Headquarters in Geneva. </w:t>
      </w:r>
    </w:p>
    <w:p w14:paraId="5C31282A" w14:textId="77777777" w:rsidR="007114CA" w:rsidRPr="00EE5777" w:rsidRDefault="00024847" w:rsidP="00373996">
      <w:pPr>
        <w:jc w:val="both"/>
        <w:rPr>
          <w:rFonts w:asciiTheme="minorHAnsi" w:hAnsiTheme="minorHAnsi"/>
          <w:szCs w:val="24"/>
        </w:rPr>
      </w:pPr>
      <w:r w:rsidRPr="00EE5777">
        <w:rPr>
          <w:rFonts w:asciiTheme="minorHAnsi" w:hAnsiTheme="minorHAnsi"/>
          <w:szCs w:val="24"/>
        </w:rPr>
        <w:t>5.5</w:t>
      </w:r>
      <w:r w:rsidRPr="00EE5777">
        <w:rPr>
          <w:rFonts w:asciiTheme="minorHAnsi" w:hAnsiTheme="minorHAnsi"/>
          <w:szCs w:val="24"/>
        </w:rPr>
        <w:tab/>
      </w:r>
      <w:r w:rsidR="007114CA" w:rsidRPr="00EE5777">
        <w:rPr>
          <w:rFonts w:asciiTheme="minorHAnsi" w:hAnsiTheme="minorHAnsi"/>
          <w:szCs w:val="24"/>
        </w:rPr>
        <w:t>Significant improvements have been made with respect to connectivity and IT equipment for the Regional and Area Offices. A new BDT approved specification for IT equipment and their life-cycle took effect in 2017, prioritizing the requirements of field offices whils</w:t>
      </w:r>
      <w:r w:rsidR="00316A6B" w:rsidRPr="00EE5777">
        <w:rPr>
          <w:rFonts w:asciiTheme="minorHAnsi" w:hAnsiTheme="minorHAnsi"/>
          <w:szCs w:val="24"/>
        </w:rPr>
        <w:t xml:space="preserve">t still benefiting all of BDT. </w:t>
      </w:r>
      <w:r w:rsidR="007114CA" w:rsidRPr="00EE5777">
        <w:rPr>
          <w:rFonts w:asciiTheme="minorHAnsi" w:hAnsiTheme="minorHAnsi"/>
          <w:szCs w:val="24"/>
        </w:rPr>
        <w:t>Following the scheduled end-of-life deadline of certain connectivity equipment in the Regional Offices, new equipment was procured and installed in 2017, replacing several systems in all the Regional Offices.</w:t>
      </w:r>
      <w:r w:rsidR="00216EB2" w:rsidRPr="00EE5777">
        <w:rPr>
          <w:rFonts w:asciiTheme="minorHAnsi" w:hAnsiTheme="minorHAnsi"/>
          <w:szCs w:val="24"/>
        </w:rPr>
        <w:t xml:space="preserve"> </w:t>
      </w:r>
      <w:r w:rsidR="007114CA" w:rsidRPr="00EE5777">
        <w:rPr>
          <w:rFonts w:asciiTheme="minorHAnsi" w:hAnsiTheme="minorHAnsi"/>
          <w:szCs w:val="24"/>
        </w:rPr>
        <w:t>This equipment maximizes the efficiency of data flow, expands the VOIP connectivity between Regional Offices and improves the service availability in the Addis Office.</w:t>
      </w:r>
      <w:r w:rsidR="00216EB2" w:rsidRPr="00EE5777">
        <w:rPr>
          <w:rFonts w:asciiTheme="minorHAnsi" w:hAnsiTheme="minorHAnsi"/>
          <w:szCs w:val="24"/>
        </w:rPr>
        <w:t xml:space="preserve"> </w:t>
      </w:r>
      <w:r w:rsidR="007114CA" w:rsidRPr="00EE5777">
        <w:rPr>
          <w:rFonts w:asciiTheme="minorHAnsi" w:hAnsiTheme="minorHAnsi"/>
          <w:szCs w:val="24"/>
        </w:rPr>
        <w:t>BDT has continued piloting its proof-of-concept with the conference terminals manufacturer, to expand the use of its existing internal video conferencing solution with external users without compromising security nor efficiency.</w:t>
      </w:r>
      <w:r w:rsidR="00216EB2" w:rsidRPr="00EE5777">
        <w:rPr>
          <w:rFonts w:asciiTheme="minorHAnsi" w:hAnsiTheme="minorHAnsi"/>
          <w:szCs w:val="24"/>
        </w:rPr>
        <w:t xml:space="preserve"> </w:t>
      </w:r>
      <w:r w:rsidR="007114CA" w:rsidRPr="00EE5777">
        <w:rPr>
          <w:rFonts w:asciiTheme="minorHAnsi" w:hAnsiTheme="minorHAnsi"/>
          <w:szCs w:val="24"/>
        </w:rPr>
        <w:t>This new feature will be procured and installed in ITU headquarters in 2018.</w:t>
      </w:r>
    </w:p>
    <w:p w14:paraId="64DEC1C6" w14:textId="77777777" w:rsidR="00B42D84" w:rsidRPr="00EE5777" w:rsidRDefault="00024847" w:rsidP="00041613">
      <w:pPr>
        <w:tabs>
          <w:tab w:val="clear" w:pos="1134"/>
          <w:tab w:val="clear" w:pos="1701"/>
          <w:tab w:val="clear" w:pos="2268"/>
          <w:tab w:val="clear" w:pos="2835"/>
        </w:tabs>
        <w:snapToGrid w:val="0"/>
        <w:jc w:val="both"/>
        <w:rPr>
          <w:rFonts w:asciiTheme="minorHAnsi" w:hAnsiTheme="minorHAnsi"/>
          <w:b/>
          <w:bCs/>
          <w:szCs w:val="24"/>
        </w:rPr>
      </w:pPr>
      <w:r w:rsidRPr="00EE5777">
        <w:rPr>
          <w:rFonts w:asciiTheme="minorHAnsi" w:hAnsiTheme="minorHAnsi" w:cstheme="minorHAnsi"/>
          <w:szCs w:val="24"/>
        </w:rPr>
        <w:t>5.6</w:t>
      </w:r>
      <w:r w:rsidRPr="00EE5777">
        <w:rPr>
          <w:rFonts w:asciiTheme="minorHAnsi" w:hAnsiTheme="minorHAnsi" w:cstheme="minorHAnsi"/>
          <w:szCs w:val="24"/>
        </w:rPr>
        <w:tab/>
      </w:r>
      <w:r w:rsidR="00B42D84" w:rsidRPr="00EE5777">
        <w:rPr>
          <w:rFonts w:asciiTheme="minorHAnsi" w:hAnsiTheme="minorHAnsi"/>
          <w:szCs w:val="24"/>
        </w:rPr>
        <w:t>The regional and area offices are duly informed about all circular letters and correspondence regarding their respective regions sent by the secretariat in order to ensure proper follow-up as necessary.</w:t>
      </w:r>
    </w:p>
    <w:p w14:paraId="50BCC60F" w14:textId="77777777" w:rsidR="00264425" w:rsidRDefault="00264425">
      <w:pPr>
        <w:jc w:val="center"/>
        <w:rPr>
          <w:rFonts w:asciiTheme="minorHAnsi" w:hAnsiTheme="minorHAnsi" w:cstheme="minorHAnsi"/>
          <w:szCs w:val="24"/>
          <w:u w:val="single"/>
        </w:rPr>
      </w:pPr>
    </w:p>
    <w:p w14:paraId="75071453" w14:textId="77777777" w:rsidR="00F127C2" w:rsidRPr="00EE5777" w:rsidRDefault="00F127C2">
      <w:pPr>
        <w:jc w:val="center"/>
        <w:rPr>
          <w:rFonts w:asciiTheme="minorHAnsi" w:hAnsiTheme="minorHAnsi" w:cstheme="minorHAnsi"/>
          <w:szCs w:val="24"/>
          <w:u w:val="single"/>
        </w:rPr>
      </w:pPr>
      <w:r>
        <w:rPr>
          <w:rFonts w:asciiTheme="minorHAnsi" w:hAnsiTheme="minorHAnsi" w:cstheme="minorHAnsi"/>
          <w:szCs w:val="24"/>
          <w:u w:val="single"/>
        </w:rPr>
        <w:t>                                     </w:t>
      </w:r>
    </w:p>
    <w:sectPr w:rsidR="00F127C2" w:rsidRPr="00EE5777" w:rsidSect="004D1851">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3ECE2" w14:textId="77777777" w:rsidR="00861135" w:rsidRDefault="00861135">
      <w:r>
        <w:separator/>
      </w:r>
    </w:p>
  </w:endnote>
  <w:endnote w:type="continuationSeparator" w:id="0">
    <w:p w14:paraId="241E87AB" w14:textId="77777777" w:rsidR="00861135" w:rsidRDefault="0086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8816" w14:textId="77777777" w:rsidR="00CB18FF" w:rsidRPr="00A72516" w:rsidRDefault="00CB18FF" w:rsidP="00120E20">
    <w:pPr>
      <w:pStyle w:val="Footer"/>
      <w:rPr>
        <w:color w:val="D9D9D9" w:themeColor="background1" w:themeShade="D9"/>
      </w:rPr>
    </w:pPr>
    <w:r w:rsidRPr="00A72516">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D944" w14:textId="77777777" w:rsidR="00322D0D" w:rsidRPr="00316A6B" w:rsidRDefault="00322D0D" w:rsidP="00316A6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2DEB" w14:textId="77777777" w:rsidR="00861135" w:rsidRDefault="00861135">
      <w:r>
        <w:t>____________________</w:t>
      </w:r>
    </w:p>
  </w:footnote>
  <w:footnote w:type="continuationSeparator" w:id="0">
    <w:p w14:paraId="69CFCDCD" w14:textId="77777777" w:rsidR="00861135" w:rsidRDefault="00861135">
      <w:r>
        <w:continuationSeparator/>
      </w:r>
    </w:p>
  </w:footnote>
  <w:footnote w:id="1">
    <w:p w14:paraId="1A67B24D" w14:textId="77777777" w:rsidR="006246E6" w:rsidRPr="0091116C" w:rsidRDefault="006246E6">
      <w:pPr>
        <w:pStyle w:val="FootnoteText"/>
        <w:rPr>
          <w:sz w:val="20"/>
          <w:lang w:val="en-US"/>
        </w:rPr>
      </w:pPr>
      <w:r>
        <w:rPr>
          <w:rStyle w:val="FootnoteReference"/>
        </w:rPr>
        <w:footnoteRef/>
      </w:r>
      <w:r>
        <w:t xml:space="preserve"> </w:t>
      </w:r>
      <w:r>
        <w:rPr>
          <w:sz w:val="20"/>
          <w:lang w:val="en-US"/>
        </w:rPr>
        <w:t>The financial figures for 2017 are preliminary awaiting the final closure of account</w:t>
      </w:r>
      <w:r w:rsidR="00BC5C82">
        <w:rPr>
          <w:sz w:val="20"/>
          <w:lang w:val="en-US"/>
        </w:rPr>
        <w:t>s</w:t>
      </w:r>
      <w:r>
        <w:rPr>
          <w:sz w:val="20"/>
          <w:lang w:val="en-US"/>
        </w:rPr>
        <w:t>.</w:t>
      </w:r>
      <w:r w:rsidR="00216EB2">
        <w:rPr>
          <w:sz w:val="20"/>
          <w:lang w:val="en-US"/>
        </w:rPr>
        <w:t xml:space="preserve"> </w:t>
      </w:r>
      <w:r>
        <w:rPr>
          <w:sz w:val="20"/>
          <w:lang w:val="en-US"/>
        </w:rPr>
        <w:t xml:space="preserve">Implementation figures refer to funds committed for the implementation of actions/projects.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FCDE" w14:textId="1757B104" w:rsidR="00322D0D" w:rsidRDefault="006535F1" w:rsidP="00CE433C">
    <w:pPr>
      <w:pStyle w:val="Header"/>
    </w:pPr>
    <w:r>
      <w:fldChar w:fldCharType="begin"/>
    </w:r>
    <w:r>
      <w:instrText>PAGE</w:instrText>
    </w:r>
    <w:r>
      <w:fldChar w:fldCharType="separate"/>
    </w:r>
    <w:r w:rsidR="00A5511C">
      <w:rPr>
        <w:noProof/>
      </w:rPr>
      <w:t>9</w:t>
    </w:r>
    <w:r>
      <w:rPr>
        <w:noProof/>
      </w:rPr>
      <w:fldChar w:fldCharType="end"/>
    </w:r>
  </w:p>
  <w:p w14:paraId="2646B6C7" w14:textId="77777777" w:rsidR="00322D0D" w:rsidRDefault="001D588B" w:rsidP="00316A6B">
    <w:pPr>
      <w:pStyle w:val="Header"/>
    </w:pPr>
    <w:r>
      <w:t>C1</w:t>
    </w:r>
    <w:r w:rsidR="00316A6B">
      <w:t>8</w:t>
    </w:r>
    <w:r>
      <w:t>/25-E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7"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3"/>
  </w:num>
  <w:num w:numId="5">
    <w:abstractNumId w:val="4"/>
  </w:num>
  <w:num w:numId="6">
    <w:abstractNumId w:val="7"/>
  </w:num>
  <w:num w:numId="7">
    <w:abstractNumId w:val="8"/>
  </w:num>
  <w:num w:numId="8">
    <w:abstractNumId w:val="1"/>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10D4"/>
    <w:rsid w:val="00022DDF"/>
    <w:rsid w:val="00024847"/>
    <w:rsid w:val="00041613"/>
    <w:rsid w:val="00063016"/>
    <w:rsid w:val="000636C0"/>
    <w:rsid w:val="00063FFE"/>
    <w:rsid w:val="00065450"/>
    <w:rsid w:val="00066795"/>
    <w:rsid w:val="00076AF6"/>
    <w:rsid w:val="00077B9E"/>
    <w:rsid w:val="00083F95"/>
    <w:rsid w:val="00085CF2"/>
    <w:rsid w:val="000A14F2"/>
    <w:rsid w:val="000A59B4"/>
    <w:rsid w:val="000B1705"/>
    <w:rsid w:val="000C37FF"/>
    <w:rsid w:val="000D36F3"/>
    <w:rsid w:val="000D75B2"/>
    <w:rsid w:val="000E0C6D"/>
    <w:rsid w:val="000E7CE7"/>
    <w:rsid w:val="001119BE"/>
    <w:rsid w:val="001121F5"/>
    <w:rsid w:val="001206BA"/>
    <w:rsid w:val="00120E20"/>
    <w:rsid w:val="0012392C"/>
    <w:rsid w:val="001240B9"/>
    <w:rsid w:val="00134C3F"/>
    <w:rsid w:val="001400DC"/>
    <w:rsid w:val="00140CE1"/>
    <w:rsid w:val="00160CC6"/>
    <w:rsid w:val="00163280"/>
    <w:rsid w:val="0017539C"/>
    <w:rsid w:val="00175AC2"/>
    <w:rsid w:val="0017609F"/>
    <w:rsid w:val="0018021C"/>
    <w:rsid w:val="00184564"/>
    <w:rsid w:val="00192223"/>
    <w:rsid w:val="001A2518"/>
    <w:rsid w:val="001B4DA2"/>
    <w:rsid w:val="001C628E"/>
    <w:rsid w:val="001D193A"/>
    <w:rsid w:val="001D39CC"/>
    <w:rsid w:val="001D4E54"/>
    <w:rsid w:val="001D588B"/>
    <w:rsid w:val="001D7974"/>
    <w:rsid w:val="001E0F7B"/>
    <w:rsid w:val="001E11F5"/>
    <w:rsid w:val="001E79E9"/>
    <w:rsid w:val="001F062E"/>
    <w:rsid w:val="002119FD"/>
    <w:rsid w:val="002130E0"/>
    <w:rsid w:val="00216EB2"/>
    <w:rsid w:val="00226C79"/>
    <w:rsid w:val="002376B4"/>
    <w:rsid w:val="00242857"/>
    <w:rsid w:val="00253BEF"/>
    <w:rsid w:val="00257C9D"/>
    <w:rsid w:val="002643DD"/>
    <w:rsid w:val="00264425"/>
    <w:rsid w:val="002647A1"/>
    <w:rsid w:val="00265875"/>
    <w:rsid w:val="00272700"/>
    <w:rsid w:val="0027303B"/>
    <w:rsid w:val="0028109B"/>
    <w:rsid w:val="002867D2"/>
    <w:rsid w:val="00292836"/>
    <w:rsid w:val="002965C8"/>
    <w:rsid w:val="002A74B9"/>
    <w:rsid w:val="002B0064"/>
    <w:rsid w:val="002B1F58"/>
    <w:rsid w:val="002C1C7A"/>
    <w:rsid w:val="002D3B17"/>
    <w:rsid w:val="002E016E"/>
    <w:rsid w:val="002E47EE"/>
    <w:rsid w:val="002F0F61"/>
    <w:rsid w:val="002F5188"/>
    <w:rsid w:val="002F6447"/>
    <w:rsid w:val="002F6578"/>
    <w:rsid w:val="002F6B8A"/>
    <w:rsid w:val="00300726"/>
    <w:rsid w:val="0030160F"/>
    <w:rsid w:val="00316A6B"/>
    <w:rsid w:val="00322D0D"/>
    <w:rsid w:val="00326C3A"/>
    <w:rsid w:val="00340C57"/>
    <w:rsid w:val="00345C2F"/>
    <w:rsid w:val="003515F8"/>
    <w:rsid w:val="0035172D"/>
    <w:rsid w:val="00352238"/>
    <w:rsid w:val="00363ED4"/>
    <w:rsid w:val="0037326A"/>
    <w:rsid w:val="00373996"/>
    <w:rsid w:val="003750F0"/>
    <w:rsid w:val="003942D4"/>
    <w:rsid w:val="003958A8"/>
    <w:rsid w:val="003A29C7"/>
    <w:rsid w:val="003A49C5"/>
    <w:rsid w:val="003A7984"/>
    <w:rsid w:val="003B6182"/>
    <w:rsid w:val="003C2533"/>
    <w:rsid w:val="003C3CC1"/>
    <w:rsid w:val="003E4753"/>
    <w:rsid w:val="00402B2D"/>
    <w:rsid w:val="0040435A"/>
    <w:rsid w:val="00416A24"/>
    <w:rsid w:val="00417BBE"/>
    <w:rsid w:val="00431D9E"/>
    <w:rsid w:val="00433CE8"/>
    <w:rsid w:val="00434A5C"/>
    <w:rsid w:val="004356CC"/>
    <w:rsid w:val="004372F8"/>
    <w:rsid w:val="004544D9"/>
    <w:rsid w:val="004878F6"/>
    <w:rsid w:val="00487DE1"/>
    <w:rsid w:val="00490E72"/>
    <w:rsid w:val="00491157"/>
    <w:rsid w:val="004921C8"/>
    <w:rsid w:val="004922FA"/>
    <w:rsid w:val="00495653"/>
    <w:rsid w:val="004A0EB7"/>
    <w:rsid w:val="004B2621"/>
    <w:rsid w:val="004C7B62"/>
    <w:rsid w:val="004D1851"/>
    <w:rsid w:val="004D599D"/>
    <w:rsid w:val="004E2EA5"/>
    <w:rsid w:val="004E3AEB"/>
    <w:rsid w:val="004E5A5D"/>
    <w:rsid w:val="004E6DAC"/>
    <w:rsid w:val="004F402A"/>
    <w:rsid w:val="004F5EAE"/>
    <w:rsid w:val="0050223C"/>
    <w:rsid w:val="00503023"/>
    <w:rsid w:val="00513079"/>
    <w:rsid w:val="00513494"/>
    <w:rsid w:val="005243FF"/>
    <w:rsid w:val="005244B5"/>
    <w:rsid w:val="00537F88"/>
    <w:rsid w:val="0054281F"/>
    <w:rsid w:val="00557C48"/>
    <w:rsid w:val="005619A6"/>
    <w:rsid w:val="00564FBC"/>
    <w:rsid w:val="00581866"/>
    <w:rsid w:val="00582442"/>
    <w:rsid w:val="005848DE"/>
    <w:rsid w:val="00586C79"/>
    <w:rsid w:val="005A5F99"/>
    <w:rsid w:val="005D176A"/>
    <w:rsid w:val="005E7639"/>
    <w:rsid w:val="005F5C13"/>
    <w:rsid w:val="006020D0"/>
    <w:rsid w:val="006046A6"/>
    <w:rsid w:val="00620A05"/>
    <w:rsid w:val="006246E6"/>
    <w:rsid w:val="006267A3"/>
    <w:rsid w:val="00634FF7"/>
    <w:rsid w:val="0064737F"/>
    <w:rsid w:val="006535F1"/>
    <w:rsid w:val="0065557D"/>
    <w:rsid w:val="00657753"/>
    <w:rsid w:val="00662984"/>
    <w:rsid w:val="006716BB"/>
    <w:rsid w:val="0068369A"/>
    <w:rsid w:val="00695436"/>
    <w:rsid w:val="006A6482"/>
    <w:rsid w:val="006A65C2"/>
    <w:rsid w:val="006B6680"/>
    <w:rsid w:val="006B6DCC"/>
    <w:rsid w:val="006C761B"/>
    <w:rsid w:val="006D1B46"/>
    <w:rsid w:val="006D2071"/>
    <w:rsid w:val="006E0273"/>
    <w:rsid w:val="006E079D"/>
    <w:rsid w:val="007001E0"/>
    <w:rsid w:val="00702DEF"/>
    <w:rsid w:val="00706861"/>
    <w:rsid w:val="00706EED"/>
    <w:rsid w:val="007114CA"/>
    <w:rsid w:val="00714BC1"/>
    <w:rsid w:val="00717DF9"/>
    <w:rsid w:val="00721078"/>
    <w:rsid w:val="00727FE4"/>
    <w:rsid w:val="007302AA"/>
    <w:rsid w:val="00730B3B"/>
    <w:rsid w:val="0075051B"/>
    <w:rsid w:val="00752820"/>
    <w:rsid w:val="007614F7"/>
    <w:rsid w:val="00766542"/>
    <w:rsid w:val="00777734"/>
    <w:rsid w:val="007827A3"/>
    <w:rsid w:val="00784A98"/>
    <w:rsid w:val="00794D34"/>
    <w:rsid w:val="007E338D"/>
    <w:rsid w:val="007E603C"/>
    <w:rsid w:val="00804D02"/>
    <w:rsid w:val="00807E14"/>
    <w:rsid w:val="00811107"/>
    <w:rsid w:val="008133AF"/>
    <w:rsid w:val="00813E5E"/>
    <w:rsid w:val="00813E7A"/>
    <w:rsid w:val="008264A7"/>
    <w:rsid w:val="0083581B"/>
    <w:rsid w:val="00844085"/>
    <w:rsid w:val="00857C2B"/>
    <w:rsid w:val="00861135"/>
    <w:rsid w:val="00864229"/>
    <w:rsid w:val="00864AFF"/>
    <w:rsid w:val="008A432D"/>
    <w:rsid w:val="008B4A6A"/>
    <w:rsid w:val="008C02AA"/>
    <w:rsid w:val="008C7942"/>
    <w:rsid w:val="008C7E27"/>
    <w:rsid w:val="008D232D"/>
    <w:rsid w:val="008E26A3"/>
    <w:rsid w:val="008E4A6F"/>
    <w:rsid w:val="008F2A6A"/>
    <w:rsid w:val="008F3CD9"/>
    <w:rsid w:val="0090227F"/>
    <w:rsid w:val="0091116C"/>
    <w:rsid w:val="0091146A"/>
    <w:rsid w:val="009125F4"/>
    <w:rsid w:val="0091302C"/>
    <w:rsid w:val="009173EF"/>
    <w:rsid w:val="00932906"/>
    <w:rsid w:val="00936E29"/>
    <w:rsid w:val="0094206B"/>
    <w:rsid w:val="00942529"/>
    <w:rsid w:val="00944643"/>
    <w:rsid w:val="0096071A"/>
    <w:rsid w:val="00961B0B"/>
    <w:rsid w:val="00965E39"/>
    <w:rsid w:val="009729CF"/>
    <w:rsid w:val="0098340D"/>
    <w:rsid w:val="009843BC"/>
    <w:rsid w:val="0099505B"/>
    <w:rsid w:val="009967BB"/>
    <w:rsid w:val="009A2609"/>
    <w:rsid w:val="009A3FF8"/>
    <w:rsid w:val="009B38C3"/>
    <w:rsid w:val="009C364B"/>
    <w:rsid w:val="009D354E"/>
    <w:rsid w:val="009D3C3E"/>
    <w:rsid w:val="009E17BD"/>
    <w:rsid w:val="009F3E70"/>
    <w:rsid w:val="009F442D"/>
    <w:rsid w:val="00A021CF"/>
    <w:rsid w:val="00A026D6"/>
    <w:rsid w:val="00A04CEC"/>
    <w:rsid w:val="00A11F21"/>
    <w:rsid w:val="00A25F26"/>
    <w:rsid w:val="00A27F92"/>
    <w:rsid w:val="00A32257"/>
    <w:rsid w:val="00A32DF8"/>
    <w:rsid w:val="00A3474F"/>
    <w:rsid w:val="00A36D20"/>
    <w:rsid w:val="00A445C7"/>
    <w:rsid w:val="00A5511C"/>
    <w:rsid w:val="00A55622"/>
    <w:rsid w:val="00A655DA"/>
    <w:rsid w:val="00A704CD"/>
    <w:rsid w:val="00A72516"/>
    <w:rsid w:val="00A83502"/>
    <w:rsid w:val="00AA5D66"/>
    <w:rsid w:val="00AA79AE"/>
    <w:rsid w:val="00AD02F9"/>
    <w:rsid w:val="00AD15B3"/>
    <w:rsid w:val="00AD23A0"/>
    <w:rsid w:val="00AE46BD"/>
    <w:rsid w:val="00AF6E49"/>
    <w:rsid w:val="00B02528"/>
    <w:rsid w:val="00B04A67"/>
    <w:rsid w:val="00B0583C"/>
    <w:rsid w:val="00B30E21"/>
    <w:rsid w:val="00B40A81"/>
    <w:rsid w:val="00B426E5"/>
    <w:rsid w:val="00B42D84"/>
    <w:rsid w:val="00B42DEC"/>
    <w:rsid w:val="00B44910"/>
    <w:rsid w:val="00B45BA3"/>
    <w:rsid w:val="00B61466"/>
    <w:rsid w:val="00B72267"/>
    <w:rsid w:val="00B76EB6"/>
    <w:rsid w:val="00B7737B"/>
    <w:rsid w:val="00B824C8"/>
    <w:rsid w:val="00B943A3"/>
    <w:rsid w:val="00BA4881"/>
    <w:rsid w:val="00BB4255"/>
    <w:rsid w:val="00BC251A"/>
    <w:rsid w:val="00BC5C82"/>
    <w:rsid w:val="00BD032B"/>
    <w:rsid w:val="00BD4CA3"/>
    <w:rsid w:val="00BD70ED"/>
    <w:rsid w:val="00BE2640"/>
    <w:rsid w:val="00BF2A7D"/>
    <w:rsid w:val="00C01189"/>
    <w:rsid w:val="00C05E71"/>
    <w:rsid w:val="00C1377C"/>
    <w:rsid w:val="00C209C3"/>
    <w:rsid w:val="00C357C9"/>
    <w:rsid w:val="00C374DE"/>
    <w:rsid w:val="00C47AD4"/>
    <w:rsid w:val="00C52862"/>
    <w:rsid w:val="00C52D81"/>
    <w:rsid w:val="00C53804"/>
    <w:rsid w:val="00C55198"/>
    <w:rsid w:val="00C567D6"/>
    <w:rsid w:val="00C57216"/>
    <w:rsid w:val="00C70C97"/>
    <w:rsid w:val="00C840A7"/>
    <w:rsid w:val="00C863C4"/>
    <w:rsid w:val="00C92F02"/>
    <w:rsid w:val="00CA6393"/>
    <w:rsid w:val="00CA7F3A"/>
    <w:rsid w:val="00CB18FF"/>
    <w:rsid w:val="00CB339A"/>
    <w:rsid w:val="00CB6BF4"/>
    <w:rsid w:val="00CC34C1"/>
    <w:rsid w:val="00CD0C08"/>
    <w:rsid w:val="00CD1E9C"/>
    <w:rsid w:val="00CE03FB"/>
    <w:rsid w:val="00CE433C"/>
    <w:rsid w:val="00CF33F3"/>
    <w:rsid w:val="00CF4DA2"/>
    <w:rsid w:val="00D06183"/>
    <w:rsid w:val="00D114F4"/>
    <w:rsid w:val="00D22C42"/>
    <w:rsid w:val="00D30883"/>
    <w:rsid w:val="00D35330"/>
    <w:rsid w:val="00D47AF4"/>
    <w:rsid w:val="00D65041"/>
    <w:rsid w:val="00D73820"/>
    <w:rsid w:val="00D73ADB"/>
    <w:rsid w:val="00D77CF2"/>
    <w:rsid w:val="00DB384B"/>
    <w:rsid w:val="00DC2C2A"/>
    <w:rsid w:val="00DD05D2"/>
    <w:rsid w:val="00DD632F"/>
    <w:rsid w:val="00DE2F6B"/>
    <w:rsid w:val="00DF1A3B"/>
    <w:rsid w:val="00E05DFD"/>
    <w:rsid w:val="00E06B41"/>
    <w:rsid w:val="00E10E80"/>
    <w:rsid w:val="00E124F0"/>
    <w:rsid w:val="00E2388E"/>
    <w:rsid w:val="00E23924"/>
    <w:rsid w:val="00E2594C"/>
    <w:rsid w:val="00E44899"/>
    <w:rsid w:val="00E57649"/>
    <w:rsid w:val="00E60F04"/>
    <w:rsid w:val="00E634DF"/>
    <w:rsid w:val="00E70275"/>
    <w:rsid w:val="00E80085"/>
    <w:rsid w:val="00E854E4"/>
    <w:rsid w:val="00EB0D6F"/>
    <w:rsid w:val="00EB2232"/>
    <w:rsid w:val="00EC5337"/>
    <w:rsid w:val="00ED4EC5"/>
    <w:rsid w:val="00EE2002"/>
    <w:rsid w:val="00EE5777"/>
    <w:rsid w:val="00EE7CF6"/>
    <w:rsid w:val="00F02444"/>
    <w:rsid w:val="00F03BFB"/>
    <w:rsid w:val="00F127C2"/>
    <w:rsid w:val="00F1345A"/>
    <w:rsid w:val="00F14F2C"/>
    <w:rsid w:val="00F2150A"/>
    <w:rsid w:val="00F225A3"/>
    <w:rsid w:val="00F231D8"/>
    <w:rsid w:val="00F25893"/>
    <w:rsid w:val="00F30FD3"/>
    <w:rsid w:val="00F340E3"/>
    <w:rsid w:val="00F3515C"/>
    <w:rsid w:val="00F36D5D"/>
    <w:rsid w:val="00F46C5F"/>
    <w:rsid w:val="00F51100"/>
    <w:rsid w:val="00F56E6F"/>
    <w:rsid w:val="00F660A6"/>
    <w:rsid w:val="00F73551"/>
    <w:rsid w:val="00F907A2"/>
    <w:rsid w:val="00F934DD"/>
    <w:rsid w:val="00F94A63"/>
    <w:rsid w:val="00FA1C28"/>
    <w:rsid w:val="00FA5023"/>
    <w:rsid w:val="00FB7596"/>
    <w:rsid w:val="00FD1C4A"/>
    <w:rsid w:val="00FE17C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90262"/>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77CF2"/>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S-CONF-PLEN-2015" TargetMode="External"/><Relationship Id="rId18" Type="http://schemas.openxmlformats.org/officeDocument/2006/relationships/hyperlink" Target="http://www.itu.int/en/ITU-D/Pages/OperationalPlansPerformanceReport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itu.int/md/S18-CL-INF-0006/en" TargetMode="External"/><Relationship Id="rId17" Type="http://schemas.openxmlformats.org/officeDocument/2006/relationships/hyperlink" Target="http://www.itu.int/md/S17-CL-INF-0012/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8-CL-INF-0006/en"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17-CL-C-0025/en" TargetMode="External"/><Relationship Id="rId23" Type="http://schemas.openxmlformats.org/officeDocument/2006/relationships/hyperlink" Target="https://www.itu.int/md/S18-CL-INF-0006/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D/TIES_Protected/PerfReport2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7-CL-INF-0012/en" TargetMode="External"/><Relationship Id="rId22" Type="http://schemas.openxmlformats.org/officeDocument/2006/relationships/hyperlink" Target="https://broadbandcalculator.onlin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2.xml><?xml version="1.0" encoding="utf-8"?>
<ds:datastoreItem xmlns:ds="http://schemas.openxmlformats.org/officeDocument/2006/customXml" ds:itemID="{5EF99ECB-B12A-49C0-9B45-17D8EE547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F964C-8DE5-441E-A7DA-1ED80B2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74D59-D7D9-4D36-B1C3-F38C946F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Strengthening the regional presence</vt:lpstr>
    </vt:vector>
  </TitlesOfParts>
  <Manager>General Secretariat - Pool</Manager>
  <Company>International Telecommunication Union (ITU)</Company>
  <LinksUpToDate>false</LinksUpToDate>
  <CharactersWithSpaces>26744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2017</dc:subject>
  <dc:creator>Brouard, Ricarda</dc:creator>
  <cp:keywords>C2018, C18</cp:keywords>
  <dc:description/>
  <cp:lastModifiedBy>Janin</cp:lastModifiedBy>
  <cp:revision>2</cp:revision>
  <cp:lastPrinted>2017-12-15T15:21:00Z</cp:lastPrinted>
  <dcterms:created xsi:type="dcterms:W3CDTF">2018-03-07T09:42:00Z</dcterms:created>
  <dcterms:modified xsi:type="dcterms:W3CDTF">2018-03-07T09:42:00Z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