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A3B85" w:rsidRPr="00672D15">
        <w:trPr>
          <w:cantSplit/>
        </w:trPr>
        <w:tc>
          <w:tcPr>
            <w:tcW w:w="6911" w:type="dxa"/>
          </w:tcPr>
          <w:p w:rsidR="00FA3B85" w:rsidRPr="00672D15" w:rsidRDefault="00FA3B85" w:rsidP="00FA3B85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672D15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672D1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72D15">
              <w:rPr>
                <w:rFonts w:cs="Arial"/>
                <w:b/>
                <w:bCs/>
                <w:lang w:val="ru-RU"/>
              </w:rPr>
              <w:t>Женева</w:t>
            </w:r>
            <w:r w:rsidRPr="00672D15">
              <w:rPr>
                <w:b/>
                <w:bCs/>
                <w:lang w:val="ru-RU"/>
              </w:rPr>
              <w:t xml:space="preserve">, </w:t>
            </w:r>
            <w:r w:rsidRPr="00672D15">
              <w:rPr>
                <w:b/>
                <w:bCs/>
                <w:szCs w:val="18"/>
                <w:lang w:val="ru-RU"/>
              </w:rPr>
              <w:t>17</w:t>
            </w:r>
            <w:r w:rsidRPr="00672D15">
              <w:rPr>
                <w:szCs w:val="18"/>
                <w:lang w:val="ru-RU"/>
              </w:rPr>
              <w:t>–</w:t>
            </w:r>
            <w:r w:rsidRPr="00672D15">
              <w:rPr>
                <w:b/>
                <w:bCs/>
                <w:szCs w:val="18"/>
                <w:lang w:val="ru-RU"/>
              </w:rPr>
              <w:t>27</w:t>
            </w:r>
            <w:r w:rsidRPr="00672D15">
              <w:rPr>
                <w:b/>
                <w:lang w:val="ru-RU"/>
              </w:rPr>
              <w:t xml:space="preserve"> апреля</w:t>
            </w:r>
            <w:r w:rsidRPr="00672D15">
              <w:rPr>
                <w:b/>
                <w:bCs/>
                <w:szCs w:val="18"/>
                <w:lang w:val="ru-RU"/>
              </w:rPr>
              <w:t xml:space="preserve"> 2018 года</w:t>
            </w:r>
          </w:p>
        </w:tc>
        <w:tc>
          <w:tcPr>
            <w:tcW w:w="3120" w:type="dxa"/>
          </w:tcPr>
          <w:p w:rsidR="00FA3B85" w:rsidRPr="00672D15" w:rsidRDefault="00FA3B85" w:rsidP="00FA3B85">
            <w:pPr>
              <w:spacing w:before="0" w:line="240" w:lineRule="atLeast"/>
              <w:jc w:val="right"/>
              <w:rPr>
                <w:lang w:val="ru-RU"/>
              </w:rPr>
            </w:pPr>
            <w:bookmarkStart w:id="1" w:name="ditulogo"/>
            <w:bookmarkEnd w:id="1"/>
            <w:r w:rsidRPr="00672D15">
              <w:rPr>
                <w:noProof/>
                <w:lang w:val="en-US" w:eastAsia="zh-CN"/>
              </w:rPr>
              <w:drawing>
                <wp:inline distT="0" distB="0" distL="0" distR="0" wp14:anchorId="062C0DD7" wp14:editId="631BB7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B85" w:rsidRPr="00672D1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A3B85" w:rsidRPr="00672D15" w:rsidRDefault="00FA3B85" w:rsidP="00FA3B85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A3B85" w:rsidRPr="00672D15" w:rsidRDefault="00FA3B85" w:rsidP="00FA3B85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FA3B85" w:rsidRPr="00672D1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A3B85" w:rsidRPr="00672D15" w:rsidRDefault="00FA3B85" w:rsidP="00FA3B85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A3B85" w:rsidRPr="00672D15" w:rsidRDefault="00FA3B85" w:rsidP="00FA3B85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FA3B85" w:rsidRPr="00672D15">
        <w:trPr>
          <w:cantSplit/>
          <w:trHeight w:val="23"/>
        </w:trPr>
        <w:tc>
          <w:tcPr>
            <w:tcW w:w="6911" w:type="dxa"/>
            <w:vMerge w:val="restart"/>
          </w:tcPr>
          <w:p w:rsidR="00FA3B85" w:rsidRPr="00672D15" w:rsidRDefault="00FA3B85" w:rsidP="00FA3B8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bookmarkStart w:id="3" w:name="dnum" w:colFirst="1" w:colLast="1"/>
            <w:r w:rsidRPr="00672D15">
              <w:rPr>
                <w:b/>
                <w:szCs w:val="22"/>
                <w:lang w:val="ru-RU"/>
              </w:rPr>
              <w:t>Пункт повестки дня: ADM 14</w:t>
            </w:r>
          </w:p>
        </w:tc>
        <w:tc>
          <w:tcPr>
            <w:tcW w:w="3120" w:type="dxa"/>
          </w:tcPr>
          <w:p w:rsidR="00FA3B85" w:rsidRPr="00672D15" w:rsidRDefault="00FA3B85" w:rsidP="00FA3B8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72D15">
              <w:rPr>
                <w:b/>
                <w:szCs w:val="22"/>
                <w:lang w:val="ru-RU"/>
              </w:rPr>
              <w:t>Документ C18/24-R</w:t>
            </w:r>
          </w:p>
        </w:tc>
      </w:tr>
      <w:tr w:rsidR="00FA3B85" w:rsidRPr="00672D15">
        <w:trPr>
          <w:cantSplit/>
          <w:trHeight w:val="23"/>
        </w:trPr>
        <w:tc>
          <w:tcPr>
            <w:tcW w:w="6911" w:type="dxa"/>
            <w:vMerge/>
          </w:tcPr>
          <w:p w:rsidR="00FA3B85" w:rsidRPr="00672D15" w:rsidRDefault="00FA3B85" w:rsidP="00FA3B8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FA3B85" w:rsidRPr="00672D15" w:rsidRDefault="00FA3B85" w:rsidP="00FA3B85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72D15">
              <w:rPr>
                <w:b/>
                <w:szCs w:val="22"/>
                <w:lang w:val="ru-RU"/>
              </w:rPr>
              <w:t>8 февраля 2018 года</w:t>
            </w:r>
          </w:p>
        </w:tc>
      </w:tr>
      <w:tr w:rsidR="00FA3B85" w:rsidRPr="00672D15">
        <w:trPr>
          <w:cantSplit/>
          <w:trHeight w:val="23"/>
        </w:trPr>
        <w:tc>
          <w:tcPr>
            <w:tcW w:w="6911" w:type="dxa"/>
            <w:vMerge/>
          </w:tcPr>
          <w:p w:rsidR="00FA3B85" w:rsidRPr="00672D15" w:rsidRDefault="00FA3B85" w:rsidP="00FA3B8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FA3B85" w:rsidRPr="00672D15" w:rsidRDefault="00FA3B85" w:rsidP="00FA3B85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72D15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FA3B85" w:rsidRPr="00672D15">
        <w:trPr>
          <w:cantSplit/>
        </w:trPr>
        <w:tc>
          <w:tcPr>
            <w:tcW w:w="10031" w:type="dxa"/>
            <w:gridSpan w:val="2"/>
          </w:tcPr>
          <w:p w:rsidR="00FA3B85" w:rsidRPr="00672D15" w:rsidRDefault="00FA3B85" w:rsidP="00FA3B85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672D15">
              <w:rPr>
                <w:lang w:val="ru-RU"/>
              </w:rPr>
              <w:t>Отчет Генерального секретаря</w:t>
            </w:r>
          </w:p>
        </w:tc>
      </w:tr>
      <w:tr w:rsidR="00FA3B85" w:rsidRPr="00672D15">
        <w:trPr>
          <w:cantSplit/>
        </w:trPr>
        <w:tc>
          <w:tcPr>
            <w:tcW w:w="10031" w:type="dxa"/>
            <w:gridSpan w:val="2"/>
          </w:tcPr>
          <w:p w:rsidR="00FA3B85" w:rsidRPr="00672D15" w:rsidRDefault="00FA3B85" w:rsidP="00D0421F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672D15">
              <w:rPr>
                <w:lang w:val="ru-RU"/>
              </w:rPr>
              <w:t>ОТЧЕТ О ХОДЕ ВЫПОЛНЕНИЯ СТРАТЕГИЧЕСКОГО ПЛАНА В ОБЛАСТИ людских РЕСУРСОВ И РЕЗОЛЮЦИИ 48</w:t>
            </w:r>
            <w:r w:rsidR="00672D15" w:rsidRPr="00672D15">
              <w:rPr>
                <w:lang w:val="ru-RU"/>
              </w:rPr>
              <w:t xml:space="preserve"> </w:t>
            </w:r>
            <w:r w:rsidRPr="00672D15">
              <w:rPr>
                <w:lang w:val="ru-RU"/>
              </w:rPr>
              <w:t>(ПЕРЕСМ. ПУСАН, 2014 г.)</w:t>
            </w:r>
          </w:p>
        </w:tc>
      </w:tr>
      <w:bookmarkEnd w:id="7"/>
    </w:tbl>
    <w:p w:rsidR="00A34D71" w:rsidRPr="00672D15" w:rsidRDefault="00A34D7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34D71" w:rsidRPr="00672D1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D5A" w:rsidRPr="00672D15" w:rsidRDefault="00A36D5A" w:rsidP="00FA3B85">
            <w:pPr>
              <w:pStyle w:val="Headingb"/>
              <w:rPr>
                <w:lang w:val="ru-RU"/>
              </w:rPr>
            </w:pPr>
            <w:r w:rsidRPr="00672D15">
              <w:rPr>
                <w:lang w:val="ru-RU"/>
              </w:rPr>
              <w:t>Резюме</w:t>
            </w:r>
          </w:p>
          <w:p w:rsidR="00A36D5A" w:rsidRPr="00672D15" w:rsidRDefault="00A36D5A" w:rsidP="00FA3B85">
            <w:pPr>
              <w:rPr>
                <w:lang w:val="ru-RU"/>
              </w:rPr>
            </w:pPr>
            <w:r w:rsidRPr="00672D15">
              <w:rPr>
                <w:lang w:val="ru-RU"/>
              </w:rPr>
              <w:t xml:space="preserve">В соответствии с содержащимся в Резолюции 48 (Пересм. Пусан, </w:t>
            </w:r>
            <w:r w:rsidR="00C778AF" w:rsidRPr="00672D15">
              <w:rPr>
                <w:lang w:val="ru-RU"/>
              </w:rPr>
              <w:t>2014 г.</w:t>
            </w:r>
            <w:r w:rsidRPr="00672D15">
              <w:rPr>
                <w:lang w:val="ru-RU"/>
              </w:rPr>
              <w:t>) об управлении людскими ресурсами и их развитии поручением ежегодно представляется отчет в целях информирования Совета о достижениях и ходе выполнения Стратегического плана в области людских ресурсов и Резолюции 48 (Пересм. Пусан, 2014 г</w:t>
            </w:r>
            <w:r w:rsidR="00C778AF" w:rsidRPr="00672D15">
              <w:rPr>
                <w:lang w:val="ru-RU"/>
              </w:rPr>
              <w:t>.</w:t>
            </w:r>
            <w:r w:rsidRPr="00672D15">
              <w:rPr>
                <w:lang w:val="ru-RU"/>
              </w:rPr>
              <w:t>).</w:t>
            </w:r>
          </w:p>
          <w:p w:rsidR="00A36D5A" w:rsidRPr="00672D15" w:rsidRDefault="00A36D5A" w:rsidP="00FA3B85">
            <w:pPr>
              <w:pStyle w:val="Headingb"/>
              <w:rPr>
                <w:lang w:val="ru-RU"/>
              </w:rPr>
            </w:pPr>
            <w:r w:rsidRPr="00672D15">
              <w:rPr>
                <w:lang w:val="ru-RU"/>
              </w:rPr>
              <w:t>Необходимые действия</w:t>
            </w:r>
          </w:p>
          <w:p w:rsidR="00A36D5A" w:rsidRPr="00672D15" w:rsidRDefault="00A36D5A" w:rsidP="00FA3B85">
            <w:pPr>
              <w:rPr>
                <w:lang w:val="ru-RU"/>
              </w:rPr>
            </w:pPr>
            <w:r w:rsidRPr="00672D15">
              <w:rPr>
                <w:lang w:val="ru-RU"/>
              </w:rPr>
              <w:t xml:space="preserve">Совету предлагается </w:t>
            </w:r>
            <w:r w:rsidRPr="00672D15">
              <w:rPr>
                <w:b/>
                <w:lang w:val="ru-RU"/>
              </w:rPr>
              <w:t>принять</w:t>
            </w:r>
            <w:r w:rsidRPr="00672D15">
              <w:rPr>
                <w:lang w:val="ru-RU"/>
              </w:rPr>
              <w:t xml:space="preserve"> </w:t>
            </w:r>
            <w:r w:rsidRPr="00672D15">
              <w:rPr>
                <w:b/>
                <w:lang w:val="ru-RU"/>
              </w:rPr>
              <w:t xml:space="preserve">к сведению </w:t>
            </w:r>
            <w:r w:rsidRPr="00672D15">
              <w:rPr>
                <w:lang w:val="ru-RU"/>
              </w:rPr>
              <w:t xml:space="preserve">настоящий </w:t>
            </w:r>
            <w:r w:rsidR="00D950FE" w:rsidRPr="00672D15">
              <w:rPr>
                <w:lang w:val="ru-RU"/>
              </w:rPr>
              <w:t>Отчет</w:t>
            </w:r>
            <w:r w:rsidRPr="00672D15">
              <w:rPr>
                <w:lang w:val="ru-RU"/>
              </w:rPr>
              <w:t>.</w:t>
            </w:r>
          </w:p>
          <w:p w:rsidR="00A36D5A" w:rsidRPr="00672D15" w:rsidRDefault="00A36D5A" w:rsidP="00A36D5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2"/>
                <w:lang w:val="ru-RU"/>
              </w:rPr>
            </w:pPr>
            <w:r w:rsidRPr="00672D15">
              <w:rPr>
                <w:rFonts w:ascii="Calibri" w:hAnsi="Calibri"/>
                <w:caps w:val="0"/>
                <w:szCs w:val="22"/>
                <w:lang w:val="ru-RU"/>
              </w:rPr>
              <w:t>____________</w:t>
            </w:r>
          </w:p>
          <w:p w:rsidR="00A36D5A" w:rsidRPr="00672D15" w:rsidRDefault="00A36D5A" w:rsidP="00FA3B85">
            <w:pPr>
              <w:pStyle w:val="Headingb"/>
              <w:rPr>
                <w:lang w:val="ru-RU"/>
              </w:rPr>
            </w:pPr>
            <w:r w:rsidRPr="00672D15">
              <w:rPr>
                <w:lang w:val="ru-RU"/>
              </w:rPr>
              <w:t>Справочные материалы</w:t>
            </w:r>
          </w:p>
          <w:p w:rsidR="00A34D71" w:rsidRPr="00672D15" w:rsidRDefault="007C65CF" w:rsidP="00FA3B85">
            <w:pPr>
              <w:spacing w:after="120"/>
              <w:rPr>
                <w:lang w:val="ru-RU"/>
              </w:rPr>
            </w:pPr>
            <w:hyperlink r:id="rId9" w:history="1">
              <w:r w:rsidR="00A36D5A" w:rsidRPr="00672D15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 xml:space="preserve">Резолюция 48 (Пересм. Пусан, </w:t>
              </w:r>
              <w:r w:rsidR="00C778AF" w:rsidRPr="00672D15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2014 г.</w:t>
              </w:r>
              <w:r w:rsidR="00A36D5A" w:rsidRPr="00672D15">
                <w:rPr>
                  <w:rStyle w:val="Hyperlink"/>
                  <w:rFonts w:asciiTheme="minorHAnsi" w:hAnsiTheme="minorHAnsi"/>
                  <w:bCs/>
                  <w:szCs w:val="22"/>
                  <w:lang w:val="ru-RU"/>
                </w:rPr>
                <w:t>)</w:t>
              </w:r>
            </w:hyperlink>
            <w:r w:rsidR="00A36D5A" w:rsidRPr="00672D15">
              <w:rPr>
                <w:lang w:val="ru-RU"/>
              </w:rPr>
              <w:t xml:space="preserve">; </w:t>
            </w:r>
            <w:r w:rsidR="00FA3B85" w:rsidRPr="00672D15">
              <w:rPr>
                <w:lang w:val="ru-RU"/>
              </w:rPr>
              <w:t xml:space="preserve">Документ </w:t>
            </w:r>
            <w:hyperlink r:id="rId10" w:history="1">
              <w:r w:rsidR="00FA3B85" w:rsidRPr="00672D15">
                <w:rPr>
                  <w:rStyle w:val="Hyperlink"/>
                  <w:rFonts w:asciiTheme="minorHAnsi" w:hAnsiTheme="minorHAnsi"/>
                  <w:szCs w:val="24"/>
                  <w:lang w:val="ru-RU"/>
                </w:rPr>
                <w:t>C18/INF/5</w:t>
              </w:r>
            </w:hyperlink>
            <w:r w:rsidR="00FA3B85" w:rsidRPr="00672D15">
              <w:rPr>
                <w:lang w:val="ru-RU"/>
              </w:rPr>
              <w:t xml:space="preserve"> Совета</w:t>
            </w:r>
          </w:p>
        </w:tc>
      </w:tr>
    </w:tbl>
    <w:p w:rsidR="00FA3B85" w:rsidRPr="00672D15" w:rsidRDefault="00FA3B85" w:rsidP="00FA3B85">
      <w:pPr>
        <w:pStyle w:val="Normalaftertitle"/>
        <w:rPr>
          <w:lang w:val="ru-RU"/>
        </w:rPr>
      </w:pPr>
      <w:bookmarkStart w:id="8" w:name="dstart"/>
      <w:bookmarkStart w:id="9" w:name="dbreak"/>
      <w:bookmarkEnd w:id="8"/>
      <w:bookmarkEnd w:id="9"/>
    </w:p>
    <w:p w:rsidR="00A34D71" w:rsidRPr="00672D15" w:rsidRDefault="00A36D5A" w:rsidP="00FA3B85">
      <w:pPr>
        <w:pStyle w:val="Headingb"/>
        <w:rPr>
          <w:lang w:val="ru-RU"/>
        </w:rPr>
      </w:pPr>
      <w:r w:rsidRPr="00672D15">
        <w:rPr>
          <w:lang w:val="ru-RU"/>
        </w:rPr>
        <w:t>Справочная информация</w:t>
      </w:r>
    </w:p>
    <w:p w:rsidR="009765C8" w:rsidRPr="00672D15" w:rsidRDefault="009765C8" w:rsidP="001E2142">
      <w:pPr>
        <w:rPr>
          <w:lang w:val="ru-RU"/>
        </w:rPr>
      </w:pPr>
      <w:r w:rsidRPr="00672D15">
        <w:rPr>
          <w:lang w:val="ru-RU"/>
        </w:rPr>
        <w:t xml:space="preserve">Деятельность секретариата МСЭ в области управления людскими ресурсами и их развития в период с 2015 по 2018 год основывается главным образом на следующих трех документах: </w:t>
      </w:r>
    </w:p>
    <w:p w:rsidR="009765C8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а)</w:t>
      </w:r>
      <w:r w:rsidRPr="00672D15">
        <w:rPr>
          <w:lang w:val="ru-RU"/>
        </w:rPr>
        <w:tab/>
      </w:r>
      <w:r w:rsidR="009765C8" w:rsidRPr="00672D15">
        <w:rPr>
          <w:lang w:val="ru-RU"/>
        </w:rPr>
        <w:t xml:space="preserve">Стратегический план, принятый ПК-14 в составе Резолюции 71 (Пересм. Пусан, </w:t>
      </w:r>
      <w:r w:rsidR="00C778AF" w:rsidRPr="00672D15">
        <w:rPr>
          <w:lang w:val="ru-RU"/>
        </w:rPr>
        <w:t>2014 г.</w:t>
      </w:r>
      <w:r w:rsidR="009765C8" w:rsidRPr="00672D15">
        <w:rPr>
          <w:lang w:val="ru-RU"/>
        </w:rPr>
        <w:t>);</w:t>
      </w:r>
    </w:p>
    <w:p w:rsidR="009765C8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b)</w:t>
      </w:r>
      <w:r w:rsidRPr="00672D15">
        <w:rPr>
          <w:lang w:val="ru-RU"/>
        </w:rPr>
        <w:tab/>
      </w:r>
      <w:r w:rsidR="009765C8" w:rsidRPr="00672D15">
        <w:rPr>
          <w:lang w:val="ru-RU"/>
        </w:rPr>
        <w:t xml:space="preserve">Резолюция 48 (Пересм. Пусан, </w:t>
      </w:r>
      <w:r w:rsidR="00C778AF" w:rsidRPr="00672D15">
        <w:rPr>
          <w:lang w:val="ru-RU"/>
        </w:rPr>
        <w:t>2014 г.</w:t>
      </w:r>
      <w:r w:rsidR="009765C8" w:rsidRPr="00672D15">
        <w:rPr>
          <w:lang w:val="ru-RU"/>
        </w:rPr>
        <w:t>) по управлению людскими ресурсами и их развитию, в частности Приложения 1 и 2 к ней;</w:t>
      </w:r>
    </w:p>
    <w:p w:rsidR="009765C8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c)</w:t>
      </w:r>
      <w:r w:rsidRPr="00672D15">
        <w:rPr>
          <w:lang w:val="ru-RU"/>
        </w:rPr>
        <w:tab/>
      </w:r>
      <w:r w:rsidR="009765C8" w:rsidRPr="00672D15">
        <w:rPr>
          <w:lang w:val="ru-RU"/>
        </w:rPr>
        <w:t xml:space="preserve">Решение 5 (Пересм. Пусан, </w:t>
      </w:r>
      <w:r w:rsidR="00C778AF" w:rsidRPr="00672D15">
        <w:rPr>
          <w:lang w:val="ru-RU"/>
        </w:rPr>
        <w:t>2014 г.</w:t>
      </w:r>
      <w:r w:rsidR="009765C8" w:rsidRPr="00672D15">
        <w:rPr>
          <w:lang w:val="ru-RU"/>
        </w:rPr>
        <w:t>) о программе повышения эффективности затрат и сокращения издержек и меры, перечисленные в Приложении 2 к нему, такие как экономия от естественного снижения численности персонала, а также рассмотрение и возможное сокращение классов вакантных постов или придание первостепенного значения перестановк</w:t>
      </w:r>
      <w:r w:rsidR="00D950FE" w:rsidRPr="00672D15">
        <w:rPr>
          <w:lang w:val="ru-RU"/>
        </w:rPr>
        <w:t>е</w:t>
      </w:r>
      <w:r w:rsidR="009765C8" w:rsidRPr="00672D15">
        <w:rPr>
          <w:lang w:val="ru-RU"/>
        </w:rPr>
        <w:t xml:space="preserve"> персонала и найму на внутренней основе вместо найма на внешней основе.</w:t>
      </w:r>
    </w:p>
    <w:p w:rsidR="009765C8" w:rsidRPr="00672D15" w:rsidRDefault="009765C8" w:rsidP="001E2142">
      <w:pPr>
        <w:rPr>
          <w:lang w:val="ru-RU"/>
        </w:rPr>
      </w:pPr>
      <w:r w:rsidRPr="00672D15">
        <w:rPr>
          <w:lang w:val="ru-RU"/>
        </w:rPr>
        <w:t>Департамент управления людскими ресурсами (</w:t>
      </w:r>
      <w:r w:rsidR="00F46E80" w:rsidRPr="00672D15">
        <w:rPr>
          <w:lang w:val="ru-RU"/>
        </w:rPr>
        <w:t>HRMD</w:t>
      </w:r>
      <w:r w:rsidRPr="00672D15">
        <w:rPr>
          <w:lang w:val="ru-RU"/>
        </w:rPr>
        <w:t>) активно содействует осуществлению этих решений. Невзирая на трудности, он стремится к достижению целей, установленных в</w:t>
      </w:r>
      <w:r w:rsidR="00F46E80" w:rsidRPr="00672D15">
        <w:rPr>
          <w:lang w:val="ru-RU"/>
        </w:rPr>
        <w:t> </w:t>
      </w:r>
      <w:r w:rsidRPr="00672D15">
        <w:rPr>
          <w:lang w:val="ru-RU"/>
        </w:rPr>
        <w:t xml:space="preserve">Стратегическом плане, а именно – к эффективному и действенному использованию </w:t>
      </w:r>
      <w:r w:rsidR="00F46E80" w:rsidRPr="00672D15">
        <w:rPr>
          <w:lang w:val="ru-RU"/>
        </w:rPr>
        <w:t>ресурсов человеческого капитала, а также к созданию безопасной и защищенной рабочей обстановки, способствующей работе.</w:t>
      </w:r>
    </w:p>
    <w:p w:rsidR="009765C8" w:rsidRPr="00672D15" w:rsidRDefault="009765C8" w:rsidP="001E2142">
      <w:pPr>
        <w:rPr>
          <w:lang w:val="ru-RU"/>
        </w:rPr>
      </w:pPr>
      <w:r w:rsidRPr="00672D15">
        <w:rPr>
          <w:lang w:val="ru-RU"/>
        </w:rPr>
        <w:lastRenderedPageBreak/>
        <w:t xml:space="preserve">Настоящий Отчет </w:t>
      </w:r>
      <w:r w:rsidR="00F46E80" w:rsidRPr="00672D15">
        <w:rPr>
          <w:lang w:val="ru-RU"/>
        </w:rPr>
        <w:t>освещает</w:t>
      </w:r>
      <w:r w:rsidRPr="00672D15">
        <w:rPr>
          <w:lang w:val="ru-RU"/>
        </w:rPr>
        <w:t xml:space="preserve"> осуществление этих решений и структурирован следующим образом. Основной документ отражает достижения и прогресс по различным пунктам, перечисленным в</w:t>
      </w:r>
      <w:r w:rsidR="00F46E80" w:rsidRPr="00672D15">
        <w:rPr>
          <w:lang w:val="ru-RU"/>
        </w:rPr>
        <w:t> </w:t>
      </w:r>
      <w:r w:rsidRPr="00672D15">
        <w:rPr>
          <w:lang w:val="ru-RU"/>
        </w:rPr>
        <w:t>Приложении</w:t>
      </w:r>
      <w:r w:rsidR="00F46E80" w:rsidRPr="00672D15">
        <w:rPr>
          <w:lang w:val="ru-RU"/>
        </w:rPr>
        <w:t> </w:t>
      </w:r>
      <w:r w:rsidRPr="00672D15">
        <w:rPr>
          <w:lang w:val="ru-RU"/>
        </w:rPr>
        <w:t>I к Резолюции</w:t>
      </w:r>
      <w:r w:rsidR="00F46E80" w:rsidRPr="00672D15">
        <w:rPr>
          <w:lang w:val="ru-RU"/>
        </w:rPr>
        <w:t> </w:t>
      </w:r>
      <w:r w:rsidRPr="00672D15">
        <w:rPr>
          <w:lang w:val="ru-RU"/>
        </w:rPr>
        <w:t>48, и дополнен рядом информационных документов, относящихся к</w:t>
      </w:r>
      <w:r w:rsidR="00F46E80" w:rsidRPr="00672D15">
        <w:rPr>
          <w:lang w:val="ru-RU"/>
        </w:rPr>
        <w:t> </w:t>
      </w:r>
      <w:r w:rsidRPr="00672D15">
        <w:rPr>
          <w:lang w:val="ru-RU"/>
        </w:rPr>
        <w:t>выбранным темам.</w:t>
      </w:r>
    </w:p>
    <w:p w:rsidR="00A34D71" w:rsidRPr="00672D15" w:rsidRDefault="009765C8" w:rsidP="001E2142">
      <w:pPr>
        <w:rPr>
          <w:rFonts w:cs="Century Gothic"/>
          <w:color w:val="221E1F"/>
          <w:lang w:val="ru-RU"/>
        </w:rPr>
      </w:pPr>
      <w:r w:rsidRPr="00672D15">
        <w:rPr>
          <w:lang w:val="ru-RU"/>
        </w:rPr>
        <w:t xml:space="preserve">Документ </w:t>
      </w:r>
      <w:hyperlink r:id="rId11" w:history="1">
        <w:r w:rsidR="00F92FC7" w:rsidRPr="00672D15">
          <w:rPr>
            <w:rStyle w:val="Hyperlink"/>
            <w:rFonts w:asciiTheme="minorHAnsi" w:hAnsiTheme="minorHAnsi"/>
            <w:szCs w:val="24"/>
            <w:lang w:val="ru-RU"/>
          </w:rPr>
          <w:t>C18/INF/5</w:t>
        </w:r>
      </w:hyperlink>
      <w:r w:rsidRPr="00672D15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 xml:space="preserve"> содержит статистические таблицы за 2008</w:t>
      </w:r>
      <w:r w:rsidR="00F46E80" w:rsidRPr="00672D15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>–</w:t>
      </w:r>
      <w:r w:rsidRPr="00672D15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>201</w:t>
      </w:r>
      <w:r w:rsidR="00F92FC7" w:rsidRPr="00672D15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>7</w:t>
      </w:r>
      <w:r w:rsidRPr="00672D15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> годы по состоянию на 31 декабря каждого года.</w:t>
      </w:r>
      <w:r w:rsidRPr="00672D15">
        <w:rPr>
          <w:rFonts w:cs="Century Gothic"/>
          <w:color w:val="221E1F"/>
          <w:lang w:val="ru-RU"/>
        </w:rPr>
        <w:t xml:space="preserve"> В таблицы включены данные по персоналу в разбивке по категориям, классам, типам назначения, возрастным </w:t>
      </w:r>
      <w:r w:rsidRPr="00672D15">
        <w:rPr>
          <w:lang w:val="ru-RU"/>
        </w:rPr>
        <w:t>группам</w:t>
      </w:r>
      <w:r w:rsidRPr="00672D15">
        <w:rPr>
          <w:rFonts w:cs="Century Gothic"/>
          <w:color w:val="221E1F"/>
          <w:lang w:val="ru-RU"/>
        </w:rPr>
        <w:t xml:space="preserve">, продолжительности службы, полу и национальности, а также по географическому распределению. Кроме того, в таблицы включены данные </w:t>
      </w:r>
      <w:r w:rsidR="00F46E80" w:rsidRPr="00672D15">
        <w:rPr>
          <w:rFonts w:cs="Century Gothic"/>
          <w:color w:val="221E1F"/>
          <w:lang w:val="ru-RU"/>
        </w:rPr>
        <w:t>о прогнозируемом количестве выходящих на пенсию</w:t>
      </w:r>
      <w:r w:rsidRPr="00672D15">
        <w:rPr>
          <w:rFonts w:cs="Century Gothic"/>
          <w:color w:val="221E1F"/>
          <w:lang w:val="ru-RU"/>
        </w:rPr>
        <w:t xml:space="preserve"> в течение следующих 10 лет для целей планирования </w:t>
      </w:r>
      <w:r w:rsidR="00F46E80" w:rsidRPr="00672D15">
        <w:rPr>
          <w:rFonts w:cs="Century Gothic"/>
          <w:color w:val="221E1F"/>
          <w:lang w:val="ru-RU"/>
        </w:rPr>
        <w:t>преемственности</w:t>
      </w:r>
      <w:r w:rsidRPr="00672D15">
        <w:rPr>
          <w:rFonts w:cs="Century Gothic"/>
          <w:color w:val="221E1F"/>
          <w:lang w:val="ru-RU"/>
        </w:rPr>
        <w:t xml:space="preserve">, а также статистические данные по работникам на краткосрочных контрактах, проходящим стажировку, </w:t>
      </w:r>
      <w:r w:rsidR="00F46E80" w:rsidRPr="00672D15">
        <w:rPr>
          <w:rFonts w:cs="Century Gothic"/>
          <w:color w:val="221E1F"/>
          <w:lang w:val="ru-RU"/>
        </w:rPr>
        <w:t xml:space="preserve">найму работников, </w:t>
      </w:r>
      <w:r w:rsidRPr="00672D15">
        <w:rPr>
          <w:rFonts w:cs="Century Gothic"/>
          <w:color w:val="221E1F"/>
          <w:lang w:val="ru-RU"/>
        </w:rPr>
        <w:t xml:space="preserve">а также по деятельности МСЭ в сфере </w:t>
      </w:r>
      <w:r w:rsidR="00F46E80" w:rsidRPr="00672D15">
        <w:rPr>
          <w:rFonts w:cs="Century Gothic"/>
          <w:color w:val="221E1F"/>
          <w:lang w:val="ru-RU"/>
        </w:rPr>
        <w:t xml:space="preserve">профессиональной </w:t>
      </w:r>
      <w:r w:rsidRPr="00672D15">
        <w:rPr>
          <w:rFonts w:cs="Century Gothic"/>
          <w:color w:val="221E1F"/>
          <w:lang w:val="ru-RU"/>
        </w:rPr>
        <w:t>подготовки кадров.</w:t>
      </w:r>
    </w:p>
    <w:p w:rsidR="001E2142" w:rsidRPr="00672D15" w:rsidRDefault="001E2142" w:rsidP="001E2142">
      <w:pPr>
        <w:rPr>
          <w:rFonts w:cs="Century Gothic"/>
          <w:color w:val="221E1F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4D71" w:rsidRPr="00672D15" w:rsidTr="00A34D71">
        <w:tc>
          <w:tcPr>
            <w:tcW w:w="9629" w:type="dxa"/>
            <w:shd w:val="clear" w:color="auto" w:fill="0F243E" w:themeFill="text2" w:themeFillShade="80"/>
          </w:tcPr>
          <w:p w:rsidR="00A34D71" w:rsidRPr="00672D15" w:rsidRDefault="00297B64" w:rsidP="00297B64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</w:pPr>
            <w:r w:rsidRPr="00672D15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ОТЧЕТ О ХОДЕ ВЫПОЛНЕНИЯ СТРАТЕГИЧЕСКОГО ПЛАНА В ОБЛАСТИ ЛЮДСКИХ РЕСУРСОВ И РЕЗОЛЮЦИИ 48 (ПЕРЕСМ. ПУСАН, </w:t>
            </w:r>
            <w:r w:rsidR="00C778AF" w:rsidRPr="00672D15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2014 г.</w:t>
            </w:r>
            <w:r w:rsidRPr="00672D15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</w:tbl>
    <w:p w:rsidR="00A34D71" w:rsidRPr="00672D15" w:rsidRDefault="00A34D71" w:rsidP="001E2142">
      <w:pPr>
        <w:rPr>
          <w:lang w:val="ru-RU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A34D71" w:rsidRPr="00672D15" w:rsidTr="009D440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34D71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А</w:t>
            </w:r>
            <w:r w:rsidRPr="00672D15">
              <w:rPr>
                <w:lang w:val="ru-RU"/>
              </w:rPr>
              <w:tab/>
            </w:r>
            <w:r w:rsidR="00297B64" w:rsidRPr="00672D15">
              <w:rPr>
                <w:lang w:val="ru-RU"/>
              </w:rPr>
              <w:t xml:space="preserve">Обзор </w:t>
            </w:r>
            <w:r w:rsidR="0020624F" w:rsidRPr="00672D15">
              <w:rPr>
                <w:lang w:val="ru-RU"/>
              </w:rPr>
              <w:t xml:space="preserve">Стратегического </w:t>
            </w:r>
            <w:r w:rsidR="00297B64" w:rsidRPr="00672D15">
              <w:rPr>
                <w:lang w:val="ru-RU"/>
              </w:rPr>
              <w:t>плана в области людских ресурсов</w:t>
            </w:r>
          </w:p>
        </w:tc>
      </w:tr>
    </w:tbl>
    <w:p w:rsidR="00A34D71" w:rsidRPr="00672D15" w:rsidRDefault="00C048DD" w:rsidP="001E2142">
      <w:pPr>
        <w:rPr>
          <w:lang w:val="ru-RU"/>
        </w:rPr>
      </w:pPr>
      <w:r w:rsidRPr="00672D15">
        <w:rPr>
          <w:lang w:val="ru-RU"/>
        </w:rPr>
        <w:t xml:space="preserve">Для обеспечения максимальной поддержки мандата Союза </w:t>
      </w:r>
      <w:r w:rsidR="00FD43A3" w:rsidRPr="00672D15">
        <w:rPr>
          <w:lang w:val="ru-RU"/>
        </w:rPr>
        <w:t>в предстоящие годы Стратегический план в области людских ресурсов подвергается всестороннему обзору, и в связи с этим основное внимание будет уделяться, в</w:t>
      </w:r>
      <w:r w:rsidR="0074276A" w:rsidRPr="00672D15">
        <w:rPr>
          <w:lang w:val="ru-RU"/>
        </w:rPr>
        <w:t> </w:t>
      </w:r>
      <w:r w:rsidR="00FD43A3" w:rsidRPr="00672D15">
        <w:rPr>
          <w:lang w:val="ru-RU"/>
        </w:rPr>
        <w:t>частности, следующим областям: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a)</w:t>
      </w:r>
      <w:r w:rsidRPr="00672D15">
        <w:rPr>
          <w:lang w:val="ru-RU"/>
        </w:rPr>
        <w:tab/>
      </w:r>
      <w:r w:rsidR="00FD43A3" w:rsidRPr="00672D15">
        <w:rPr>
          <w:lang w:val="ru-RU"/>
        </w:rPr>
        <w:t>обеспечени</w:t>
      </w:r>
      <w:r w:rsidR="0020624F" w:rsidRPr="00672D15">
        <w:rPr>
          <w:lang w:val="ru-RU"/>
        </w:rPr>
        <w:t>ю</w:t>
      </w:r>
      <w:r w:rsidR="00FD43A3" w:rsidRPr="00672D15">
        <w:rPr>
          <w:lang w:val="ru-RU"/>
        </w:rPr>
        <w:t xml:space="preserve"> диверсифицированных и соответствующих целевому назначению трудовых ресурсов</w:t>
      </w:r>
      <w:r w:rsidR="00A34D71" w:rsidRPr="00672D15">
        <w:rPr>
          <w:lang w:val="ru-RU"/>
        </w:rPr>
        <w:t>;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b)</w:t>
      </w:r>
      <w:r w:rsidRPr="00672D15">
        <w:rPr>
          <w:lang w:val="ru-RU"/>
        </w:rPr>
        <w:tab/>
      </w:r>
      <w:r w:rsidR="00FD43A3" w:rsidRPr="00672D15">
        <w:rPr>
          <w:lang w:val="ru-RU"/>
        </w:rPr>
        <w:t>развити</w:t>
      </w:r>
      <w:r w:rsidR="0020624F" w:rsidRPr="00672D15">
        <w:rPr>
          <w:lang w:val="ru-RU"/>
        </w:rPr>
        <w:t>ю</w:t>
      </w:r>
      <w:r w:rsidR="00FD43A3" w:rsidRPr="00672D15">
        <w:rPr>
          <w:lang w:val="ru-RU"/>
        </w:rPr>
        <w:t xml:space="preserve"> персонала в соответствии с потребностями Союза;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c)</w:t>
      </w:r>
      <w:r w:rsidRPr="00672D15">
        <w:rPr>
          <w:lang w:val="ru-RU"/>
        </w:rPr>
        <w:tab/>
      </w:r>
      <w:r w:rsidR="00FD43A3" w:rsidRPr="00672D15">
        <w:rPr>
          <w:lang w:val="ru-RU"/>
        </w:rPr>
        <w:t>создани</w:t>
      </w:r>
      <w:r w:rsidR="0020624F" w:rsidRPr="00672D15">
        <w:rPr>
          <w:lang w:val="ru-RU"/>
        </w:rPr>
        <w:t>ю</w:t>
      </w:r>
      <w:r w:rsidR="00FD43A3" w:rsidRPr="00672D15">
        <w:rPr>
          <w:lang w:val="ru-RU"/>
        </w:rPr>
        <w:t xml:space="preserve"> благоприятной рабочей о</w:t>
      </w:r>
      <w:r w:rsidR="00BC42FE" w:rsidRPr="00672D15">
        <w:rPr>
          <w:lang w:val="ru-RU"/>
        </w:rPr>
        <w:t>бстановки</w:t>
      </w:r>
      <w:r w:rsidR="00A34D71" w:rsidRPr="00672D15">
        <w:rPr>
          <w:lang w:val="ru-RU"/>
        </w:rPr>
        <w:t>;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d)</w:t>
      </w:r>
      <w:r w:rsidRPr="00672D15">
        <w:rPr>
          <w:lang w:val="ru-RU"/>
        </w:rPr>
        <w:tab/>
      </w:r>
      <w:r w:rsidR="00BC42FE" w:rsidRPr="00672D15">
        <w:rPr>
          <w:lang w:val="ru-RU"/>
        </w:rPr>
        <w:t>совершенствовани</w:t>
      </w:r>
      <w:r w:rsidR="0020624F" w:rsidRPr="00672D15">
        <w:rPr>
          <w:lang w:val="ru-RU"/>
        </w:rPr>
        <w:t>ю</w:t>
      </w:r>
      <w:r w:rsidR="00BC42FE" w:rsidRPr="00672D15">
        <w:rPr>
          <w:lang w:val="ru-RU"/>
        </w:rPr>
        <w:t xml:space="preserve"> предоставления услуг в области людских ресурсов</w:t>
      </w:r>
      <w:r w:rsidR="00A34D71" w:rsidRPr="00672D15">
        <w:rPr>
          <w:lang w:val="ru-RU"/>
        </w:rPr>
        <w:t>;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e)</w:t>
      </w:r>
      <w:r w:rsidRPr="00672D15">
        <w:rPr>
          <w:lang w:val="ru-RU"/>
        </w:rPr>
        <w:tab/>
      </w:r>
      <w:r w:rsidR="00BC42FE" w:rsidRPr="00672D15">
        <w:rPr>
          <w:lang w:val="ru-RU"/>
        </w:rPr>
        <w:t>поощрени</w:t>
      </w:r>
      <w:r w:rsidR="0020624F" w:rsidRPr="00672D15">
        <w:rPr>
          <w:lang w:val="ru-RU"/>
        </w:rPr>
        <w:t>ю</w:t>
      </w:r>
      <w:r w:rsidR="00BC42FE" w:rsidRPr="00672D15">
        <w:rPr>
          <w:lang w:val="ru-RU"/>
        </w:rPr>
        <w:t xml:space="preserve"> создания инклюзивной и уважительной рабочей обстановки</w:t>
      </w:r>
      <w:r w:rsidR="00A34D71" w:rsidRPr="00672D15">
        <w:rPr>
          <w:lang w:val="ru-RU"/>
        </w:rPr>
        <w:t>;</w:t>
      </w:r>
    </w:p>
    <w:p w:rsidR="00A34D71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f)</w:t>
      </w:r>
      <w:r w:rsidRPr="00672D15">
        <w:rPr>
          <w:lang w:val="ru-RU"/>
        </w:rPr>
        <w:tab/>
      </w:r>
      <w:r w:rsidR="00BC42FE" w:rsidRPr="00672D15">
        <w:rPr>
          <w:lang w:val="ru-RU"/>
        </w:rPr>
        <w:t>управлени</w:t>
      </w:r>
      <w:r w:rsidR="0020624F" w:rsidRPr="00672D15">
        <w:rPr>
          <w:lang w:val="ru-RU"/>
        </w:rPr>
        <w:t>ю</w:t>
      </w:r>
      <w:r w:rsidR="00BC42FE" w:rsidRPr="00672D15">
        <w:rPr>
          <w:lang w:val="ru-RU"/>
        </w:rPr>
        <w:t xml:space="preserve"> социальной ответственностью организации и ее адаптаци</w:t>
      </w:r>
      <w:r w:rsidR="0020624F" w:rsidRPr="00672D15">
        <w:rPr>
          <w:lang w:val="ru-RU"/>
        </w:rPr>
        <w:t>и</w:t>
      </w:r>
      <w:r w:rsidR="00BC42FE" w:rsidRPr="00672D15">
        <w:rPr>
          <w:lang w:val="ru-RU"/>
        </w:rPr>
        <w:t xml:space="preserve"> в целях обеспечения стабильности в долгосрочной перспективе.</w:t>
      </w:r>
    </w:p>
    <w:p w:rsidR="00A34D71" w:rsidRPr="00672D15" w:rsidRDefault="00A34D71" w:rsidP="002C67CB">
      <w:pPr>
        <w:rPr>
          <w:lang w:val="ru-RU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39"/>
      </w:tblGrid>
      <w:tr w:rsidR="00A34D71" w:rsidRPr="00672D15" w:rsidTr="00A34D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A34D71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B</w:t>
            </w:r>
            <w:r w:rsidRPr="00672D15">
              <w:rPr>
                <w:lang w:val="ru-RU"/>
              </w:rPr>
              <w:tab/>
            </w:r>
            <w:r w:rsidR="001232DB" w:rsidRPr="00672D15">
              <w:rPr>
                <w:lang w:val="ru-RU"/>
              </w:rPr>
              <w:t>Деятельность и достижения в 201</w:t>
            </w:r>
            <w:r w:rsidR="00F92FC7" w:rsidRPr="00672D15">
              <w:rPr>
                <w:lang w:val="ru-RU"/>
              </w:rPr>
              <w:t>7</w:t>
            </w:r>
            <w:r w:rsidR="001232DB" w:rsidRPr="00672D15">
              <w:rPr>
                <w:lang w:val="ru-RU"/>
              </w:rPr>
              <w:t> году</w:t>
            </w:r>
          </w:p>
        </w:tc>
      </w:tr>
    </w:tbl>
    <w:p w:rsidR="00A34D71" w:rsidRPr="00672D15" w:rsidRDefault="001232DB" w:rsidP="001E2142">
      <w:pPr>
        <w:rPr>
          <w:lang w:val="ru-RU"/>
        </w:rPr>
      </w:pPr>
      <w:r w:rsidRPr="00672D15">
        <w:rPr>
          <w:lang w:val="ru-RU"/>
        </w:rPr>
        <w:t xml:space="preserve">В нижеследующих разделах представлены основные направления деятельности и достижения </w:t>
      </w:r>
      <w:r w:rsidR="00D950FE" w:rsidRPr="00672D15">
        <w:rPr>
          <w:lang w:val="ru-RU"/>
        </w:rPr>
        <w:t xml:space="preserve">в </w:t>
      </w:r>
      <w:r w:rsidRPr="00672D15">
        <w:rPr>
          <w:lang w:val="ru-RU"/>
        </w:rPr>
        <w:t>201</w:t>
      </w:r>
      <w:r w:rsidR="00F92FC7" w:rsidRPr="00672D15">
        <w:rPr>
          <w:lang w:val="ru-RU"/>
        </w:rPr>
        <w:t>7</w:t>
      </w:r>
      <w:r w:rsidRPr="00672D15">
        <w:rPr>
          <w:lang w:val="ru-RU"/>
        </w:rPr>
        <w:t> год</w:t>
      </w:r>
      <w:r w:rsidR="00D950FE" w:rsidRPr="00672D15">
        <w:rPr>
          <w:lang w:val="ru-RU"/>
        </w:rPr>
        <w:t>у</w:t>
      </w:r>
      <w:r w:rsidRPr="00672D15">
        <w:rPr>
          <w:lang w:val="ru-RU"/>
        </w:rPr>
        <w:t xml:space="preserve"> в</w:t>
      </w:r>
      <w:r w:rsidR="0074276A" w:rsidRPr="00672D15">
        <w:rPr>
          <w:lang w:val="ru-RU"/>
        </w:rPr>
        <w:t> </w:t>
      </w:r>
      <w:r w:rsidRPr="00672D15">
        <w:rPr>
          <w:lang w:val="ru-RU"/>
        </w:rPr>
        <w:t>области управления людскими ресурсами и их развития, включая пункты, перечисленные в Приложении 1 к</w:t>
      </w:r>
      <w:r w:rsidR="0074276A" w:rsidRPr="00672D15">
        <w:rPr>
          <w:lang w:val="ru-RU"/>
        </w:rPr>
        <w:t> </w:t>
      </w:r>
      <w:r w:rsidRPr="00672D15">
        <w:rPr>
          <w:lang w:val="ru-RU"/>
        </w:rPr>
        <w:t>Резолюции 48.</w:t>
      </w:r>
    </w:p>
    <w:p w:rsidR="001E2142" w:rsidRPr="00672D15" w:rsidRDefault="001E2142" w:rsidP="001E2142">
      <w:pPr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672D15" w:rsidTr="00A34D71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1</w:t>
            </w:r>
            <w:r w:rsidRPr="00672D15">
              <w:rPr>
                <w:lang w:val="ru-RU"/>
              </w:rPr>
              <w:tab/>
            </w:r>
            <w:r w:rsidR="001232DB" w:rsidRPr="00672D15">
              <w:rPr>
                <w:lang w:val="ru-RU"/>
              </w:rPr>
              <w:t>Взаимоотношения между руководством и персоналом</w:t>
            </w:r>
          </w:p>
        </w:tc>
      </w:tr>
    </w:tbl>
    <w:p w:rsidR="001232DB" w:rsidRPr="00672D15" w:rsidRDefault="001232DB" w:rsidP="001E2142">
      <w:pPr>
        <w:rPr>
          <w:lang w:val="ru-RU"/>
        </w:rPr>
      </w:pPr>
      <w:r w:rsidRPr="00672D15">
        <w:rPr>
          <w:lang w:val="ru-RU"/>
        </w:rPr>
        <w:t>Глава</w:t>
      </w:r>
      <w:r w:rsidR="001D7F4B" w:rsidRPr="00672D15">
        <w:rPr>
          <w:lang w:val="ru-RU"/>
        </w:rPr>
        <w:t> </w:t>
      </w:r>
      <w:r w:rsidRPr="00672D15">
        <w:rPr>
          <w:lang w:val="ru-RU"/>
        </w:rPr>
        <w:t>VIII Положений о персонале и Правил</w:t>
      </w:r>
      <w:r w:rsidR="00D950FE" w:rsidRPr="00672D15">
        <w:rPr>
          <w:lang w:val="ru-RU"/>
        </w:rPr>
        <w:t xml:space="preserve"> </w:t>
      </w:r>
      <w:r w:rsidR="0020624F" w:rsidRPr="00672D15">
        <w:rPr>
          <w:lang w:val="ru-RU"/>
        </w:rPr>
        <w:t>о</w:t>
      </w:r>
      <w:r w:rsidRPr="00672D15">
        <w:rPr>
          <w:lang w:val="ru-RU"/>
        </w:rPr>
        <w:t xml:space="preserve"> персонал</w:t>
      </w:r>
      <w:r w:rsidR="0020624F" w:rsidRPr="00672D15">
        <w:rPr>
          <w:lang w:val="ru-RU"/>
        </w:rPr>
        <w:t>е</w:t>
      </w:r>
      <w:r w:rsidR="00F92FC7" w:rsidRPr="00672D15">
        <w:rPr>
          <w:lang w:val="ru-RU"/>
        </w:rPr>
        <w:t>,</w:t>
      </w:r>
      <w:r w:rsidR="001E2142" w:rsidRPr="00672D15">
        <w:rPr>
          <w:lang w:val="ru-RU"/>
        </w:rPr>
        <w:t xml:space="preserve"> Резолюция 51 (Пересм. Миннеаполис, 1998 г.) ПК об участии сотрудников МСЭ в конференциях Союза, а также Решение 517 Совета </w:t>
      </w:r>
      <w:r w:rsidRPr="00672D15">
        <w:rPr>
          <w:lang w:val="ru-RU"/>
        </w:rPr>
        <w:t>устанавлива</w:t>
      </w:r>
      <w:r w:rsidR="001E2142" w:rsidRPr="00672D15">
        <w:rPr>
          <w:lang w:val="ru-RU"/>
        </w:rPr>
        <w:t>ю</w:t>
      </w:r>
      <w:r w:rsidRPr="00672D15">
        <w:rPr>
          <w:lang w:val="ru-RU"/>
        </w:rPr>
        <w:t>т систем</w:t>
      </w:r>
      <w:r w:rsidR="001E2142" w:rsidRPr="00672D15">
        <w:rPr>
          <w:lang w:val="ru-RU"/>
        </w:rPr>
        <w:t>у</w:t>
      </w:r>
      <w:r w:rsidRPr="00672D15">
        <w:rPr>
          <w:lang w:val="ru-RU"/>
        </w:rPr>
        <w:t xml:space="preserve"> отношений между работниками. </w:t>
      </w:r>
    </w:p>
    <w:p w:rsidR="001232DB" w:rsidRPr="00672D15" w:rsidRDefault="001232DB" w:rsidP="001E2142">
      <w:pPr>
        <w:keepNext/>
        <w:keepLines/>
        <w:rPr>
          <w:lang w:val="ru-RU"/>
        </w:rPr>
      </w:pPr>
      <w:r w:rsidRPr="00672D15">
        <w:rPr>
          <w:lang w:val="ru-RU"/>
        </w:rPr>
        <w:t xml:space="preserve">Эффективность этого механизма </w:t>
      </w:r>
      <w:r w:rsidR="00086125" w:rsidRPr="00672D15">
        <w:rPr>
          <w:lang w:val="ru-RU"/>
        </w:rPr>
        <w:t>обеспечивается</w:t>
      </w:r>
      <w:r w:rsidRPr="00672D15">
        <w:rPr>
          <w:lang w:val="ru-RU"/>
        </w:rPr>
        <w:t xml:space="preserve"> за счет:</w:t>
      </w:r>
    </w:p>
    <w:p w:rsidR="001232DB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•</w:t>
      </w:r>
      <w:r w:rsidRPr="00672D15">
        <w:rPr>
          <w:lang w:val="ru-RU"/>
        </w:rPr>
        <w:tab/>
      </w:r>
      <w:r w:rsidR="001232DB" w:rsidRPr="00672D15">
        <w:rPr>
          <w:lang w:val="ru-RU"/>
        </w:rPr>
        <w:t>регулярных совещаний и открытого диалога с представителями персонала для создания эффективного и непредвзятого партнерства;</w:t>
      </w:r>
    </w:p>
    <w:p w:rsidR="001232DB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•</w:t>
      </w:r>
      <w:r w:rsidRPr="00672D15">
        <w:rPr>
          <w:lang w:val="ru-RU"/>
        </w:rPr>
        <w:tab/>
      </w:r>
      <w:r w:rsidR="001232DB" w:rsidRPr="00672D15">
        <w:rPr>
          <w:lang w:val="ru-RU"/>
        </w:rPr>
        <w:t xml:space="preserve">сотрудничества с представителями персонала по вопросам, </w:t>
      </w:r>
      <w:r w:rsidR="00086125" w:rsidRPr="00672D15">
        <w:rPr>
          <w:lang w:val="ru-RU"/>
        </w:rPr>
        <w:t>касающимся</w:t>
      </w:r>
      <w:r w:rsidR="001232DB" w:rsidRPr="00672D15">
        <w:rPr>
          <w:lang w:val="ru-RU"/>
        </w:rPr>
        <w:t xml:space="preserve"> сотрудник</w:t>
      </w:r>
      <w:r w:rsidR="00086125" w:rsidRPr="00672D15">
        <w:rPr>
          <w:lang w:val="ru-RU"/>
        </w:rPr>
        <w:t>ов</w:t>
      </w:r>
      <w:r w:rsidR="001232DB" w:rsidRPr="00672D15">
        <w:rPr>
          <w:lang w:val="ru-RU"/>
        </w:rPr>
        <w:t>, посредством консультаций Объединенного консультативного комитета и учреждения совместных рабочих групп;</w:t>
      </w:r>
    </w:p>
    <w:p w:rsidR="00247289" w:rsidRPr="00672D15" w:rsidRDefault="001E2142" w:rsidP="001E2142">
      <w:pPr>
        <w:pStyle w:val="enumlev1"/>
        <w:rPr>
          <w:lang w:val="ru-RU"/>
        </w:rPr>
      </w:pPr>
      <w:r w:rsidRPr="00672D15">
        <w:rPr>
          <w:lang w:val="ru-RU"/>
        </w:rPr>
        <w:t>•</w:t>
      </w:r>
      <w:r w:rsidRPr="00672D15">
        <w:rPr>
          <w:lang w:val="ru-RU"/>
        </w:rPr>
        <w:tab/>
      </w:r>
      <w:r w:rsidR="00086125" w:rsidRPr="00672D15">
        <w:rPr>
          <w:lang w:val="ru-RU"/>
        </w:rPr>
        <w:t>регулярного информирования сотрудников об изменениях в политике, а также пособиях и социальных правах. В 201</w:t>
      </w:r>
      <w:r w:rsidRPr="00672D15">
        <w:rPr>
          <w:lang w:val="ru-RU"/>
        </w:rPr>
        <w:t>7</w:t>
      </w:r>
      <w:r w:rsidR="00086125" w:rsidRPr="00672D15">
        <w:rPr>
          <w:lang w:val="ru-RU"/>
        </w:rPr>
        <w:t> году был организован ряд презентаций</w:t>
      </w:r>
      <w:r w:rsidR="00247289" w:rsidRPr="00672D15">
        <w:rPr>
          <w:lang w:val="ru-RU"/>
        </w:rPr>
        <w:t>:</w:t>
      </w:r>
      <w:r w:rsidR="00086125" w:rsidRPr="00672D15">
        <w:rPr>
          <w:lang w:val="ru-RU"/>
        </w:rPr>
        <w:t xml:space="preserve"> </w:t>
      </w:r>
    </w:p>
    <w:p w:rsidR="001E2142" w:rsidRPr="00672D15" w:rsidRDefault="00247289" w:rsidP="00247289">
      <w:pPr>
        <w:pStyle w:val="enumlev2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086125" w:rsidRPr="00672D15">
        <w:rPr>
          <w:lang w:val="ru-RU"/>
        </w:rPr>
        <w:t>на французском и английском языках для сотрудников штаб-квартиры и при дистанционном участии региональных отделений о</w:t>
      </w:r>
      <w:r w:rsidR="0074276A" w:rsidRPr="00672D15">
        <w:rPr>
          <w:lang w:val="ru-RU"/>
        </w:rPr>
        <w:t> </w:t>
      </w:r>
      <w:r w:rsidR="00086125" w:rsidRPr="00672D15">
        <w:rPr>
          <w:lang w:val="ru-RU"/>
        </w:rPr>
        <w:t>реализации ново</w:t>
      </w:r>
      <w:r w:rsidRPr="00672D15">
        <w:rPr>
          <w:lang w:val="ru-RU"/>
        </w:rPr>
        <w:t>й e-PMDS;</w:t>
      </w:r>
    </w:p>
    <w:p w:rsidR="001E2142" w:rsidRPr="00672D15" w:rsidRDefault="001E2142" w:rsidP="001E2142">
      <w:pPr>
        <w:pStyle w:val="enumlev2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086125" w:rsidRPr="00672D15">
        <w:rPr>
          <w:lang w:val="ru-RU"/>
        </w:rPr>
        <w:t>о состоянии плана коллективного медицинского страхования</w:t>
      </w:r>
      <w:r w:rsidRPr="00672D15">
        <w:rPr>
          <w:lang w:val="ru-RU"/>
        </w:rPr>
        <w:t xml:space="preserve"> для действующих и вышедших на пенсию сотрудников;</w:t>
      </w:r>
    </w:p>
    <w:p w:rsidR="00A34D71" w:rsidRPr="00672D15" w:rsidRDefault="001E2142" w:rsidP="00A65B2D">
      <w:pPr>
        <w:pStyle w:val="enumlev2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A65B2D" w:rsidRPr="0031472A">
        <w:rPr>
          <w:lang w:val="ru-RU"/>
        </w:rPr>
        <w:t xml:space="preserve">о результатах международного конкурса архитектурных проектов нового здания </w:t>
      </w:r>
      <w:r w:rsidR="00A65B2D">
        <w:rPr>
          <w:lang w:val="ru-RU"/>
        </w:rPr>
        <w:t xml:space="preserve">штаб-квартиры </w:t>
      </w:r>
      <w:r w:rsidR="00A65B2D" w:rsidRPr="0031472A">
        <w:rPr>
          <w:lang w:val="ru-RU"/>
        </w:rPr>
        <w:t>МСЭ</w:t>
      </w:r>
      <w:r w:rsidR="00086125" w:rsidRPr="00672D15">
        <w:rPr>
          <w:lang w:val="ru-RU"/>
        </w:rPr>
        <w:t>.</w:t>
      </w:r>
    </w:p>
    <w:p w:rsidR="001E2142" w:rsidRPr="00672D15" w:rsidRDefault="001E2142" w:rsidP="001E2142">
      <w:pPr>
        <w:pStyle w:val="enumlev1"/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672D15" w:rsidTr="00A65B2D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2</w:t>
            </w:r>
            <w:r w:rsidRPr="00672D15">
              <w:rPr>
                <w:lang w:val="ru-RU"/>
              </w:rPr>
              <w:tab/>
            </w:r>
            <w:r w:rsidR="00086125" w:rsidRPr="00672D15">
              <w:rPr>
                <w:lang w:val="ru-RU"/>
              </w:rPr>
              <w:t>Совершенствование предоставления услуг в области людских ресурсов</w:t>
            </w:r>
          </w:p>
        </w:tc>
      </w:tr>
    </w:tbl>
    <w:p w:rsidR="0074276A" w:rsidRPr="00672D15" w:rsidRDefault="00A65B2D" w:rsidP="00247289">
      <w:pPr>
        <w:rPr>
          <w:lang w:val="ru-RU"/>
        </w:rPr>
      </w:pPr>
      <w:r>
        <w:rPr>
          <w:lang w:val="ru-RU"/>
        </w:rPr>
        <w:t>Особое внимание по-прежнему уделяется повышению эффективности и действенности путем принятия мер, направленных на упрощение и упорядочение рабочих процессов, а также содействию переходу на безбумажные операции,</w:t>
      </w:r>
      <w:r>
        <w:rPr>
          <w:szCs w:val="22"/>
          <w:lang w:val="ru-RU"/>
        </w:rPr>
        <w:t xml:space="preserve"> </w:t>
      </w:r>
      <w:r w:rsidRPr="0031472A">
        <w:rPr>
          <w:lang w:val="ru-RU"/>
        </w:rPr>
        <w:t>который является особенно актуальным в свете переезда МСЭ в новое здание. Эти меры принимаются при сохранении высокого качества предоставления различных услуг HRMD как внутренним, так и внешним клиентам, а также в целях поддержки задач и мандата организации</w:t>
      </w:r>
      <w:r w:rsidR="0074276A" w:rsidRPr="00672D15">
        <w:rPr>
          <w:lang w:val="ru-RU"/>
        </w:rPr>
        <w:t>.</w:t>
      </w:r>
    </w:p>
    <w:p w:rsidR="00A34D71" w:rsidRPr="00672D15" w:rsidRDefault="0074276A" w:rsidP="00247289">
      <w:pPr>
        <w:rPr>
          <w:lang w:val="ru-RU"/>
        </w:rPr>
      </w:pPr>
      <w:r w:rsidRPr="00672D15">
        <w:rPr>
          <w:lang w:val="ru-RU"/>
        </w:rPr>
        <w:t>Был</w:t>
      </w:r>
      <w:r w:rsidR="0020624F" w:rsidRPr="00672D15">
        <w:rPr>
          <w:lang w:val="ru-RU"/>
        </w:rPr>
        <w:t>о</w:t>
      </w:r>
      <w:r w:rsidRPr="00672D15">
        <w:rPr>
          <w:lang w:val="ru-RU"/>
        </w:rPr>
        <w:t xml:space="preserve"> начат</w:t>
      </w:r>
      <w:r w:rsidR="0020624F" w:rsidRPr="00672D15">
        <w:rPr>
          <w:lang w:val="ru-RU"/>
        </w:rPr>
        <w:t>о</w:t>
      </w:r>
      <w:r w:rsidRPr="00672D15">
        <w:rPr>
          <w:lang w:val="ru-RU"/>
        </w:rPr>
        <w:t xml:space="preserve"> </w:t>
      </w:r>
      <w:r w:rsidR="0020624F" w:rsidRPr="00672D15">
        <w:rPr>
          <w:lang w:val="ru-RU"/>
        </w:rPr>
        <w:t xml:space="preserve">осуществление </w:t>
      </w:r>
      <w:r w:rsidRPr="00672D15">
        <w:rPr>
          <w:lang w:val="ru-RU"/>
        </w:rPr>
        <w:t>следующи</w:t>
      </w:r>
      <w:r w:rsidR="0020624F" w:rsidRPr="00672D15">
        <w:rPr>
          <w:lang w:val="ru-RU"/>
        </w:rPr>
        <w:t>х</w:t>
      </w:r>
      <w:r w:rsidRPr="00672D15">
        <w:rPr>
          <w:lang w:val="ru-RU"/>
        </w:rPr>
        <w:t xml:space="preserve"> конкретны</w:t>
      </w:r>
      <w:r w:rsidR="0020624F" w:rsidRPr="00672D15">
        <w:rPr>
          <w:lang w:val="ru-RU"/>
        </w:rPr>
        <w:t>х</w:t>
      </w:r>
      <w:r w:rsidRPr="00672D15">
        <w:rPr>
          <w:lang w:val="ru-RU"/>
        </w:rPr>
        <w:t xml:space="preserve"> мероприяти</w:t>
      </w:r>
      <w:r w:rsidR="0020624F" w:rsidRPr="00672D15">
        <w:rPr>
          <w:lang w:val="ru-RU"/>
        </w:rPr>
        <w:t>й</w:t>
      </w:r>
      <w:r w:rsidRPr="00672D15">
        <w:rPr>
          <w:lang w:val="ru-RU"/>
        </w:rPr>
        <w:t xml:space="preserve"> и проект</w:t>
      </w:r>
      <w:r w:rsidR="0020624F" w:rsidRPr="00672D15">
        <w:rPr>
          <w:lang w:val="ru-RU"/>
        </w:rPr>
        <w:t>ов</w:t>
      </w:r>
      <w:r w:rsidRPr="00672D15">
        <w:rPr>
          <w:lang w:val="ru-RU"/>
        </w:rPr>
        <w:t>, которые уже привели к реализации ряда простых мер, не требующих каких-либо изменений нормативных положений и ИТ-среды.</w:t>
      </w:r>
    </w:p>
    <w:p w:rsidR="00A34D71" w:rsidRPr="00672D15" w:rsidRDefault="00247289" w:rsidP="00247289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071250" w:rsidRPr="00672D15">
        <w:rPr>
          <w:b/>
          <w:bCs/>
          <w:lang w:val="ru-RU"/>
        </w:rPr>
        <w:t>Внедрение электронной программы управления персоналом</w:t>
      </w:r>
    </w:p>
    <w:p w:rsidR="00A34D71" w:rsidRPr="00672D15" w:rsidRDefault="00A65B2D" w:rsidP="00B93D72">
      <w:pPr>
        <w:rPr>
          <w:lang w:val="ru-RU"/>
        </w:rPr>
      </w:pPr>
      <w:r w:rsidRPr="0031472A">
        <w:rPr>
          <w:lang w:val="ru-RU"/>
        </w:rPr>
        <w:t xml:space="preserve">В рамках рационализации процессов в области ЛР в июне 2015 года была введена в действие электронная программа управления персоналом (электронные заявки на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 персонала) </w:t>
      </w:r>
      <w:r w:rsidRPr="0031472A">
        <w:rPr>
          <w:szCs w:val="22"/>
          <w:lang w:val="ru-RU"/>
        </w:rPr>
        <w:t>и в 2016</w:t>
      </w:r>
      <w:r>
        <w:rPr>
          <w:szCs w:val="22"/>
          <w:lang w:val="ru-RU"/>
        </w:rPr>
        <w:t> </w:t>
      </w:r>
      <w:r w:rsidRPr="0031472A">
        <w:rPr>
          <w:szCs w:val="22"/>
          <w:lang w:val="ru-RU"/>
        </w:rPr>
        <w:t>году – е</w:t>
      </w:r>
      <w:r>
        <w:rPr>
          <w:szCs w:val="22"/>
          <w:lang w:val="ru-RU"/>
        </w:rPr>
        <w:t>е</w:t>
      </w:r>
      <w:r w:rsidRPr="0031472A">
        <w:rPr>
          <w:szCs w:val="22"/>
          <w:lang w:val="ru-RU"/>
        </w:rPr>
        <w:t xml:space="preserve"> расширенная версия. По состоянию на конец 2017 года, все секторы используют электронный документооборот</w:t>
      </w:r>
      <w:r w:rsidR="00247289" w:rsidRPr="00672D15">
        <w:rPr>
          <w:rFonts w:asciiTheme="minorHAnsi" w:hAnsiTheme="minorHAnsi"/>
          <w:szCs w:val="22"/>
          <w:lang w:val="ru-RU"/>
        </w:rPr>
        <w:t>.</w:t>
      </w:r>
    </w:p>
    <w:p w:rsidR="00A34D71" w:rsidRPr="00672D15" w:rsidRDefault="00247289" w:rsidP="00247289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A35096" w:rsidRPr="00672D15">
        <w:rPr>
          <w:b/>
          <w:bCs/>
          <w:lang w:val="ru-RU"/>
        </w:rPr>
        <w:t>Создание справочника по людским ресурсам</w:t>
      </w:r>
    </w:p>
    <w:p w:rsidR="00A65B2D" w:rsidRDefault="00A35096" w:rsidP="00B93D72">
      <w:pPr>
        <w:rPr>
          <w:lang w:val="ru-RU"/>
        </w:rPr>
      </w:pPr>
      <w:r w:rsidRPr="00672D15">
        <w:rPr>
          <w:lang w:val="ru-RU"/>
        </w:rPr>
        <w:t xml:space="preserve">В своем </w:t>
      </w:r>
      <w:r w:rsidR="00C52D18" w:rsidRPr="00672D15">
        <w:rPr>
          <w:lang w:val="ru-RU"/>
        </w:rPr>
        <w:t xml:space="preserve">отчете </w:t>
      </w:r>
      <w:r w:rsidRPr="00672D15">
        <w:rPr>
          <w:lang w:val="ru-RU"/>
        </w:rPr>
        <w:t xml:space="preserve">о </w:t>
      </w:r>
      <w:r w:rsidR="00C52D18" w:rsidRPr="00672D15">
        <w:rPr>
          <w:lang w:val="ru-RU"/>
        </w:rPr>
        <w:t xml:space="preserve">Рассмотрении </w:t>
      </w:r>
      <w:r w:rsidRPr="00672D15">
        <w:rPr>
          <w:lang w:val="ru-RU"/>
        </w:rPr>
        <w:t xml:space="preserve">МСЭ Объединенная инспекционная группа (ОИГ) порекомендовала </w:t>
      </w:r>
      <w:r w:rsidR="002151DB" w:rsidRPr="00672D15">
        <w:rPr>
          <w:lang w:val="ru-RU"/>
        </w:rPr>
        <w:t xml:space="preserve">Генеральному секретарю обеспечить охват всех связанных с людскими ресурсами процессов, таких как </w:t>
      </w:r>
      <w:r w:rsidR="00B93D72">
        <w:rPr>
          <w:lang w:val="ru-RU"/>
        </w:rPr>
        <w:t>набор персонала</w:t>
      </w:r>
      <w:r w:rsidR="002151DB" w:rsidRPr="00672D15">
        <w:rPr>
          <w:lang w:val="ru-RU"/>
        </w:rPr>
        <w:t>, назначение и продвижение по службе, официальными процедурами, включение их в нормативно-правовую базу и сведение в комплексный справочник по людским ресурсам (Рек</w:t>
      </w:r>
      <w:r w:rsidR="00C52D18" w:rsidRPr="00672D15">
        <w:rPr>
          <w:lang w:val="ru-RU"/>
        </w:rPr>
        <w:t>омендация</w:t>
      </w:r>
      <w:r w:rsidR="002151DB" w:rsidRPr="00672D15">
        <w:rPr>
          <w:lang w:val="ru-RU"/>
        </w:rPr>
        <w:t xml:space="preserve"> 10). </w:t>
      </w:r>
      <w:r w:rsidR="002E0CC9" w:rsidRPr="00672D15">
        <w:rPr>
          <w:lang w:val="ru-RU"/>
        </w:rPr>
        <w:t xml:space="preserve">Проект структуры справочника представлен в </w:t>
      </w:r>
      <w:r w:rsidR="00247289" w:rsidRPr="00672D15">
        <w:rPr>
          <w:lang w:val="ru-RU"/>
        </w:rPr>
        <w:t>Документе</w:t>
      </w:r>
      <w:r w:rsidR="00247289" w:rsidRPr="00672D15">
        <w:rPr>
          <w:color w:val="000000"/>
          <w:lang w:val="ru-RU" w:eastAsia="zh-CN"/>
        </w:rPr>
        <w:t xml:space="preserve"> </w:t>
      </w:r>
      <w:hyperlink r:id="rId12" w:history="1">
        <w:r w:rsidR="00A34D71" w:rsidRPr="00672D15">
          <w:rPr>
            <w:rStyle w:val="Hyperlink"/>
            <w:lang w:val="ru-RU" w:eastAsia="zh-CN"/>
          </w:rPr>
          <w:t>C17/INF/14</w:t>
        </w:r>
      </w:hyperlink>
      <w:r w:rsidR="00A65B2D">
        <w:rPr>
          <w:lang w:val="ru-RU"/>
        </w:rPr>
        <w:t xml:space="preserve">, </w:t>
      </w:r>
      <w:r w:rsidR="00A65B2D" w:rsidRPr="0031472A">
        <w:rPr>
          <w:lang w:val="ru-RU"/>
        </w:rPr>
        <w:t>и подготовлен план проекта по разработке электронной платформы, состоящей из указателя основных административных категорий, в качестве основы для интеграции всех существующих процедур и кадровой документации. В то время как ряд процедур и кадров</w:t>
      </w:r>
      <w:r w:rsidR="00A65B2D">
        <w:rPr>
          <w:lang w:val="ru-RU"/>
        </w:rPr>
        <w:t>ая</w:t>
      </w:r>
      <w:r w:rsidR="00A65B2D" w:rsidRPr="0031472A">
        <w:rPr>
          <w:lang w:val="ru-RU"/>
        </w:rPr>
        <w:t xml:space="preserve"> документаци</w:t>
      </w:r>
      <w:r w:rsidR="00A65B2D">
        <w:rPr>
          <w:lang w:val="ru-RU"/>
        </w:rPr>
        <w:t>я</w:t>
      </w:r>
      <w:r w:rsidR="00A65B2D" w:rsidRPr="0031472A">
        <w:rPr>
          <w:lang w:val="ru-RU"/>
        </w:rPr>
        <w:t xml:space="preserve"> вс</w:t>
      </w:r>
      <w:r w:rsidR="00A65B2D">
        <w:rPr>
          <w:lang w:val="ru-RU"/>
        </w:rPr>
        <w:t>е</w:t>
      </w:r>
      <w:r w:rsidR="00A65B2D" w:rsidRPr="0031472A">
        <w:rPr>
          <w:lang w:val="ru-RU"/>
        </w:rPr>
        <w:t xml:space="preserve"> еще пересматрива</w:t>
      </w:r>
      <w:r w:rsidR="00A65B2D">
        <w:rPr>
          <w:lang w:val="ru-RU"/>
        </w:rPr>
        <w:t>ю</w:t>
      </w:r>
      <w:r w:rsidR="00A65B2D" w:rsidRPr="0031472A">
        <w:rPr>
          <w:lang w:val="ru-RU"/>
        </w:rPr>
        <w:t>тся и разрабатыва</w:t>
      </w:r>
      <w:r w:rsidR="00A65B2D">
        <w:rPr>
          <w:lang w:val="ru-RU"/>
        </w:rPr>
        <w:t>ю</w:t>
      </w:r>
      <w:r w:rsidR="00A65B2D" w:rsidRPr="0031472A">
        <w:rPr>
          <w:lang w:val="ru-RU"/>
        </w:rPr>
        <w:t>тся, данная электронная платформа</w:t>
      </w:r>
      <w:r w:rsidR="00A65B2D">
        <w:rPr>
          <w:lang w:val="ru-RU"/>
        </w:rPr>
        <w:t xml:space="preserve">, предоставленная </w:t>
      </w:r>
      <w:r w:rsidR="00A65B2D" w:rsidRPr="0031472A">
        <w:rPr>
          <w:lang w:val="ru-RU"/>
        </w:rPr>
        <w:t>в распоряжени</w:t>
      </w:r>
      <w:r w:rsidR="00A65B2D">
        <w:rPr>
          <w:lang w:val="ru-RU"/>
        </w:rPr>
        <w:t>е</w:t>
      </w:r>
      <w:r w:rsidR="00A65B2D" w:rsidRPr="0031472A">
        <w:rPr>
          <w:lang w:val="ru-RU"/>
        </w:rPr>
        <w:t xml:space="preserve"> сотрудников</w:t>
      </w:r>
      <w:r w:rsidR="00A65B2D">
        <w:rPr>
          <w:lang w:val="ru-RU"/>
        </w:rPr>
        <w:t>,</w:t>
      </w:r>
      <w:r w:rsidR="00A65B2D" w:rsidRPr="0031472A">
        <w:rPr>
          <w:lang w:val="ru-RU"/>
        </w:rPr>
        <w:t xml:space="preserve"> уже будет представлять собой мощную поисковую систему с возможностью просмотра и средством улучшения кадровых услуг. Справочник по людским ресурсам будет доступен в интрасети кадровой службы к сессии Совета 2018 г</w:t>
      </w:r>
      <w:r w:rsidR="00A65B2D">
        <w:rPr>
          <w:lang w:val="ru-RU"/>
        </w:rPr>
        <w:t>ода</w:t>
      </w:r>
      <w:r w:rsidR="00247289" w:rsidRPr="00672D15">
        <w:rPr>
          <w:lang w:val="ru-RU"/>
        </w:rPr>
        <w:t>.</w:t>
      </w:r>
    </w:p>
    <w:p w:rsidR="00A65B2D" w:rsidRDefault="00A65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34D71" w:rsidRPr="00672D15" w:rsidRDefault="00AC6253" w:rsidP="00A65B2D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A65B2D">
        <w:rPr>
          <w:b/>
          <w:bCs/>
          <w:lang w:val="ru-RU"/>
        </w:rPr>
        <w:t>Дальнейшее совершенствование интрасети ЛР</w:t>
      </w:r>
    </w:p>
    <w:p w:rsidR="00A34D71" w:rsidRPr="00672D15" w:rsidRDefault="00A65B2D" w:rsidP="00AC6253">
      <w:pPr>
        <w:rPr>
          <w:lang w:val="ru-RU"/>
        </w:rPr>
      </w:pPr>
      <w:r>
        <w:rPr>
          <w:lang w:val="ru-RU"/>
        </w:rPr>
        <w:t xml:space="preserve">Интрасеть является важным инструментом для всех сотрудников МСЭ, который обеспечивает внутреннюю связь и служит основной платформой для предоставления информации, форм, инструментов администрирования и т. п. как в штаб-квартире, так и в местных отделениях. Бóльшая часть информации, поступающей в интрасети, исходит от </w:t>
      </w:r>
      <w:r>
        <w:rPr>
          <w:lang w:val="en-US"/>
        </w:rPr>
        <w:t>HRMD</w:t>
      </w:r>
      <w:r>
        <w:rPr>
          <w:lang w:val="ru-RU"/>
        </w:rPr>
        <w:t>. П</w:t>
      </w:r>
      <w:r w:rsidR="00D0421F">
        <w:rPr>
          <w:lang w:val="ru-RU"/>
        </w:rPr>
        <w:t>ростой доступ к этой информации </w:t>
      </w:r>
      <w:r>
        <w:rPr>
          <w:lang w:val="ru-RU"/>
        </w:rPr>
        <w:t xml:space="preserve">– ключ к эффективному предоставлению услуг в области людских ресурсов. Поэтому веб-сайт ЛР был реструктурирован и переработан с целью обеспечить его удобство и наполнение полезной информацией, с применением соответствующих технологий, позволивших сделать его доступным на разных платформах (компьютеры, планшеты, смартфоны). Данная модель, использованная </w:t>
      </w:r>
      <w:r>
        <w:rPr>
          <w:lang w:val="en-US"/>
        </w:rPr>
        <w:t>HRMD</w:t>
      </w:r>
      <w:r>
        <w:rPr>
          <w:lang w:val="ru-RU"/>
        </w:rPr>
        <w:t>, послужит образцом для других департаментов. В рамках продолжения проекта особое внимание будет уделено облегчению административных действий, включая утверждение документов и рассылку уведомлений</w:t>
      </w:r>
      <w:r w:rsidR="002E0CC9" w:rsidRPr="00672D15">
        <w:rPr>
          <w:lang w:val="ru-RU"/>
        </w:rPr>
        <w:t>.</w:t>
      </w:r>
    </w:p>
    <w:p w:rsidR="00AC6253" w:rsidRPr="00672D15" w:rsidRDefault="00AC6253" w:rsidP="00AC6253">
      <w:pPr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672D15" w:rsidTr="00AC625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3</w:t>
            </w:r>
            <w:r w:rsidRPr="00672D15">
              <w:rPr>
                <w:lang w:val="ru-RU"/>
              </w:rPr>
              <w:tab/>
            </w:r>
            <w:r w:rsidR="002E0CC9" w:rsidRPr="00672D15">
              <w:rPr>
                <w:lang w:val="ru-RU"/>
              </w:rPr>
              <w:t>Вопросы, связанные с персоналом</w:t>
            </w:r>
          </w:p>
        </w:tc>
      </w:tr>
    </w:tbl>
    <w:p w:rsidR="00A34D71" w:rsidRPr="00672D15" w:rsidRDefault="002E0CC9" w:rsidP="00B7327D">
      <w:pPr>
        <w:rPr>
          <w:lang w:val="ru-RU"/>
        </w:rPr>
      </w:pPr>
      <w:r w:rsidRPr="00672D15">
        <w:rPr>
          <w:lang w:val="ru-RU"/>
        </w:rPr>
        <w:t xml:space="preserve">Как показано в </w:t>
      </w:r>
      <w:r w:rsidR="00AC6253" w:rsidRPr="00672D15">
        <w:rPr>
          <w:lang w:val="ru-RU"/>
        </w:rPr>
        <w:t xml:space="preserve">Документе </w:t>
      </w:r>
      <w:hyperlink r:id="rId13" w:history="1">
        <w:r w:rsidR="00B7327D" w:rsidRPr="00672D15">
          <w:rPr>
            <w:rStyle w:val="Hyperlink"/>
            <w:lang w:val="ru-RU"/>
          </w:rPr>
          <w:t>C18/INF/5</w:t>
        </w:r>
      </w:hyperlink>
      <w:r w:rsidRPr="00672D15">
        <w:rPr>
          <w:rStyle w:val="Hyperlink"/>
          <w:rFonts w:asciiTheme="minorHAnsi" w:hAnsiTheme="minorHAnsi"/>
          <w:color w:val="auto"/>
          <w:sz w:val="20"/>
          <w:u w:val="none"/>
          <w:lang w:val="ru-RU"/>
        </w:rPr>
        <w:t xml:space="preserve">, </w:t>
      </w:r>
      <w:r w:rsidRPr="00672D15">
        <w:rPr>
          <w:lang w:val="ru-RU"/>
        </w:rPr>
        <w:t>за последние годы персонал МСЭ изменялся во многих отношениях</w:t>
      </w:r>
      <w:r w:rsidRPr="00A65B2D">
        <w:rPr>
          <w:szCs w:val="22"/>
          <w:lang w:val="ru-RU"/>
        </w:rPr>
        <w:t xml:space="preserve">, </w:t>
      </w:r>
      <w:r w:rsidRPr="00A65B2D">
        <w:rPr>
          <w:rStyle w:val="Hyperlink"/>
          <w:rFonts w:asciiTheme="minorHAnsi" w:hAnsiTheme="minorHAnsi"/>
          <w:color w:val="auto"/>
          <w:szCs w:val="22"/>
          <w:u w:val="none"/>
          <w:lang w:val="ru-RU"/>
        </w:rPr>
        <w:t>включая, в частности:</w:t>
      </w:r>
    </w:p>
    <w:p w:rsidR="005F03C0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5F03C0" w:rsidRPr="00672D15">
        <w:rPr>
          <w:lang w:val="ru-RU"/>
        </w:rPr>
        <w:t>общее число штатных сотрудников;</w:t>
      </w:r>
    </w:p>
    <w:p w:rsidR="005F03C0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5F03C0" w:rsidRPr="00672D15">
        <w:rPr>
          <w:lang w:val="ru-RU"/>
        </w:rPr>
        <w:t>распределение между категорией общего обслуживания и категорией специалистов и выше;</w:t>
      </w:r>
    </w:p>
    <w:p w:rsidR="005F03C0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5F03C0" w:rsidRPr="00672D15">
        <w:rPr>
          <w:lang w:val="ru-RU"/>
        </w:rPr>
        <w:t>распределение по классам;</w:t>
      </w:r>
    </w:p>
    <w:p w:rsidR="005F03C0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5F03C0" w:rsidRPr="00672D15">
        <w:rPr>
          <w:lang w:val="ru-RU"/>
        </w:rPr>
        <w:t>распределение по возрасту;</w:t>
      </w:r>
    </w:p>
    <w:p w:rsidR="00A34D71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5F03C0" w:rsidRPr="00672D15">
        <w:rPr>
          <w:lang w:val="ru-RU"/>
        </w:rPr>
        <w:t>распределение по полу.</w:t>
      </w:r>
    </w:p>
    <w:p w:rsidR="00A34D71" w:rsidRPr="00672D15" w:rsidRDefault="00A65B2D" w:rsidP="00B7327D">
      <w:pPr>
        <w:rPr>
          <w:lang w:val="ru-RU"/>
        </w:rPr>
      </w:pPr>
      <w:r>
        <w:rPr>
          <w:lang w:val="ru-RU"/>
        </w:rPr>
        <w:t xml:space="preserve">Будучи высокоспециализированной технической организацией, которая работает в чрезвычайно конкурентной и быстро меняющейся отрасли, МСЭ сталкивается со многими проблемами в области адаптации персонала к различным существующим ограничениям, </w:t>
      </w:r>
      <w:r w:rsidRPr="0031472A">
        <w:rPr>
          <w:lang w:val="ru-RU"/>
        </w:rPr>
        <w:t>а также соблюдения резолюций Генеральной Ассамблеи, которым частный сектор следовать не обязан</w:t>
      </w:r>
      <w:r w:rsidR="00383F18" w:rsidRPr="00672D15">
        <w:rPr>
          <w:lang w:val="ru-RU"/>
        </w:rPr>
        <w:t>.</w:t>
      </w:r>
    </w:p>
    <w:p w:rsidR="00A34D71" w:rsidRPr="00672D15" w:rsidRDefault="00A65B2D" w:rsidP="00A65B2D">
      <w:pPr>
        <w:rPr>
          <w:lang w:val="ru-RU"/>
        </w:rPr>
      </w:pPr>
      <w:r w:rsidRPr="0031472A">
        <w:rPr>
          <w:lang w:val="ru-RU"/>
        </w:rPr>
        <w:t xml:space="preserve">Поэтому организация должна проявлять маневренность и разработать политику планирования персонала на основе прогнозов организационной структуры, интеграции факторов планового сокращения или расширения, инвентаризации умений и навыков (недостатки, потенциальные возможности и имеющиеся преимущества) в целях обеспечения надлежащего контингента сотрудников для гарантии непрерывности </w:t>
      </w:r>
      <w:r>
        <w:rPr>
          <w:lang w:val="ru-RU"/>
        </w:rPr>
        <w:t>деятельности</w:t>
      </w:r>
      <w:r w:rsidRPr="0031472A">
        <w:rPr>
          <w:lang w:val="ru-RU"/>
        </w:rPr>
        <w:t>, в то же время признавая вклад действующего персонала</w:t>
      </w:r>
      <w:r w:rsidR="00A34D71" w:rsidRPr="00672D15">
        <w:rPr>
          <w:lang w:val="ru-RU"/>
        </w:rPr>
        <w:t>.</w:t>
      </w:r>
    </w:p>
    <w:p w:rsidR="00B7327D" w:rsidRPr="00672D15" w:rsidRDefault="00A65B2D" w:rsidP="00B7327D">
      <w:pPr>
        <w:rPr>
          <w:lang w:val="ru-RU"/>
        </w:rPr>
      </w:pPr>
      <w:r w:rsidRPr="0031472A">
        <w:rPr>
          <w:lang w:val="ru-RU"/>
        </w:rPr>
        <w:t>Были приложены усилия по гарантированию включения элементов преемственности в Стратегический план в области людских ресурсов, включая планирование числа штатных единиц, которые будут освобождены сотрудниками, выходящими на пенсию в ближайшие десять (10) лет, с учетом вступления в силу с 1 января 2018 года возраста обязательного выхода на пенсию (</w:t>
      </w:r>
      <w:r>
        <w:rPr>
          <w:lang w:val="en-US"/>
        </w:rPr>
        <w:t>MAR</w:t>
      </w:r>
      <w:r w:rsidRPr="0031472A">
        <w:rPr>
          <w:lang w:val="ru-RU"/>
        </w:rPr>
        <w:t>) – 65</w:t>
      </w:r>
      <w:r>
        <w:rPr>
          <w:lang w:val="ru-RU"/>
        </w:rPr>
        <w:t> </w:t>
      </w:r>
      <w:r w:rsidRPr="0031472A">
        <w:rPr>
          <w:lang w:val="ru-RU"/>
        </w:rPr>
        <w:t xml:space="preserve">лет. Новая электронная система </w:t>
      </w:r>
      <w:r>
        <w:rPr>
          <w:lang w:val="ru-RU"/>
        </w:rPr>
        <w:t>управления</w:t>
      </w:r>
      <w:r w:rsidRPr="00984BD3">
        <w:rPr>
          <w:lang w:val="ru-RU"/>
        </w:rPr>
        <w:t xml:space="preserve"> показател</w:t>
      </w:r>
      <w:r>
        <w:rPr>
          <w:lang w:val="ru-RU"/>
        </w:rPr>
        <w:t>ями</w:t>
      </w:r>
      <w:r w:rsidRPr="00984BD3">
        <w:rPr>
          <w:lang w:val="ru-RU"/>
        </w:rPr>
        <w:t xml:space="preserve"> деятельности и профессионального развития</w:t>
      </w:r>
      <w:r w:rsidRPr="0031472A">
        <w:rPr>
          <w:lang w:val="ru-RU"/>
        </w:rPr>
        <w:t xml:space="preserve"> (e-PMDS) позволит проанализировать компетенции, которые необходимо усилить и/или приобрести в рамках плана обучения и </w:t>
      </w:r>
      <w:r>
        <w:rPr>
          <w:lang w:val="ru-RU"/>
        </w:rPr>
        <w:t xml:space="preserve">профессионального </w:t>
      </w:r>
      <w:r w:rsidRPr="0031472A">
        <w:rPr>
          <w:lang w:val="ru-RU"/>
        </w:rPr>
        <w:t xml:space="preserve">развития. Система e-PMDS также позволит </w:t>
      </w:r>
      <w:r>
        <w:rPr>
          <w:lang w:val="ru-RU"/>
        </w:rPr>
        <w:t xml:space="preserve">выявить кадровый потенциал организации </w:t>
      </w:r>
      <w:r w:rsidRPr="0031472A">
        <w:rPr>
          <w:lang w:val="ru-RU"/>
        </w:rPr>
        <w:t xml:space="preserve">в соответствии с требованиями </w:t>
      </w:r>
      <w:r>
        <w:rPr>
          <w:lang w:val="ru-RU"/>
        </w:rPr>
        <w:t xml:space="preserve">к ведению деятельности </w:t>
      </w:r>
      <w:r w:rsidRPr="0031472A">
        <w:rPr>
          <w:lang w:val="ru-RU"/>
        </w:rPr>
        <w:t>МСЭ, а также стратегическими и рабочими приоритетами</w:t>
      </w:r>
      <w:r w:rsidR="00B7327D" w:rsidRPr="00672D15">
        <w:rPr>
          <w:lang w:val="ru-RU"/>
        </w:rPr>
        <w:t>.</w:t>
      </w:r>
    </w:p>
    <w:p w:rsidR="00A65B2D" w:rsidRDefault="00A65B2D" w:rsidP="00B7327D">
      <w:pPr>
        <w:rPr>
          <w:lang w:val="ru-RU"/>
        </w:rPr>
      </w:pPr>
      <w:r w:rsidRPr="0031472A">
        <w:rPr>
          <w:lang w:val="ru-RU"/>
        </w:rPr>
        <w:t>Чтобы решить эти задачи, на 2018 год в качестве приоритетных были определены следующие области</w:t>
      </w:r>
      <w:r w:rsidR="00B7327D" w:rsidRPr="00672D15">
        <w:rPr>
          <w:lang w:val="ru-RU"/>
        </w:rPr>
        <w:t xml:space="preserve">: </w:t>
      </w:r>
    </w:p>
    <w:p w:rsidR="00A65B2D" w:rsidRDefault="00A65B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34D71" w:rsidRPr="00672D15" w:rsidRDefault="00B7327D" w:rsidP="00B93D72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A65B2D" w:rsidRPr="0031472A">
        <w:rPr>
          <w:b/>
          <w:bCs/>
          <w:lang w:val="ru-RU"/>
        </w:rPr>
        <w:t xml:space="preserve">Анализ процесса и средств </w:t>
      </w:r>
      <w:r w:rsidR="00B93D72">
        <w:rPr>
          <w:b/>
          <w:bCs/>
          <w:lang w:val="ru-RU"/>
        </w:rPr>
        <w:t>на</w:t>
      </w:r>
      <w:r w:rsidR="00A65B2D" w:rsidRPr="0031472A">
        <w:rPr>
          <w:b/>
          <w:bCs/>
          <w:lang w:val="ru-RU"/>
        </w:rPr>
        <w:t>бора персонала</w:t>
      </w:r>
    </w:p>
    <w:p w:rsidR="00B7327D" w:rsidRPr="00672D15" w:rsidRDefault="00A65B2D" w:rsidP="00B93D72">
      <w:pPr>
        <w:rPr>
          <w:lang w:val="ru-RU"/>
        </w:rPr>
      </w:pPr>
      <w:r w:rsidRPr="0031472A">
        <w:rPr>
          <w:lang w:val="ru-RU"/>
        </w:rPr>
        <w:t xml:space="preserve">Продолжается разработка руководства по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бору персонала в качестве справочного документа. Независимо от данного руководства будут разработаны стандартные документы или шаблоны, которые будут использоваться на всех этапах процесса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бора персонала, чтобы обеспечить прозрачность и согласованность процесса. Направлены соответствующие запросы в другие организации системы ООН, чтобы изучить и сравнить их опыт. В руководство по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бору персонала и все разрабатываемые формы могут быть внесены изменения по результатам запланированного на 2018 год исследовательского проекта по формированию новой интернет-системы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бора персонала – дружественной к пользователю, более надежной и имеющей дополнительные функции для дальнейшей автоматизации и упорядочения процесса. Данный подход отвечает служебной записке ОИГ по процессу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бора персонала, в которой говорится о том, что системы электронного </w:t>
      </w:r>
      <w:r w:rsidR="00B93D72">
        <w:rPr>
          <w:lang w:val="ru-RU"/>
        </w:rPr>
        <w:t>на</w:t>
      </w:r>
      <w:r w:rsidRPr="0031472A">
        <w:rPr>
          <w:lang w:val="ru-RU"/>
        </w:rPr>
        <w:t>бора персонала должны быть доработаны таким образом, чтобы полностью автоматизировать процесс и увеличить его прозрачность. Новая система также повысит продуктивность и согласованность и сократит число ошибок</w:t>
      </w:r>
      <w:r w:rsidR="00B7327D" w:rsidRPr="00672D15">
        <w:rPr>
          <w:lang w:val="ru-RU"/>
        </w:rPr>
        <w:t xml:space="preserve">. </w:t>
      </w:r>
    </w:p>
    <w:p w:rsidR="00B7327D" w:rsidRPr="00672D15" w:rsidRDefault="00A65B2D" w:rsidP="00B93D72">
      <w:pPr>
        <w:rPr>
          <w:lang w:val="ru-RU"/>
        </w:rPr>
      </w:pPr>
      <w:r w:rsidRPr="0031472A">
        <w:rPr>
          <w:lang w:val="ru-RU"/>
        </w:rPr>
        <w:t xml:space="preserve">Исходя из практики и в ответ на нужды пользователей начаты предварительные консультации по вопросу разработки механизма отслеживания </w:t>
      </w:r>
      <w:r w:rsidR="00B93D72">
        <w:rPr>
          <w:lang w:val="ru-RU"/>
        </w:rPr>
        <w:t>заявок на на</w:t>
      </w:r>
      <w:r w:rsidRPr="0031472A">
        <w:rPr>
          <w:lang w:val="ru-RU"/>
        </w:rPr>
        <w:t>бор персонала на платформе SharePoint. После создания системы потребуется испытательный период, чтобы убедиться в ее правильном функционировании, однако предполагается, что после запуска данный инструмент должен увеличить прозрачность обработки за</w:t>
      </w:r>
      <w:r w:rsidR="00B93D72">
        <w:rPr>
          <w:lang w:val="ru-RU"/>
        </w:rPr>
        <w:t>явок на на</w:t>
      </w:r>
      <w:r w:rsidRPr="0031472A">
        <w:rPr>
          <w:lang w:val="ru-RU"/>
        </w:rPr>
        <w:t>бор персонала, а также дать пользователям возможность быстро просмотреть состояние за</w:t>
      </w:r>
      <w:r w:rsidR="00B93D72">
        <w:rPr>
          <w:lang w:val="ru-RU"/>
        </w:rPr>
        <w:t>явки</w:t>
      </w:r>
      <w:r w:rsidRPr="0031472A">
        <w:rPr>
          <w:lang w:val="ru-RU"/>
        </w:rPr>
        <w:t xml:space="preserve"> и оценить, чего не хватает для е</w:t>
      </w:r>
      <w:r w:rsidR="00B93D72">
        <w:rPr>
          <w:lang w:val="ru-RU"/>
        </w:rPr>
        <w:t>е</w:t>
      </w:r>
      <w:r w:rsidRPr="0031472A">
        <w:rPr>
          <w:lang w:val="ru-RU"/>
        </w:rPr>
        <w:t xml:space="preserve"> завершения</w:t>
      </w:r>
      <w:r w:rsidR="00B7327D" w:rsidRPr="00672D15">
        <w:rPr>
          <w:lang w:val="ru-RU"/>
        </w:rPr>
        <w:t xml:space="preserve">. </w:t>
      </w:r>
    </w:p>
    <w:p w:rsidR="00B7327D" w:rsidRPr="00672D15" w:rsidRDefault="00A65B2D" w:rsidP="00B93D72">
      <w:pPr>
        <w:rPr>
          <w:lang w:val="ru-RU"/>
        </w:rPr>
      </w:pPr>
      <w:r w:rsidRPr="0031472A">
        <w:rPr>
          <w:lang w:val="ru-RU"/>
        </w:rPr>
        <w:t xml:space="preserve">Изменениям в процессе </w:t>
      </w:r>
      <w:r w:rsidR="00B93D72">
        <w:rPr>
          <w:lang w:val="ru-RU"/>
        </w:rPr>
        <w:t>на</w:t>
      </w:r>
      <w:r w:rsidRPr="0031472A">
        <w:rPr>
          <w:lang w:val="ru-RU"/>
        </w:rPr>
        <w:t xml:space="preserve">бора персонала также будут способствовать усилия </w:t>
      </w:r>
      <w:r>
        <w:rPr>
          <w:lang w:val="en-US"/>
        </w:rPr>
        <w:t>HRMD</w:t>
      </w:r>
      <w:r w:rsidRPr="0031472A">
        <w:rPr>
          <w:lang w:val="ru-RU"/>
        </w:rPr>
        <w:t xml:space="preserve"> по более эффективному привлечению кандидатов на постоянные должности, должности младших сотрудников-специалистов и на стажировку. Кампания по привлечению кандидатов будет проводиться как в интернете, так и вне сети, и потребует взаимодействия с департаментами и Бюро, а также координации с отделом корпоративных связей, чтобы подготовить согласованные объявления для целевой аудитории и распространить их в социальных сетях. Поскольку кампания потребует как финансовых средств, так и трудозатрат, для оценки возврата инвестиций будет проводиться мониторинг кампаний</w:t>
      </w:r>
      <w:r w:rsidR="00B7327D" w:rsidRPr="00672D15">
        <w:rPr>
          <w:lang w:val="ru-RU"/>
        </w:rPr>
        <w:t xml:space="preserve">. </w:t>
      </w:r>
    </w:p>
    <w:p w:rsidR="00B7327D" w:rsidRPr="00672D15" w:rsidRDefault="00A65B2D" w:rsidP="00B7327D">
      <w:pPr>
        <w:rPr>
          <w:lang w:val="ru-RU"/>
        </w:rPr>
      </w:pPr>
      <w:r w:rsidRPr="0031472A">
        <w:rPr>
          <w:lang w:val="ru-RU"/>
        </w:rPr>
        <w:t xml:space="preserve">За запуском e-PMDS последует интеграция </w:t>
      </w:r>
      <w:r>
        <w:rPr>
          <w:lang w:val="ru-RU"/>
        </w:rPr>
        <w:t>системы</w:t>
      </w:r>
      <w:r w:rsidRPr="0031472A">
        <w:rPr>
          <w:lang w:val="ru-RU"/>
        </w:rPr>
        <w:t xml:space="preserve"> компетенци</w:t>
      </w:r>
      <w:r>
        <w:rPr>
          <w:lang w:val="ru-RU"/>
        </w:rPr>
        <w:t>й</w:t>
      </w:r>
      <w:r w:rsidRPr="0031472A">
        <w:rPr>
          <w:lang w:val="ru-RU"/>
        </w:rPr>
        <w:t xml:space="preserve"> МСЭ в различные виды деятельности кадровой службы, такие как объявления о вакансии, собеседования и </w:t>
      </w:r>
      <w:r>
        <w:rPr>
          <w:lang w:val="ru-RU"/>
        </w:rPr>
        <w:t>курсы профессиональной подготовки</w:t>
      </w:r>
      <w:r w:rsidR="00B7327D" w:rsidRPr="00672D15">
        <w:rPr>
          <w:lang w:val="ru-RU"/>
        </w:rPr>
        <w:t xml:space="preserve">. </w:t>
      </w:r>
    </w:p>
    <w:p w:rsidR="00B7327D" w:rsidRPr="00672D15" w:rsidRDefault="00A65B2D" w:rsidP="00B7327D">
      <w:pPr>
        <w:rPr>
          <w:lang w:val="ru-RU"/>
        </w:rPr>
      </w:pPr>
      <w:r w:rsidRPr="0031472A">
        <w:rPr>
          <w:lang w:val="ru-RU"/>
        </w:rPr>
        <w:t xml:space="preserve">С целью внесения большей ясности в практику классификации, в </w:t>
      </w:r>
      <w:r>
        <w:rPr>
          <w:lang w:val="ru-RU"/>
        </w:rPr>
        <w:t>служебный приказ</w:t>
      </w:r>
      <w:r w:rsidRPr="0031472A">
        <w:rPr>
          <w:lang w:val="ru-RU"/>
        </w:rPr>
        <w:t xml:space="preserve"> </w:t>
      </w:r>
      <w:r>
        <w:rPr>
          <w:lang w:val="ru-RU"/>
        </w:rPr>
        <w:t>о</w:t>
      </w:r>
      <w:r w:rsidRPr="0031472A">
        <w:rPr>
          <w:lang w:val="ru-RU"/>
        </w:rPr>
        <w:t xml:space="preserve"> классификаци</w:t>
      </w:r>
      <w:r>
        <w:rPr>
          <w:lang w:val="ru-RU"/>
        </w:rPr>
        <w:t>и</w:t>
      </w:r>
      <w:r w:rsidRPr="0031472A">
        <w:rPr>
          <w:lang w:val="ru-RU"/>
        </w:rPr>
        <w:t xml:space="preserve"> должностей потребуется внести небольшие корректировки. Чтобы привести практику классификации в соответствие с принятой в общей системе организаций ООН, а также придерживаясь пункта 2 Резолюции 48, в котором установлены рекомендации Комиссии по международной гражданской службе, утвержденные Генеральной Ассамблеей ООН, </w:t>
      </w:r>
      <w:r>
        <w:rPr>
          <w:lang w:val="en-US"/>
        </w:rPr>
        <w:t xml:space="preserve">HRMD </w:t>
      </w:r>
      <w:r w:rsidRPr="0031472A">
        <w:rPr>
          <w:lang w:val="ru-RU"/>
        </w:rPr>
        <w:t>будет выступать за использование только одного метода классификации должностей категории общего обслуживания. Такое изменение также обеспечит обмен информацией между организациями ООН их сравнительный анализ</w:t>
      </w:r>
      <w:r w:rsidR="00B7327D" w:rsidRPr="00672D15">
        <w:rPr>
          <w:lang w:val="ru-RU"/>
        </w:rPr>
        <w:t xml:space="preserve">. </w:t>
      </w:r>
    </w:p>
    <w:p w:rsidR="00B7327D" w:rsidRPr="00672D15" w:rsidRDefault="00B7327D" w:rsidP="00B7327D">
      <w:pPr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B7327D" w:rsidRPr="00672D15" w:rsidTr="00A65B2D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B7327D" w:rsidRPr="00672D15" w:rsidRDefault="006C50F4" w:rsidP="006C50F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4</w:t>
            </w:r>
            <w:r w:rsidRPr="00672D15">
              <w:rPr>
                <w:lang w:val="ru-RU"/>
              </w:rPr>
              <w:tab/>
            </w:r>
            <w:r w:rsidR="00B7327D" w:rsidRPr="00672D15">
              <w:rPr>
                <w:lang w:val="ru-RU"/>
              </w:rPr>
              <w:t>Введение новой политики в отношении ЛР</w:t>
            </w:r>
          </w:p>
        </w:tc>
      </w:tr>
    </w:tbl>
    <w:p w:rsidR="00B7327D" w:rsidRPr="00672D15" w:rsidRDefault="00A65B2D" w:rsidP="00713385">
      <w:pPr>
        <w:rPr>
          <w:szCs w:val="22"/>
          <w:lang w:val="ru-RU"/>
        </w:rPr>
      </w:pPr>
      <w:r>
        <w:rPr>
          <w:lang w:val="ru-RU"/>
        </w:rPr>
        <w:t>В 2017 году продолжался пересмотр нормативно-правовой базы МСЭ в отношении персонала для включения решений, принимаемых на уровне Общей системы ООН, а также для обзора практики и процессов в целях сохранения прочной, эффективной и справедливой нормативно</w:t>
      </w:r>
      <w:r>
        <w:rPr>
          <w:lang w:val="ru-RU"/>
        </w:rPr>
        <w:noBreakHyphen/>
        <w:t>правовой базы, поддерживающей приоритеты МСЭ и гарантирующей привлекательность организации как работодателя в быстро меняющихся условиях</w:t>
      </w:r>
      <w:r w:rsidR="00B7327D" w:rsidRPr="00672D15">
        <w:rPr>
          <w:lang w:val="ru-RU"/>
        </w:rPr>
        <w:t>.</w:t>
      </w:r>
    </w:p>
    <w:p w:rsidR="00B7327D" w:rsidRPr="00672D15" w:rsidRDefault="00B7327D" w:rsidP="00B7327D">
      <w:pPr>
        <w:pStyle w:val="enumlev1"/>
        <w:rPr>
          <w:b/>
          <w:bCs/>
          <w:sz w:val="24"/>
          <w:szCs w:val="24"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  <w:t>Введение нового пакета вознаграждений для сотрудников категории специалистов и выше</w:t>
      </w:r>
    </w:p>
    <w:p w:rsidR="00B7327D" w:rsidRPr="00672D15" w:rsidRDefault="00B7327D" w:rsidP="00B7327D">
      <w:pPr>
        <w:rPr>
          <w:szCs w:val="22"/>
          <w:lang w:val="ru-RU"/>
        </w:rPr>
      </w:pPr>
      <w:r w:rsidRPr="00672D15">
        <w:rPr>
          <w:lang w:val="ru-RU"/>
        </w:rPr>
        <w:t>Совет 2016 года принял Решение 593, в котором одобряются элементы нового пакета вознаграждений, утвержденного резолюцией 70/244 Генеральной Ассамблеи ООН на основе рекомендаций, представленных КМГС. Совет также одобрил сроки введения в действие, установленные в резолюции Генеральной Ассамблеи ООН:</w:t>
      </w:r>
    </w:p>
    <w:p w:rsidR="00B7327D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  <w:t>с 1 июля 2016 года − элементы, связанные с перемещением сотрудников;</w:t>
      </w:r>
    </w:p>
    <w:p w:rsidR="00B7327D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  <w:t>с 1 января 2017 года − элементы, связанные с единой шкалой окладов, надбавками на иждивенцев и периодичностью повышения по ступеням;</w:t>
      </w:r>
    </w:p>
    <w:p w:rsidR="00B7327D" w:rsidRPr="00672D15" w:rsidRDefault="00B7327D" w:rsidP="00B7327D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  <w:t>с начала текущего на 1 января 2018 года учебного года − новая система субсидий на образование.</w:t>
      </w:r>
    </w:p>
    <w:p w:rsidR="00B7327D" w:rsidRPr="00672D15" w:rsidRDefault="00A65B2D" w:rsidP="00B7327D">
      <w:pPr>
        <w:rPr>
          <w:lang w:val="ru-RU"/>
        </w:rPr>
      </w:pPr>
      <w:r w:rsidRPr="0031472A">
        <w:rPr>
          <w:lang w:val="ru-RU"/>
        </w:rPr>
        <w:t xml:space="preserve">Основными задачами, с которыми пришлось столкнуться в 2017 году, были введение нового порядка расчета зарплаты в условиях реальной жизни, проверка конфигурации системы </w:t>
      </w:r>
      <w:r w:rsidRPr="00990875">
        <w:rPr>
          <w:lang w:val="ru-RU"/>
        </w:rPr>
        <w:t xml:space="preserve">планирования ресурсов предприятий </w:t>
      </w:r>
      <w:r w:rsidRPr="0031472A">
        <w:rPr>
          <w:lang w:val="ru-RU"/>
        </w:rPr>
        <w:t xml:space="preserve">МСЭ (SAP-HCM) после интеграции новых элементов оплаты труда и обновление административных данных. Их выполнение потребовало усилий всех административных подразделений для сохранения высокого уровня качества оцифрованных персональных данных (новые </w:t>
      </w:r>
      <w:r>
        <w:rPr>
          <w:lang w:val="ru-RU"/>
        </w:rPr>
        <w:t xml:space="preserve">шкалы окладов </w:t>
      </w:r>
      <w:r w:rsidRPr="0031472A">
        <w:rPr>
          <w:lang w:val="ru-RU"/>
        </w:rPr>
        <w:t>и пенси</w:t>
      </w:r>
      <w:r>
        <w:rPr>
          <w:lang w:val="ru-RU"/>
        </w:rPr>
        <w:t>й</w:t>
      </w:r>
      <w:r w:rsidRPr="0031472A">
        <w:rPr>
          <w:lang w:val="ru-RU"/>
        </w:rPr>
        <w:t xml:space="preserve">, таблица соответствия, новые </w:t>
      </w:r>
      <w:r>
        <w:rPr>
          <w:lang w:val="ru-RU"/>
        </w:rPr>
        <w:t>ступени</w:t>
      </w:r>
      <w:r w:rsidRPr="0031472A">
        <w:rPr>
          <w:lang w:val="ru-RU"/>
        </w:rPr>
        <w:t xml:space="preserve">, новая периодичность </w:t>
      </w:r>
      <w:r>
        <w:rPr>
          <w:lang w:val="ru-RU"/>
        </w:rPr>
        <w:t xml:space="preserve">повышения ступеней </w:t>
      </w:r>
      <w:r w:rsidRPr="0031472A">
        <w:rPr>
          <w:lang w:val="ru-RU"/>
        </w:rPr>
        <w:t>и т. д.). Нестыковки в новой системе</w:t>
      </w:r>
      <w:r>
        <w:rPr>
          <w:lang w:val="ru-RU"/>
        </w:rPr>
        <w:t>,</w:t>
      </w:r>
      <w:r w:rsidRPr="0031472A">
        <w:rPr>
          <w:lang w:val="ru-RU"/>
        </w:rPr>
        <w:t xml:space="preserve"> обнаруж</w:t>
      </w:r>
      <w:r>
        <w:rPr>
          <w:lang w:val="ru-RU"/>
        </w:rPr>
        <w:t xml:space="preserve">енные </w:t>
      </w:r>
      <w:r w:rsidRPr="0031472A">
        <w:rPr>
          <w:lang w:val="ru-RU"/>
        </w:rPr>
        <w:t>после внедрения</w:t>
      </w:r>
      <w:r>
        <w:rPr>
          <w:lang w:val="ru-RU"/>
        </w:rPr>
        <w:t>, потребовали</w:t>
      </w:r>
      <w:r w:rsidRPr="0031472A">
        <w:rPr>
          <w:lang w:val="ru-RU"/>
        </w:rPr>
        <w:t xml:space="preserve"> необходимых ручных доработок и использования старых </w:t>
      </w:r>
      <w:r>
        <w:rPr>
          <w:lang w:val="ru-RU"/>
        </w:rPr>
        <w:t>вспомогательных</w:t>
      </w:r>
      <w:r w:rsidRPr="0031472A">
        <w:rPr>
          <w:lang w:val="ru-RU"/>
        </w:rPr>
        <w:t xml:space="preserve"> приложений, которые еще находятся в процессе </w:t>
      </w:r>
      <w:r>
        <w:rPr>
          <w:lang w:val="ru-RU"/>
        </w:rPr>
        <w:t xml:space="preserve">пересмотра </w:t>
      </w:r>
      <w:r w:rsidRPr="0031472A">
        <w:rPr>
          <w:lang w:val="ru-RU"/>
        </w:rPr>
        <w:t xml:space="preserve">и замены. Автоматизация расчетов </w:t>
      </w:r>
      <w:r>
        <w:rPr>
          <w:lang w:val="ru-RU"/>
        </w:rPr>
        <w:t>субсидий на образование</w:t>
      </w:r>
      <w:r w:rsidRPr="0031472A">
        <w:rPr>
          <w:lang w:val="ru-RU"/>
        </w:rPr>
        <w:t xml:space="preserve"> была перенесена с 2017 на 2018 год, а е</w:t>
      </w:r>
      <w:r>
        <w:rPr>
          <w:lang w:val="ru-RU"/>
        </w:rPr>
        <w:t>е</w:t>
      </w:r>
      <w:r w:rsidRPr="0031472A">
        <w:rPr>
          <w:lang w:val="ru-RU"/>
        </w:rPr>
        <w:t xml:space="preserve"> запуск запланирован на 2018 год</w:t>
      </w:r>
      <w:r w:rsidR="00B7327D" w:rsidRPr="00672D15">
        <w:rPr>
          <w:lang w:val="ru-RU"/>
        </w:rPr>
        <w:t>.</w:t>
      </w:r>
    </w:p>
    <w:p w:rsidR="002D3FC9" w:rsidRPr="00672D15" w:rsidRDefault="002D3FC9" w:rsidP="00BC0BC7">
      <w:pPr>
        <w:pStyle w:val="enumlev1"/>
        <w:keepNext/>
        <w:keepLines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  <w:t>Повышение возраста обязательного выхода на пенсию до 65 лет</w:t>
      </w:r>
    </w:p>
    <w:p w:rsidR="002D3FC9" w:rsidRPr="00672D15" w:rsidRDefault="00A65B2D" w:rsidP="00713385">
      <w:pPr>
        <w:rPr>
          <w:lang w:val="ru-RU"/>
        </w:rPr>
      </w:pPr>
      <w:r w:rsidRPr="0031472A">
        <w:rPr>
          <w:lang w:val="ru-RU"/>
        </w:rPr>
        <w:t>Требование к возрасту обязательного выхода на пенсию (</w:t>
      </w:r>
      <w:r>
        <w:rPr>
          <w:lang w:val="en-US"/>
        </w:rPr>
        <w:t>MAR</w:t>
      </w:r>
      <w:r w:rsidRPr="0031472A">
        <w:rPr>
          <w:lang w:val="ru-RU"/>
        </w:rPr>
        <w:t xml:space="preserve">) вступило в силу 1 января 2018 года в соответствии с решением 594 Совета МСЭ, и на двухлетний период 2018-2019 гг. запланировано внедрение программы добровольного выхода на пенсию, запущенной для облегчения финансовой нагрузки от повышения </w:t>
      </w:r>
      <w:r>
        <w:rPr>
          <w:lang w:val="en-US"/>
        </w:rPr>
        <w:t>MAR</w:t>
      </w:r>
      <w:r w:rsidRPr="0031472A">
        <w:rPr>
          <w:lang w:val="ru-RU"/>
        </w:rPr>
        <w:t xml:space="preserve"> на бюджет. Сотрудники с обычным возрастом </w:t>
      </w:r>
      <w:r>
        <w:rPr>
          <w:lang w:val="ru-RU"/>
        </w:rPr>
        <w:t xml:space="preserve">выхода на пенсию </w:t>
      </w:r>
      <w:r w:rsidRPr="0031472A">
        <w:rPr>
          <w:lang w:val="ru-RU"/>
        </w:rPr>
        <w:t>(</w:t>
      </w:r>
      <w:r>
        <w:rPr>
          <w:lang w:val="en-US"/>
        </w:rPr>
        <w:t>NRA</w:t>
      </w:r>
      <w:r w:rsidRPr="0031472A">
        <w:rPr>
          <w:lang w:val="ru-RU"/>
        </w:rPr>
        <w:t xml:space="preserve">) 60 лет или 62 года сохранят право уйти </w:t>
      </w:r>
      <w:r>
        <w:rPr>
          <w:lang w:val="ru-RU"/>
        </w:rPr>
        <w:t xml:space="preserve">со службы </w:t>
      </w:r>
      <w:r w:rsidRPr="0031472A">
        <w:rPr>
          <w:lang w:val="ru-RU"/>
        </w:rPr>
        <w:t xml:space="preserve">с сохранением полного пенсионного обеспечения из Фонда в этом возрасте или позднее, даже не достигнув </w:t>
      </w:r>
      <w:r>
        <w:rPr>
          <w:lang w:val="en-US"/>
        </w:rPr>
        <w:t>MAR</w:t>
      </w:r>
      <w:r w:rsidRPr="0031472A">
        <w:rPr>
          <w:lang w:val="ru-RU"/>
        </w:rPr>
        <w:t xml:space="preserve"> 65 лет. Однако для того чтобы обеспечить руководству МСЭ достаточную ясность для планирования преемственности и управления организацией, тем сотрудникам, которые хотели бы выйти на пенсию в период между обычным</w:t>
      </w:r>
      <w:r>
        <w:rPr>
          <w:lang w:val="ru-RU"/>
        </w:rPr>
        <w:t xml:space="preserve"> пенсионным возрастом (60 лет/62 года) и 65 годами, было предложено предварительно, за 12 месяцев, проинформировать о своем решении Генерального секретаря</w:t>
      </w:r>
      <w:r w:rsidR="002D3FC9" w:rsidRPr="00672D15">
        <w:rPr>
          <w:lang w:val="ru-RU"/>
        </w:rPr>
        <w:t>.</w:t>
      </w:r>
    </w:p>
    <w:p w:rsidR="00713385" w:rsidRPr="00672D15" w:rsidRDefault="00713385" w:rsidP="00713385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  <w:t>Внедрение новой системы компетенций МСЭ</w:t>
      </w:r>
    </w:p>
    <w:p w:rsidR="00713385" w:rsidRPr="00672D15" w:rsidRDefault="00A65B2D" w:rsidP="00713385">
      <w:pPr>
        <w:rPr>
          <w:lang w:val="ru-RU"/>
        </w:rPr>
      </w:pPr>
      <w:r>
        <w:rPr>
          <w:lang w:val="ru-RU"/>
        </w:rPr>
        <w:t>Одна из стратегических целей Стратегии управления людскими ресурсами – создание системы компетенций, в которой будут определены конкретные меры успеха и которая позволит управлять потенциалом сотрудников и отслеживать показатели деятельности. Система компетенций и инвентаризация умений и навыков служат незаменимым инструментом планирования людских ресурсов</w:t>
      </w:r>
      <w:r w:rsidR="00713385" w:rsidRPr="00672D15">
        <w:rPr>
          <w:lang w:val="ru-RU"/>
        </w:rPr>
        <w:t>.</w:t>
      </w:r>
    </w:p>
    <w:p w:rsidR="00713385" w:rsidRPr="00672D15" w:rsidRDefault="00A65B2D" w:rsidP="00713385">
      <w:pPr>
        <w:rPr>
          <w:lang w:val="ru-RU"/>
        </w:rPr>
      </w:pPr>
      <w:r w:rsidRPr="0031472A">
        <w:rPr>
          <w:lang w:val="ru-RU"/>
        </w:rPr>
        <w:t xml:space="preserve">Новая система компетенций МСЭ разработана на основе передового опыта других организаций ООН и включает элементы компетенций, характерных для МСЭ. Базовые и функциональные компетенции, необходимые для выполнения задач МСЭ, были разработаны и опробованы на всем трудовом коллективе и затем применены к функциям развития персонала и управления </w:t>
      </w:r>
      <w:r>
        <w:rPr>
          <w:lang w:val="ru-RU"/>
        </w:rPr>
        <w:t xml:space="preserve">показателями </w:t>
      </w:r>
      <w:r w:rsidRPr="0031472A">
        <w:rPr>
          <w:lang w:val="ru-RU"/>
        </w:rPr>
        <w:t>деятельност</w:t>
      </w:r>
      <w:r>
        <w:rPr>
          <w:lang w:val="ru-RU"/>
        </w:rPr>
        <w:t>и</w:t>
      </w:r>
      <w:r w:rsidR="00713385" w:rsidRPr="00672D15">
        <w:rPr>
          <w:lang w:val="ru-RU"/>
        </w:rPr>
        <w:t>.</w:t>
      </w:r>
    </w:p>
    <w:p w:rsidR="00713385" w:rsidRPr="00672D15" w:rsidRDefault="00A65B2D" w:rsidP="00713385">
      <w:pPr>
        <w:rPr>
          <w:lang w:val="ru-RU"/>
        </w:rPr>
      </w:pPr>
      <w:r w:rsidRPr="0031472A">
        <w:rPr>
          <w:lang w:val="ru-RU"/>
        </w:rPr>
        <w:t>Новая система содержит два основополагающих элемента: базовые и функциональные компетенции. Третий, технические компетенции, формируется путем анализа всех элементов, содержащихся в описаниях вакансий МСЭ, а также определенных в системе e-PMDS для сотрудников МСЭ. Данные технические компетенции будут сопоставлены с подобными компетенциями в других международных институтах и собраны в каталог для интеграции в систему компетенций МСЭ</w:t>
      </w:r>
      <w:r w:rsidR="00713385" w:rsidRPr="00672D15">
        <w:rPr>
          <w:lang w:val="ru-RU"/>
        </w:rPr>
        <w:t xml:space="preserve">. </w:t>
      </w:r>
    </w:p>
    <w:p w:rsidR="00713385" w:rsidRPr="00672D15" w:rsidRDefault="00A65B2D" w:rsidP="00A65B2D">
      <w:pPr>
        <w:rPr>
          <w:lang w:val="ru-RU"/>
        </w:rPr>
      </w:pPr>
      <w:r w:rsidRPr="0031472A">
        <w:rPr>
          <w:lang w:val="ru-RU"/>
        </w:rPr>
        <w:t xml:space="preserve">Система компетенций МСЭ была полностью интегрирована в новую систему </w:t>
      </w:r>
      <w:r>
        <w:rPr>
          <w:lang w:val="ru-RU"/>
        </w:rPr>
        <w:t>аттестации сотрудников</w:t>
      </w:r>
      <w:r w:rsidRPr="0031472A">
        <w:rPr>
          <w:lang w:val="ru-RU"/>
        </w:rPr>
        <w:t>, которая была запущена 11 января 2018 года для всего персонала МСЭ (см. раздел 6 ниже)</w:t>
      </w:r>
      <w:r w:rsidR="00713385" w:rsidRPr="00672D15">
        <w:rPr>
          <w:lang w:val="ru-RU"/>
        </w:rPr>
        <w:t xml:space="preserve">. </w:t>
      </w:r>
    </w:p>
    <w:p w:rsidR="00713385" w:rsidRPr="00672D15" w:rsidRDefault="00A65B2D" w:rsidP="00B93D72">
      <w:pPr>
        <w:rPr>
          <w:iCs/>
          <w:lang w:val="ru-RU"/>
        </w:rPr>
      </w:pPr>
      <w:r w:rsidRPr="0031472A">
        <w:rPr>
          <w:lang w:val="ru-RU"/>
        </w:rPr>
        <w:t xml:space="preserve">В результате новые компетенции представляют собой инструмент развития, который определяет требуемое поведение на различных должностях в МСЭ. Это также инструмент гармонизации, который может использоваться в различных видах деятельности кадровой службы, включая управление вакансиями и </w:t>
      </w:r>
      <w:r w:rsidR="00B93D72">
        <w:rPr>
          <w:lang w:val="ru-RU"/>
        </w:rPr>
        <w:t>на</w:t>
      </w:r>
      <w:r w:rsidRPr="0031472A">
        <w:rPr>
          <w:lang w:val="ru-RU"/>
        </w:rPr>
        <w:t>бором персонала, оценку деятельности и развитие, обучение и повышение квалификации, планирование кадрового резерва</w:t>
      </w:r>
      <w:r w:rsidR="00713385" w:rsidRPr="00672D15">
        <w:rPr>
          <w:iCs/>
          <w:lang w:val="ru-RU"/>
        </w:rPr>
        <w:t xml:space="preserve">. </w:t>
      </w:r>
    </w:p>
    <w:p w:rsidR="002C67CB" w:rsidRPr="00672D15" w:rsidRDefault="002C67CB" w:rsidP="00713385">
      <w:pPr>
        <w:rPr>
          <w:iCs/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2C67CB" w:rsidRPr="00672D15" w:rsidTr="002C67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C67CB" w:rsidRPr="00672D15" w:rsidRDefault="002C67CB" w:rsidP="002C67CB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5</w:t>
            </w:r>
            <w:r w:rsidRPr="00672D15">
              <w:rPr>
                <w:lang w:val="ru-RU"/>
              </w:rPr>
              <w:tab/>
              <w:t>Разнообразие персонала</w:t>
            </w:r>
          </w:p>
        </w:tc>
      </w:tr>
    </w:tbl>
    <w:p w:rsidR="002C67CB" w:rsidRPr="00672D15" w:rsidRDefault="002C67CB" w:rsidP="00A65B2D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A65B2D" w:rsidRPr="0031472A">
        <w:rPr>
          <w:b/>
          <w:bCs/>
          <w:lang w:val="ru-RU"/>
        </w:rPr>
        <w:t>Охват, разнообразие и гендерное равенство</w:t>
      </w:r>
    </w:p>
    <w:p w:rsidR="002C67CB" w:rsidRPr="00672D15" w:rsidRDefault="00B61F64" w:rsidP="002C67CB">
      <w:pPr>
        <w:rPr>
          <w:iCs/>
          <w:lang w:val="ru-RU"/>
        </w:rPr>
      </w:pPr>
      <w:r w:rsidRPr="0031472A">
        <w:rPr>
          <w:lang w:val="ru-RU"/>
        </w:rPr>
        <w:t>МСЭ стремится создать коллектив</w:t>
      </w:r>
      <w:r>
        <w:rPr>
          <w:lang w:val="ru-RU"/>
        </w:rPr>
        <w:t>, учитывающий индивидуальные особенности его членов,</w:t>
      </w:r>
      <w:r w:rsidRPr="0031472A">
        <w:rPr>
          <w:lang w:val="ru-RU"/>
        </w:rPr>
        <w:t xml:space="preserve"> и уважительную рабочую среду и внимательно отслеживает межорганизационное взаимодействие в отношении этих двух аспектов. </w:t>
      </w:r>
      <w:r w:rsidRPr="00262CA8">
        <w:rPr>
          <w:i/>
          <w:iCs/>
          <w:lang w:val="ru-RU"/>
        </w:rPr>
        <w:t xml:space="preserve">Общесистемная стратегия обеспечения равного соотношения мужчин и женщин </w:t>
      </w:r>
      <w:r w:rsidRPr="0031472A">
        <w:rPr>
          <w:i/>
          <w:iCs/>
          <w:lang w:val="ru-RU"/>
        </w:rPr>
        <w:t>Организации Объединенных Наций</w:t>
      </w:r>
      <w:r w:rsidRPr="00D0421F">
        <w:rPr>
          <w:rStyle w:val="FootnoteReference"/>
        </w:rPr>
        <w:footnoteReference w:id="1"/>
      </w:r>
      <w:r w:rsidRPr="0031472A">
        <w:rPr>
          <w:lang w:val="ru-RU"/>
        </w:rPr>
        <w:t xml:space="preserve"> был</w:t>
      </w:r>
      <w:r>
        <w:rPr>
          <w:lang w:val="ru-RU"/>
        </w:rPr>
        <w:t>а</w:t>
      </w:r>
      <w:r w:rsidRPr="0031472A">
        <w:rPr>
          <w:lang w:val="ru-RU"/>
        </w:rPr>
        <w:t xml:space="preserve"> обнародован</w:t>
      </w:r>
      <w:r>
        <w:rPr>
          <w:lang w:val="ru-RU"/>
        </w:rPr>
        <w:t>а</w:t>
      </w:r>
      <w:r w:rsidRPr="0031472A">
        <w:rPr>
          <w:lang w:val="ru-RU"/>
        </w:rPr>
        <w:t xml:space="preserve"> в 2017 г</w:t>
      </w:r>
      <w:r>
        <w:rPr>
          <w:lang w:val="ru-RU"/>
        </w:rPr>
        <w:t>оду</w:t>
      </w:r>
      <w:r w:rsidRPr="0031472A">
        <w:rPr>
          <w:lang w:val="ru-RU"/>
        </w:rPr>
        <w:t>. Он</w:t>
      </w:r>
      <w:r>
        <w:rPr>
          <w:lang w:val="ru-RU"/>
        </w:rPr>
        <w:t>а</w:t>
      </w:r>
      <w:r w:rsidRPr="0031472A">
        <w:rPr>
          <w:lang w:val="ru-RU"/>
        </w:rPr>
        <w:t xml:space="preserve"> дает оценку нынешней ситуации в организациях системы ООН в части гендерного баланса и содержит предложения мер, которые могут быть приняты для выравнивания этого баланса</w:t>
      </w:r>
      <w:r w:rsidR="002C67CB" w:rsidRPr="00672D15">
        <w:rPr>
          <w:iCs/>
          <w:lang w:val="ru-RU"/>
        </w:rPr>
        <w:t xml:space="preserve">. </w:t>
      </w:r>
    </w:p>
    <w:p w:rsidR="002C67CB" w:rsidRPr="00672D15" w:rsidRDefault="00B61F64" w:rsidP="002C67CB">
      <w:pPr>
        <w:rPr>
          <w:iCs/>
          <w:lang w:val="ru-RU"/>
        </w:rPr>
      </w:pPr>
      <w:r w:rsidRPr="0031472A">
        <w:rPr>
          <w:lang w:val="ru-RU"/>
        </w:rPr>
        <w:t>HRMD предупреждает, что любые действия, инициированные в отношении гендерного равенства, должны быть тщательно взвешены во избежание неумышленного ущемления прав и не должны негативно отражаться на сотрудниках, исполняющих обязанности в настоящее время. Принимаемые меры также должны дополнить усилия по увеличению географического разнообразия. Более того, прилагаемые усилия должны быть сосредоточены на прогрессе в отношении уровней и должностей, а также на исключении чрезмерной концентрации одного пола или национальности в определенной области, бюро или подразделении. Увеличение возраста обязательного выхода на пенсию до 65 лет для всех действующих сотрудников, начиная с 1 января 2018 года, влияет на способность Союза значительно изменить демографические показатели рабочей силы, поскольку из-за выхода на пенсию возможностей будет меньше</w:t>
      </w:r>
      <w:r w:rsidR="002C67CB" w:rsidRPr="00672D15">
        <w:rPr>
          <w:iCs/>
          <w:lang w:val="ru-RU"/>
        </w:rPr>
        <w:t>.</w:t>
      </w:r>
    </w:p>
    <w:p w:rsidR="002C67CB" w:rsidRPr="00672D15" w:rsidRDefault="00B61F64" w:rsidP="002C67CB">
      <w:pPr>
        <w:rPr>
          <w:iCs/>
          <w:lang w:val="ru-RU"/>
        </w:rPr>
      </w:pPr>
      <w:r w:rsidRPr="0031472A">
        <w:rPr>
          <w:lang w:val="ru-RU"/>
        </w:rPr>
        <w:t>HRMD систематически пересматривает вопросы, задаваемые на собеседовании, на предмет отсутствия предрассудков и дискриминации, и предоставляет всем кандидатам равные возможности ответа</w:t>
      </w:r>
      <w:r w:rsidR="002C67CB" w:rsidRPr="00672D15">
        <w:rPr>
          <w:iCs/>
          <w:lang w:val="ru-RU"/>
        </w:rPr>
        <w:t xml:space="preserve">. </w:t>
      </w:r>
    </w:p>
    <w:p w:rsidR="002C67CB" w:rsidRPr="00672D15" w:rsidRDefault="00B61F64" w:rsidP="00B93D72">
      <w:pPr>
        <w:rPr>
          <w:iCs/>
          <w:lang w:val="ru-RU"/>
        </w:rPr>
      </w:pPr>
      <w:r w:rsidRPr="0031472A">
        <w:rPr>
          <w:lang w:val="ru-RU"/>
        </w:rPr>
        <w:t xml:space="preserve">В </w:t>
      </w:r>
      <w:r w:rsidRPr="00F03EFF">
        <w:rPr>
          <w:lang w:val="ru-RU"/>
        </w:rPr>
        <w:t>Совет</w:t>
      </w:r>
      <w:r>
        <w:rPr>
          <w:lang w:val="ru-RU"/>
        </w:rPr>
        <w:t>ах</w:t>
      </w:r>
      <w:r w:rsidRPr="00F03EFF">
        <w:rPr>
          <w:lang w:val="ru-RU"/>
        </w:rPr>
        <w:t xml:space="preserve"> по назначениям и повышению в должности</w:t>
      </w:r>
      <w:r w:rsidRPr="0031472A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F03EFF">
        <w:rPr>
          <w:lang w:val="ru-RU"/>
        </w:rPr>
        <w:t xml:space="preserve">категории специалистов и выше </w:t>
      </w:r>
      <w:r>
        <w:rPr>
          <w:lang w:val="ru-RU"/>
        </w:rPr>
        <w:t>по</w:t>
      </w:r>
      <w:r w:rsidRPr="0031472A">
        <w:rPr>
          <w:lang w:val="ru-RU"/>
        </w:rPr>
        <w:t xml:space="preserve"> каждой должности публикуются сведения о количестве кандидатов-женщин на каждой стадии процесса </w:t>
      </w:r>
      <w:r w:rsidR="00B93D72">
        <w:rPr>
          <w:lang w:val="ru-RU"/>
        </w:rPr>
        <w:t>на</w:t>
      </w:r>
      <w:r w:rsidRPr="0031472A">
        <w:rPr>
          <w:lang w:val="ru-RU"/>
        </w:rPr>
        <w:t>бора персонала, т. е. заявление, предварительный отбор, итоговый перечень, собеседования</w:t>
      </w:r>
      <w:r w:rsidR="002C67CB" w:rsidRPr="00672D15">
        <w:rPr>
          <w:iCs/>
          <w:lang w:val="ru-RU"/>
        </w:rPr>
        <w:t xml:space="preserve">. </w:t>
      </w:r>
    </w:p>
    <w:p w:rsidR="002C67CB" w:rsidRPr="00672D15" w:rsidRDefault="00B61F64" w:rsidP="002C67CB">
      <w:pPr>
        <w:rPr>
          <w:iCs/>
          <w:lang w:val="ru-RU"/>
        </w:rPr>
      </w:pPr>
      <w:r w:rsidRPr="0031472A">
        <w:rPr>
          <w:lang w:val="ru-RU"/>
        </w:rPr>
        <w:t>HRMD проверяет потенциальные источники улучшения гендерного и географического распределения соискателей в категории специалистов и высших категориях и подготовит соответствующие планы кампаний. Для того, чтобы оценить успешность такой кампании, необходимо такое изменение систем, при котором МСЭ смог бы отследить, откуда соискатели узнали о вакансии МСЭ</w:t>
      </w:r>
      <w:r w:rsidR="002C67CB" w:rsidRPr="00672D15">
        <w:rPr>
          <w:iCs/>
          <w:lang w:val="ru-RU"/>
        </w:rPr>
        <w:t xml:space="preserve">. </w:t>
      </w:r>
    </w:p>
    <w:p w:rsidR="002C67CB" w:rsidRPr="00672D15" w:rsidRDefault="00B61F64" w:rsidP="002C67CB">
      <w:pPr>
        <w:rPr>
          <w:iCs/>
          <w:lang w:val="ru-RU"/>
        </w:rPr>
      </w:pPr>
      <w:r w:rsidRPr="0031472A">
        <w:rPr>
          <w:lang w:val="ru-RU"/>
        </w:rPr>
        <w:t xml:space="preserve">Кроме того, кампания должна быть </w:t>
      </w:r>
      <w:r>
        <w:rPr>
          <w:lang w:val="ru-RU"/>
        </w:rPr>
        <w:t>адресной</w:t>
      </w:r>
      <w:r w:rsidRPr="0031472A">
        <w:rPr>
          <w:lang w:val="ru-RU"/>
        </w:rPr>
        <w:t xml:space="preserve">, поскольку целью является не увеличение числа кандидатов, а увеличение числа </w:t>
      </w:r>
      <w:r w:rsidRPr="0031472A">
        <w:rPr>
          <w:b/>
          <w:bCs/>
          <w:lang w:val="ru-RU"/>
        </w:rPr>
        <w:t>квалифицированных</w:t>
      </w:r>
      <w:r w:rsidRPr="0031472A">
        <w:rPr>
          <w:lang w:val="ru-RU"/>
        </w:rPr>
        <w:t xml:space="preserve"> кандидатов. Для этого HRMD предполагает тесное сотрудничество с Бюро и департаментами для определения профессиональных кругов, которые могут иметь выход на новые аудитории, а также взаимодействие с отделом корпоративных связей для создания узнаваемого и последовательного имиджа или наработки отзывов</w:t>
      </w:r>
      <w:r w:rsidR="002C67CB" w:rsidRPr="00672D15">
        <w:rPr>
          <w:iCs/>
          <w:lang w:val="ru-RU"/>
        </w:rPr>
        <w:t xml:space="preserve">. </w:t>
      </w:r>
    </w:p>
    <w:p w:rsidR="002C67CB" w:rsidRPr="00672D15" w:rsidRDefault="0060533B" w:rsidP="002C67CB">
      <w:pPr>
        <w:rPr>
          <w:iCs/>
          <w:lang w:val="ru-RU"/>
        </w:rPr>
      </w:pPr>
      <w:r w:rsidRPr="0031472A">
        <w:rPr>
          <w:lang w:val="ru-RU"/>
        </w:rPr>
        <w:t>В первую очередь это касается категори</w:t>
      </w:r>
      <w:r>
        <w:rPr>
          <w:lang w:val="ru-RU"/>
        </w:rPr>
        <w:t>й</w:t>
      </w:r>
      <w:r w:rsidRPr="0031472A">
        <w:rPr>
          <w:lang w:val="ru-RU"/>
        </w:rPr>
        <w:t xml:space="preserve"> специалистов и выш</w:t>
      </w:r>
      <w:r>
        <w:rPr>
          <w:lang w:val="ru-RU"/>
        </w:rPr>
        <w:t>е</w:t>
      </w:r>
      <w:r w:rsidRPr="0031472A">
        <w:rPr>
          <w:lang w:val="ru-RU"/>
        </w:rPr>
        <w:t xml:space="preserve">, но многие успешные мероприятия можно применить также к категории общего обслуживания. Новаторство и творческий подход остаются определяющими факторами, поскольку для совершенствования и унификации процессов необходимо сконцентрировать финансовые и людские ресурсы. Назначение старшего сотрудника по гендерным вопросам с межсекторальными обязанностями даст больше рекомендаций </w:t>
      </w:r>
      <w:r w:rsidRPr="00857F94">
        <w:rPr>
          <w:rFonts w:asciiTheme="minorHAnsi" w:hAnsiTheme="minorHAnsi"/>
          <w:color w:val="000000"/>
          <w:szCs w:val="22"/>
          <w:lang w:eastAsia="zh-CN"/>
        </w:rPr>
        <w:t>HRMD</w:t>
      </w:r>
      <w:r w:rsidRPr="0031472A">
        <w:rPr>
          <w:lang w:val="ru-RU"/>
        </w:rPr>
        <w:t xml:space="preserve"> и Союзу, а также поможет определить приоритеты для стабильного прогресса</w:t>
      </w:r>
      <w:r w:rsidR="002C67CB" w:rsidRPr="00672D15">
        <w:rPr>
          <w:iCs/>
          <w:lang w:val="ru-RU"/>
        </w:rPr>
        <w:t>.</w:t>
      </w:r>
    </w:p>
    <w:p w:rsidR="00F07D26" w:rsidRPr="00672D15" w:rsidRDefault="00F07D26" w:rsidP="00F07D26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  <w:t>Участие в реализации политики гендерного равенства и учета гендерных аспектов</w:t>
      </w:r>
    </w:p>
    <w:p w:rsidR="00F07D26" w:rsidRPr="00672D15" w:rsidRDefault="0060533B" w:rsidP="00B93D72">
      <w:pPr>
        <w:rPr>
          <w:lang w:val="ru-RU"/>
        </w:rPr>
      </w:pPr>
      <w:r w:rsidRPr="0031472A">
        <w:rPr>
          <w:lang w:val="ru-RU"/>
        </w:rPr>
        <w:t xml:space="preserve">HRMD продолжает анализировать и отслеживать гендерное распределение внутри МСЭ, одновременно внедряя составляющую разнообразия в различные существующие кадровые стандарты МСЭ. Также HRMD продолжает стремиться обеспечить достижение целей, указанных в Приложении 2 к Резолюции 48 ПК. Департамент возобновляет обязательство </w:t>
      </w:r>
      <w:r>
        <w:rPr>
          <w:lang w:val="ru-RU"/>
        </w:rPr>
        <w:t xml:space="preserve">по </w:t>
      </w:r>
      <w:r w:rsidRPr="0031472A">
        <w:rPr>
          <w:lang w:val="ru-RU"/>
        </w:rPr>
        <w:t>обеспечени</w:t>
      </w:r>
      <w:r>
        <w:rPr>
          <w:lang w:val="ru-RU"/>
        </w:rPr>
        <w:t>ю</w:t>
      </w:r>
      <w:r w:rsidRPr="0031472A">
        <w:rPr>
          <w:lang w:val="ru-RU"/>
        </w:rPr>
        <w:t xml:space="preserve"> </w:t>
      </w:r>
      <w:r>
        <w:rPr>
          <w:lang w:val="ru-RU"/>
        </w:rPr>
        <w:t xml:space="preserve">представительства женщин в экспертных </w:t>
      </w:r>
      <w:r w:rsidRPr="009C5B43">
        <w:rPr>
          <w:lang w:val="ru-RU"/>
        </w:rPr>
        <w:t>группах по интервьюированию претендентов</w:t>
      </w:r>
      <w:r w:rsidRPr="0031472A">
        <w:rPr>
          <w:lang w:val="ru-RU"/>
        </w:rPr>
        <w:t xml:space="preserve">. </w:t>
      </w:r>
      <w:r w:rsidRPr="009C5B43">
        <w:rPr>
          <w:lang w:val="ru-RU"/>
        </w:rPr>
        <w:t>Определен круг участников-женщин, которы</w:t>
      </w:r>
      <w:r>
        <w:rPr>
          <w:lang w:val="ru-RU"/>
        </w:rPr>
        <w:t>е прошли</w:t>
      </w:r>
      <w:r w:rsidRPr="009C5B43">
        <w:rPr>
          <w:lang w:val="ru-RU"/>
        </w:rPr>
        <w:t xml:space="preserve"> подготовку по интервьюированию на основе компетенций </w:t>
      </w:r>
      <w:r>
        <w:rPr>
          <w:lang w:val="ru-RU"/>
        </w:rPr>
        <w:t xml:space="preserve">и которых </w:t>
      </w:r>
      <w:r w:rsidRPr="009C5B43">
        <w:rPr>
          <w:lang w:val="ru-RU"/>
        </w:rPr>
        <w:t>можно приглашать к участию в экспертных группах внутри МСЭ</w:t>
      </w:r>
      <w:r w:rsidRPr="0031472A">
        <w:rPr>
          <w:lang w:val="ru-RU"/>
        </w:rPr>
        <w:t xml:space="preserve">. Принцип гендерного равенства включается также в дополнительные кадровые стандарты, в том числе в отношении </w:t>
      </w:r>
      <w:r w:rsidR="00B93D72">
        <w:rPr>
          <w:lang w:val="ru-RU"/>
        </w:rPr>
        <w:t>на</w:t>
      </w:r>
      <w:r w:rsidRPr="0031472A">
        <w:rPr>
          <w:lang w:val="ru-RU"/>
        </w:rPr>
        <w:t>бора персонала и в описания вакансий, где гендерн</w:t>
      </w:r>
      <w:r>
        <w:rPr>
          <w:lang w:val="ru-RU"/>
        </w:rPr>
        <w:t xml:space="preserve">ый аспект является одним из </w:t>
      </w:r>
      <w:r w:rsidRPr="0031472A">
        <w:rPr>
          <w:lang w:val="ru-RU"/>
        </w:rPr>
        <w:t>важн</w:t>
      </w:r>
      <w:r>
        <w:rPr>
          <w:lang w:val="ru-RU"/>
        </w:rPr>
        <w:t xml:space="preserve">ейших компонентов </w:t>
      </w:r>
      <w:r w:rsidRPr="0031472A">
        <w:rPr>
          <w:lang w:val="ru-RU"/>
        </w:rPr>
        <w:t xml:space="preserve">в долгосрочной перспективе. Состав существующих </w:t>
      </w:r>
      <w:r>
        <w:rPr>
          <w:lang w:val="ru-RU"/>
        </w:rPr>
        <w:t>комитетов</w:t>
      </w:r>
      <w:r w:rsidRPr="0031472A">
        <w:rPr>
          <w:lang w:val="ru-RU"/>
        </w:rPr>
        <w:t xml:space="preserve"> МСЭ </w:t>
      </w:r>
      <w:r>
        <w:rPr>
          <w:lang w:val="ru-RU"/>
        </w:rPr>
        <w:t>существенно</w:t>
      </w:r>
      <w:r w:rsidRPr="0031472A">
        <w:rPr>
          <w:lang w:val="ru-RU"/>
        </w:rPr>
        <w:t xml:space="preserve"> пересматривается в пользу более инклюзивного и гендерно сбалансированного подхода</w:t>
      </w:r>
      <w:r w:rsidR="00F07D26" w:rsidRPr="00672D15">
        <w:rPr>
          <w:lang w:val="ru-RU"/>
        </w:rPr>
        <w:t xml:space="preserve">. </w:t>
      </w:r>
    </w:p>
    <w:p w:rsidR="00F07D26" w:rsidRPr="00672D15" w:rsidRDefault="0060533B" w:rsidP="00F07D26">
      <w:pPr>
        <w:rPr>
          <w:lang w:val="ru-RU"/>
        </w:rPr>
      </w:pPr>
      <w:r w:rsidRPr="0031472A">
        <w:rPr>
          <w:lang w:val="ru-RU"/>
        </w:rPr>
        <w:t>В отношении динамики персонала, гендерн</w:t>
      </w:r>
      <w:r>
        <w:rPr>
          <w:lang w:val="ru-RU"/>
        </w:rPr>
        <w:t xml:space="preserve">ый аспект и аспект разнообразия </w:t>
      </w:r>
      <w:r w:rsidRPr="0031472A">
        <w:rPr>
          <w:lang w:val="ru-RU"/>
        </w:rPr>
        <w:t>встраива</w:t>
      </w:r>
      <w:r>
        <w:rPr>
          <w:lang w:val="ru-RU"/>
        </w:rPr>
        <w:t>ю</w:t>
      </w:r>
      <w:r w:rsidRPr="0031472A">
        <w:rPr>
          <w:lang w:val="ru-RU"/>
        </w:rPr>
        <w:t xml:space="preserve">тся в новую систему компетенций МСЭ. Новая система </w:t>
      </w:r>
      <w:r w:rsidRPr="00565506">
        <w:rPr>
          <w:lang w:val="ru-RU"/>
        </w:rPr>
        <w:t>управления показателями деятельности и профессионального развития</w:t>
      </w:r>
      <w:r w:rsidRPr="0031472A">
        <w:rPr>
          <w:lang w:val="ru-RU"/>
        </w:rPr>
        <w:t xml:space="preserve"> (PMDS) МСЭ</w:t>
      </w:r>
      <w:r>
        <w:rPr>
          <w:lang w:val="ru-RU"/>
        </w:rPr>
        <w:t>,</w:t>
      </w:r>
      <w:r w:rsidRPr="0031472A">
        <w:rPr>
          <w:lang w:val="ru-RU"/>
        </w:rPr>
        <w:t xml:space="preserve"> включает в себя </w:t>
      </w:r>
      <w:r w:rsidRPr="009C5B43">
        <w:rPr>
          <w:lang w:val="ru-RU"/>
        </w:rPr>
        <w:t>гендерный аспект и аспект разнообразия</w:t>
      </w:r>
      <w:r w:rsidRPr="0031472A">
        <w:rPr>
          <w:lang w:val="ru-RU"/>
        </w:rPr>
        <w:t xml:space="preserve"> и будет поддерживать и оценивать руководителей и лидеров по их способности выявлять способных женщин в организации. Был достигнут дальнейший прогресс в области обучения и повышения квалификации и выделены средства для подготовки в области реализации прав женщин с уделением внимания как поведенческим, так и техническим навыкам. Онлайн</w:t>
      </w:r>
      <w:r>
        <w:rPr>
          <w:lang w:val="ru-RU"/>
        </w:rPr>
        <w:t>овые курсы на тему "</w:t>
      </w:r>
      <w:r w:rsidRPr="00FE40A5">
        <w:rPr>
          <w:lang w:val="ru-RU"/>
        </w:rPr>
        <w:t>Я знаю гендерные проблемы</w:t>
      </w:r>
      <w:r>
        <w:rPr>
          <w:lang w:val="ru-RU"/>
        </w:rPr>
        <w:t>"</w:t>
      </w:r>
      <w:r w:rsidRPr="0031472A">
        <w:rPr>
          <w:lang w:val="ru-RU"/>
        </w:rPr>
        <w:t xml:space="preserve"> </w:t>
      </w:r>
      <w:r>
        <w:rPr>
          <w:lang w:val="ru-RU"/>
        </w:rPr>
        <w:t>пропагандируются</w:t>
      </w:r>
      <w:r w:rsidRPr="0031472A">
        <w:rPr>
          <w:lang w:val="ru-RU"/>
        </w:rPr>
        <w:t xml:space="preserve"> в качестве обязательн</w:t>
      </w:r>
      <w:r>
        <w:rPr>
          <w:lang w:val="ru-RU"/>
        </w:rPr>
        <w:t>ых</w:t>
      </w:r>
      <w:r w:rsidRPr="0031472A">
        <w:rPr>
          <w:lang w:val="ru-RU"/>
        </w:rPr>
        <w:t xml:space="preserve"> для всех сотрудников МСЭ. HRMD отслеживает прохождение этого курса и продолжает выступать с рядом обучающих инициатив, касающихся женщин и лидерства, а также неосознанных предрассудков</w:t>
      </w:r>
      <w:r w:rsidR="00F07D26" w:rsidRPr="00672D15">
        <w:rPr>
          <w:lang w:val="ru-RU"/>
        </w:rPr>
        <w:t>.</w:t>
      </w:r>
    </w:p>
    <w:p w:rsidR="002C67CB" w:rsidRPr="00672D15" w:rsidRDefault="007D68E4" w:rsidP="00B93D72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2C67CB" w:rsidRPr="00672D15">
        <w:rPr>
          <w:b/>
          <w:bCs/>
          <w:lang w:val="ru-RU"/>
        </w:rPr>
        <w:t xml:space="preserve">Обеспечение географического разнообразия при </w:t>
      </w:r>
      <w:r w:rsidR="00B93D72">
        <w:rPr>
          <w:b/>
          <w:bCs/>
          <w:lang w:val="ru-RU"/>
        </w:rPr>
        <w:t>наборе персонала</w:t>
      </w:r>
    </w:p>
    <w:p w:rsidR="002C67CB" w:rsidRPr="00672D15" w:rsidRDefault="002C67CB" w:rsidP="007D68E4">
      <w:pPr>
        <w:rPr>
          <w:szCs w:val="22"/>
          <w:lang w:val="ru-RU" w:eastAsia="zh-CN"/>
        </w:rPr>
      </w:pPr>
      <w:r w:rsidRPr="00672D15">
        <w:rPr>
          <w:lang w:val="ru-RU" w:eastAsia="zh-CN"/>
        </w:rPr>
        <w:t>Резолюция 48 ПК провозглашает необходимость достижения справедливого географического распределения назначаемых сотрудников Союза. Она предписывает при заполнении вакантных должностей в рамках международного набора, когда производится выбор между кандидатами, отвечающими квалификационным требованиям для данной должности, отдавать предпочтение кандидатам из тех регионов мира, которые не- или недопредставлены при укомплектовании штатов Союза, принимая во внимание баланс по числу персонала мужского и женского пола, требуемый Общей системой Организации Объединенных Наций. Этот принцип также введен в Положения о персонале и Правила о персонале, в Положение о персонале 4.2, которое предписывает уделять должное внимание важности набора персонала на максимально широкой географической основе и при прочих равных квалификационных условиях отдавать предпочтение кандидатам из тех регионов мира, которые не- или недопредставлены, принимая во внимание желательный баланс по числу персонала мужского и женского пола. Резолюция 626 Совета также разрешает, учитывая трудности, связанные с языковыми требованиями, которые могут испытывать кандидаты из развивающихся стран, хотя в остальном они могут иметь адекватную квалификацию, понижать эти требования и рассматривать их заявления, если кандидаты из таких стран обладают доскональным знанием одного из рабочих языков Союза.</w:t>
      </w:r>
    </w:p>
    <w:p w:rsidR="002C67CB" w:rsidRPr="00672D15" w:rsidRDefault="002C67CB" w:rsidP="007D68E4">
      <w:pPr>
        <w:rPr>
          <w:lang w:val="ru-RU" w:eastAsia="zh-CN"/>
        </w:rPr>
      </w:pPr>
      <w:r w:rsidRPr="00672D15">
        <w:rPr>
          <w:lang w:val="ru-RU" w:eastAsia="zh-CN"/>
        </w:rPr>
        <w:t>В 2017 году эти категории были представлены в 97 Государствах-Членах, то есть на 50%.</w:t>
      </w:r>
    </w:p>
    <w:p w:rsidR="007D68E4" w:rsidRPr="00672D15" w:rsidRDefault="0060533B" w:rsidP="007D68E4">
      <w:pPr>
        <w:rPr>
          <w:lang w:val="ru-RU"/>
        </w:rPr>
      </w:pPr>
      <w:r w:rsidRPr="0031472A">
        <w:rPr>
          <w:lang w:val="ru-RU"/>
        </w:rPr>
        <w:t>Согласно плану мероприятий, принятому в 2017 году, в этой сфере сделано следующее</w:t>
      </w:r>
      <w:r w:rsidR="007D68E4" w:rsidRPr="00672D15">
        <w:rPr>
          <w:lang w:val="ru-RU"/>
        </w:rPr>
        <w:t xml:space="preserve">: </w:t>
      </w:r>
    </w:p>
    <w:p w:rsidR="007D68E4" w:rsidRPr="00672D15" w:rsidRDefault="007D68E4" w:rsidP="0060533B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60533B" w:rsidRPr="0031472A">
        <w:rPr>
          <w:lang w:val="ru-RU"/>
        </w:rPr>
        <w:t xml:space="preserve">встречи в </w:t>
      </w:r>
      <w:r w:rsidR="0060533B">
        <w:rPr>
          <w:lang w:val="ru-RU"/>
        </w:rPr>
        <w:t>штаб-квартире</w:t>
      </w:r>
      <w:r w:rsidR="0060533B" w:rsidRPr="0031472A">
        <w:rPr>
          <w:lang w:val="ru-RU"/>
        </w:rPr>
        <w:t xml:space="preserve"> с представителями Государств-Членов</w:t>
      </w:r>
      <w:r w:rsidRPr="00672D15">
        <w:rPr>
          <w:lang w:val="ru-RU"/>
        </w:rPr>
        <w:t>;</w:t>
      </w:r>
    </w:p>
    <w:p w:rsidR="007D68E4" w:rsidRPr="00672D15" w:rsidRDefault="007D68E4" w:rsidP="0060533B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60533B" w:rsidRPr="0031472A">
        <w:rPr>
          <w:lang w:val="ru-RU"/>
        </w:rPr>
        <w:t>популяризация программ стажировки, вакансий младших сотрудников-специалистов и командировок в не- и недопредставленные страны</w:t>
      </w:r>
      <w:r w:rsidRPr="00672D15">
        <w:rPr>
          <w:lang w:val="ru-RU"/>
        </w:rPr>
        <w:t>;</w:t>
      </w:r>
    </w:p>
    <w:p w:rsidR="007D68E4" w:rsidRPr="00672D15" w:rsidRDefault="007D68E4" w:rsidP="0060533B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60533B" w:rsidRPr="0031472A">
        <w:rPr>
          <w:lang w:val="ru-RU"/>
        </w:rPr>
        <w:t>публикация перечня не- и недопредставленных стран на веб-сайте МСЭ со ссылкой на этот перечень в объявлениях о вакансии</w:t>
      </w:r>
      <w:r w:rsidRPr="00672D15">
        <w:rPr>
          <w:lang w:val="ru-RU"/>
        </w:rPr>
        <w:t>;</w:t>
      </w:r>
    </w:p>
    <w:p w:rsidR="007D68E4" w:rsidRPr="00672D15" w:rsidRDefault="007D68E4" w:rsidP="0060533B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60533B" w:rsidRPr="0031472A">
        <w:rPr>
          <w:lang w:val="ru-RU"/>
        </w:rPr>
        <w:t>расширение присутствия в социальных сетях в части рекламы и распространения объявлений о вакансиях</w:t>
      </w:r>
      <w:r w:rsidRPr="00672D15">
        <w:rPr>
          <w:lang w:val="ru-RU"/>
        </w:rPr>
        <w:t>;</w:t>
      </w:r>
    </w:p>
    <w:p w:rsidR="007D68E4" w:rsidRPr="00672D15" w:rsidRDefault="007D68E4" w:rsidP="0060533B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60533B" w:rsidRPr="0060533B">
        <w:rPr>
          <w:lang w:val="ru-RU"/>
        </w:rPr>
        <w:t>участие в ярмарках вакансий, съездах и научных конференциях</w:t>
      </w:r>
      <w:r w:rsidRPr="00672D15">
        <w:rPr>
          <w:lang w:val="ru-RU"/>
        </w:rPr>
        <w:t>.</w:t>
      </w:r>
    </w:p>
    <w:p w:rsidR="007D68E4" w:rsidRPr="00672D15" w:rsidRDefault="007D68E4" w:rsidP="007D68E4">
      <w:pPr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672D15" w:rsidTr="007D68E4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72D15" w:rsidRDefault="007D68E4" w:rsidP="007D68E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6</w:t>
            </w:r>
            <w:r w:rsidRPr="00672D15">
              <w:rPr>
                <w:lang w:val="ru-RU"/>
              </w:rPr>
              <w:tab/>
            </w:r>
            <w:r w:rsidR="00601664" w:rsidRPr="00672D15">
              <w:rPr>
                <w:lang w:val="ru-RU"/>
              </w:rPr>
              <w:t>Развитие персонала/потенциала сотрудников</w:t>
            </w:r>
          </w:p>
        </w:tc>
      </w:tr>
    </w:tbl>
    <w:p w:rsidR="00A34D71" w:rsidRPr="00672D15" w:rsidRDefault="00601664" w:rsidP="007D68E4">
      <w:pPr>
        <w:rPr>
          <w:lang w:val="ru-RU"/>
        </w:rPr>
      </w:pPr>
      <w:r w:rsidRPr="00672D15">
        <w:rPr>
          <w:lang w:val="ru-RU"/>
        </w:rPr>
        <w:t xml:space="preserve">В существующей Стратегии в области ЛР отмечается необходимость в разработке упрощенного и модернизированного комплекса стратегий и правил в области компенсаций и занятости, увязанных с достижением корпоративных целей, в соответствии с которыми признаются показатели деятельности и вклад персонала, пропагандируется </w:t>
      </w:r>
      <w:r w:rsidR="00B649A8" w:rsidRPr="00672D15">
        <w:rPr>
          <w:lang w:val="ru-RU"/>
        </w:rPr>
        <w:t>разнообразие</w:t>
      </w:r>
      <w:r w:rsidRPr="00672D15">
        <w:rPr>
          <w:lang w:val="ru-RU"/>
        </w:rPr>
        <w:t xml:space="preserve"> персонала на все более широкой международной основе, обеспечиваются на</w:t>
      </w:r>
      <w:r w:rsidR="00B649A8" w:rsidRPr="00672D15">
        <w:rPr>
          <w:lang w:val="ru-RU"/>
        </w:rPr>
        <w:t>е</w:t>
      </w:r>
      <w:r w:rsidRPr="00672D15">
        <w:rPr>
          <w:lang w:val="ru-RU"/>
        </w:rPr>
        <w:t>м, стимулирование персонала, а также справедливые и согласованные принципы стратегии МСЭ.</w:t>
      </w:r>
    </w:p>
    <w:p w:rsidR="007D68E4" w:rsidRPr="00672D15" w:rsidRDefault="007D68E4" w:rsidP="00FC42AE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FC42AE" w:rsidRPr="0031472A">
        <w:rPr>
          <w:b/>
          <w:bCs/>
          <w:lang w:val="ru-RU"/>
        </w:rPr>
        <w:t xml:space="preserve">Обучение и </w:t>
      </w:r>
      <w:r w:rsidR="00FC42AE">
        <w:rPr>
          <w:b/>
          <w:bCs/>
          <w:lang w:val="ru-RU"/>
        </w:rPr>
        <w:t xml:space="preserve">профессиональное </w:t>
      </w:r>
      <w:r w:rsidR="00FC42AE" w:rsidRPr="0031472A">
        <w:rPr>
          <w:b/>
          <w:bCs/>
          <w:lang w:val="ru-RU"/>
        </w:rPr>
        <w:t>развитие в МСЭ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>Резолюция 48 (Пересм. Пусан</w:t>
      </w:r>
      <w:r>
        <w:rPr>
          <w:lang w:val="ru-RU"/>
        </w:rPr>
        <w:t>,</w:t>
      </w:r>
      <w:r w:rsidRPr="0031472A">
        <w:rPr>
          <w:lang w:val="ru-RU"/>
        </w:rPr>
        <w:t xml:space="preserve"> 2014 г.) учитывает ценность людских ресурсов Союза в достижении своих целей, а также важность поддержания хорошо обученного, географически и гендерно сбалансированного персонала при соблюдении бюджетных ограничений. Обучение и развитие персонала представляет собой важнейшее средство обеспечения непрерывного </w:t>
      </w:r>
      <w:r>
        <w:rPr>
          <w:lang w:val="ru-RU"/>
        </w:rPr>
        <w:t>развития</w:t>
      </w:r>
      <w:r w:rsidRPr="0031472A">
        <w:rPr>
          <w:lang w:val="ru-RU"/>
        </w:rPr>
        <w:t xml:space="preserve"> сотрудников МСЭ </w:t>
      </w:r>
      <w:r>
        <w:rPr>
          <w:lang w:val="ru-RU"/>
        </w:rPr>
        <w:t>для</w:t>
      </w:r>
      <w:r w:rsidRPr="0031472A">
        <w:rPr>
          <w:lang w:val="ru-RU"/>
        </w:rPr>
        <w:t xml:space="preserve"> </w:t>
      </w:r>
      <w:r>
        <w:rPr>
          <w:lang w:val="ru-RU"/>
        </w:rPr>
        <w:t xml:space="preserve">достижения </w:t>
      </w:r>
      <w:r w:rsidRPr="0031472A">
        <w:rPr>
          <w:lang w:val="ru-RU"/>
        </w:rPr>
        <w:t>целей организации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FC42AE">
      <w:pPr>
        <w:rPr>
          <w:lang w:val="ru-RU"/>
        </w:rPr>
      </w:pPr>
      <w:r w:rsidRPr="0031472A">
        <w:rPr>
          <w:lang w:val="ru-RU"/>
        </w:rPr>
        <w:t>Следуя рекомендациям организаци</w:t>
      </w:r>
      <w:r>
        <w:rPr>
          <w:lang w:val="ru-RU"/>
        </w:rPr>
        <w:t>онного характера</w:t>
      </w:r>
      <w:r w:rsidRPr="0031472A">
        <w:rPr>
          <w:lang w:val="ru-RU"/>
        </w:rPr>
        <w:t xml:space="preserve">, HRMD произвел подробную оценку потребностей в обучении во всех секторах. В последнем квартале 2017 года HRMD и </w:t>
      </w:r>
      <w:r>
        <w:rPr>
          <w:lang w:val="ru-RU"/>
        </w:rPr>
        <w:t xml:space="preserve">департаментами </w:t>
      </w:r>
      <w:r w:rsidRPr="0031472A">
        <w:rPr>
          <w:u w:val="single"/>
          <w:lang w:val="ru-RU"/>
        </w:rPr>
        <w:t>кажд</w:t>
      </w:r>
      <w:r>
        <w:rPr>
          <w:u w:val="single"/>
          <w:lang w:val="ru-RU"/>
        </w:rPr>
        <w:t>ого</w:t>
      </w:r>
      <w:r w:rsidRPr="0031472A">
        <w:rPr>
          <w:lang w:val="ru-RU"/>
        </w:rPr>
        <w:t xml:space="preserve"> Бюро</w:t>
      </w:r>
      <w:r>
        <w:rPr>
          <w:lang w:val="ru-RU"/>
        </w:rPr>
        <w:t xml:space="preserve"> и </w:t>
      </w:r>
      <w:r w:rsidRPr="0031472A">
        <w:rPr>
          <w:lang w:val="ru-RU"/>
        </w:rPr>
        <w:t xml:space="preserve">Генерального секретариата (ГС) были проведены официальные собрания, на которых рассматривалось следующее: а) оптимизация существующих возможностей обучения, </w:t>
      </w:r>
      <w:r>
        <w:rPr>
          <w:lang w:val="en-US"/>
        </w:rPr>
        <w:t>b</w:t>
      </w:r>
      <w:r w:rsidRPr="0031472A">
        <w:rPr>
          <w:lang w:val="ru-RU"/>
        </w:rPr>
        <w:t>)</w:t>
      </w:r>
      <w:r>
        <w:rPr>
          <w:lang w:val="en-US"/>
        </w:rPr>
        <w:t> </w:t>
      </w:r>
      <w:r w:rsidRPr="0031472A">
        <w:rPr>
          <w:lang w:val="ru-RU"/>
        </w:rPr>
        <w:t xml:space="preserve">определение новых производственных нужд, которые необходимо удовлетворить согласно планам обучения и </w:t>
      </w:r>
      <w:r>
        <w:rPr>
          <w:lang w:val="ru-RU"/>
        </w:rPr>
        <w:t>профессионального развития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Результаты данных консультаций отражены в Плане обучения в МСЭ на 2018 год, который был доведен до всех сотрудников МСЭ. Целью данного плана является предоставление перечня всех программ, которые предлагаются в течение 2018 аттестационного года, с краткими характеристиками этих образовательных мероприятий, а именно целевой аудитории, области обучения, учебного плана, формы обучения и т. д. В плане обучения на 2018 год также учтены глобальные и региональные приоритеты на уровне системы ООН и МСЭ. Кроме того, Бюро и Генеральный секретариат одобрили Программу управления и лидерства в МСЭ на 2018 год, которая будет запущена в пилотном режиме и </w:t>
      </w:r>
      <w:r>
        <w:rPr>
          <w:lang w:val="ru-RU"/>
        </w:rPr>
        <w:t>предназначена</w:t>
      </w:r>
      <w:r w:rsidRPr="0031472A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31472A">
        <w:rPr>
          <w:lang w:val="ru-RU"/>
        </w:rPr>
        <w:t>сотрудников МСЭ с контролирующими функциями</w:t>
      </w:r>
      <w:r w:rsidR="007D68E4" w:rsidRPr="00672D15">
        <w:rPr>
          <w:lang w:val="ru-RU"/>
        </w:rPr>
        <w:t>.</w:t>
      </w:r>
    </w:p>
    <w:p w:rsidR="007D68E4" w:rsidRPr="00672D15" w:rsidRDefault="00FC42AE" w:rsidP="007D68E4">
      <w:pPr>
        <w:rPr>
          <w:rFonts w:cs="Century Gothic"/>
          <w:color w:val="221E1F"/>
          <w:lang w:val="ru-RU"/>
        </w:rPr>
      </w:pPr>
      <w:r w:rsidRPr="0031472A">
        <w:rPr>
          <w:lang w:val="ru-RU"/>
        </w:rPr>
        <w:t xml:space="preserve">Каждое мероприятие в каталоге обучающих программ запланировано на основе проекта бюджета на 2018 год, который по данным 2017 года составлял приблизительно 1% от расходов на персонал, хотя Резолюция 48 (Пересм. Пусан, 2014 г.) постановляет, что </w:t>
      </w:r>
      <w:r w:rsidRPr="0031472A">
        <w:rPr>
          <w:color w:val="221E1F"/>
          <w:lang w:val="ru-RU"/>
        </w:rPr>
        <w:t>доля соответствующих средств, которые должны быть выделены на обучение по месту службы в максимально возможном объеме, должна стремиться к 3% от бюджета, выделенного на персонал</w:t>
      </w:r>
      <w:r w:rsidR="007D68E4" w:rsidRPr="00672D15">
        <w:rPr>
          <w:rFonts w:cs="Century Gothic"/>
          <w:color w:val="221E1F"/>
          <w:lang w:val="ru-RU"/>
        </w:rPr>
        <w:t>.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HRMD продолжит ориентироваться на последние мировые тенденции, а также потребности МСЭ и возможности в сфере обучения и </w:t>
      </w:r>
      <w:r>
        <w:rPr>
          <w:lang w:val="ru-RU"/>
        </w:rPr>
        <w:t>профессионального развития</w:t>
      </w:r>
      <w:r w:rsidRPr="0031472A">
        <w:rPr>
          <w:lang w:val="ru-RU"/>
        </w:rPr>
        <w:t xml:space="preserve">, создавая </w:t>
      </w:r>
      <w:r>
        <w:rPr>
          <w:lang w:val="ru-RU"/>
        </w:rPr>
        <w:t>онлайновую</w:t>
      </w:r>
      <w:r w:rsidRPr="0031472A">
        <w:rPr>
          <w:lang w:val="ru-RU"/>
        </w:rPr>
        <w:t xml:space="preserve"> систему управления обучением (</w:t>
      </w:r>
      <w:r>
        <w:rPr>
          <w:lang w:val="en-US"/>
        </w:rPr>
        <w:t>LMS</w:t>
      </w:r>
      <w:r w:rsidRPr="0031472A">
        <w:rPr>
          <w:lang w:val="ru-RU"/>
        </w:rPr>
        <w:t xml:space="preserve">) в качестве средства интеграции обучения, показателей (см. пункт о показателях ниже) и планирования кадрового резерва на базе комплексной </w:t>
      </w:r>
      <w:r>
        <w:rPr>
          <w:lang w:val="ru-RU"/>
        </w:rPr>
        <w:t>системы</w:t>
      </w:r>
      <w:r w:rsidRPr="0031472A">
        <w:rPr>
          <w:lang w:val="ru-RU"/>
        </w:rPr>
        <w:t xml:space="preserve"> управления кадрами МСЭ</w:t>
      </w:r>
      <w:r w:rsidR="007D68E4" w:rsidRPr="00672D15">
        <w:rPr>
          <w:lang w:val="ru-RU"/>
        </w:rPr>
        <w:t xml:space="preserve">. </w:t>
      </w:r>
    </w:p>
    <w:p w:rsidR="007D68E4" w:rsidRPr="00672D15" w:rsidRDefault="007D68E4" w:rsidP="00FC42AE">
      <w:pPr>
        <w:pStyle w:val="enumlev1"/>
        <w:rPr>
          <w:rFonts w:asciiTheme="minorHAnsi" w:hAnsiTheme="minorHAnsi"/>
          <w:b/>
          <w:bCs/>
          <w:szCs w:val="24"/>
          <w:u w:val="single"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FC42AE" w:rsidRPr="0031472A">
        <w:rPr>
          <w:b/>
          <w:bCs/>
          <w:szCs w:val="24"/>
          <w:lang w:val="ru-RU"/>
        </w:rPr>
        <w:t xml:space="preserve">Система </w:t>
      </w:r>
      <w:r w:rsidR="00FC42AE" w:rsidRPr="00565506">
        <w:rPr>
          <w:b/>
          <w:bCs/>
          <w:szCs w:val="24"/>
          <w:lang w:val="ru-RU"/>
        </w:rPr>
        <w:t xml:space="preserve">управления показателями деятельности и профессионального развития </w:t>
      </w:r>
      <w:r w:rsidR="00FC42AE" w:rsidRPr="0031472A">
        <w:rPr>
          <w:b/>
          <w:bCs/>
          <w:szCs w:val="24"/>
          <w:lang w:val="ru-RU"/>
        </w:rPr>
        <w:t>(PMDS)</w:t>
      </w:r>
      <w:r w:rsidR="00FC42AE" w:rsidRPr="0031472A">
        <w:rPr>
          <w:lang w:val="ru-RU"/>
        </w:rPr>
        <w:t xml:space="preserve"> </w:t>
      </w:r>
      <w:r w:rsidR="00FC42AE" w:rsidRPr="0031472A">
        <w:rPr>
          <w:b/>
          <w:bCs/>
          <w:lang w:val="ru-RU"/>
        </w:rPr>
        <w:t>МСЭ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Новая система </w:t>
      </w:r>
      <w:r w:rsidRPr="00565506">
        <w:rPr>
          <w:lang w:val="ru-RU"/>
        </w:rPr>
        <w:t xml:space="preserve">управления показателями деятельности и профессионального развития </w:t>
      </w:r>
      <w:r w:rsidRPr="0031472A">
        <w:rPr>
          <w:lang w:val="ru-RU"/>
        </w:rPr>
        <w:t>(PMDS), была запущена для всего персонала МСЭ 11 января 2018 года и состоит из новых руководящих документов PMDS МСЭ, а также новой электронной системы PMDS (e-PMDS) МСЭ. Стратегический план в области людских ресурсов ссылается на действующую периодическую служебную аттестацию (</w:t>
      </w:r>
      <w:r>
        <w:rPr>
          <w:rFonts w:asciiTheme="minorHAnsi" w:hAnsiTheme="minorHAnsi"/>
          <w:szCs w:val="22"/>
        </w:rPr>
        <w:t>PPA</w:t>
      </w:r>
      <w:r w:rsidRPr="0031472A">
        <w:rPr>
          <w:lang w:val="ru-RU"/>
        </w:rPr>
        <w:t xml:space="preserve">) МСЭ, реализованную в виде формы на бумажном носителе для оценки деятельности персонала и нормативной базы, описанной в </w:t>
      </w:r>
      <w:r>
        <w:rPr>
          <w:lang w:val="ru-RU"/>
        </w:rPr>
        <w:t xml:space="preserve">служебном </w:t>
      </w:r>
      <w:r w:rsidRPr="0031472A">
        <w:rPr>
          <w:lang w:val="ru-RU"/>
        </w:rPr>
        <w:t>приказе 08/09 от 19 августа 2008 г</w:t>
      </w:r>
      <w:r>
        <w:rPr>
          <w:lang w:val="ru-RU"/>
        </w:rPr>
        <w:t>ода</w:t>
      </w:r>
      <w:r w:rsidRPr="0031472A">
        <w:rPr>
          <w:lang w:val="ru-RU"/>
        </w:rPr>
        <w:t xml:space="preserve">. Основная цель пересмотра </w:t>
      </w:r>
      <w:r>
        <w:rPr>
          <w:rFonts w:asciiTheme="minorHAnsi" w:hAnsiTheme="minorHAnsi"/>
          <w:szCs w:val="22"/>
        </w:rPr>
        <w:t>PPA</w:t>
      </w:r>
      <w:r w:rsidRPr="0031472A">
        <w:rPr>
          <w:lang w:val="ru-RU"/>
        </w:rPr>
        <w:t xml:space="preserve"> продиктована необходимостью удовлетворения интереса заинтересованных сторон в усилении принципа управления организацией, ориентированного на результат, при обеспечении большей подотчетности и улучшении индивидуальных и коллективных показателей деятельности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Новая </w:t>
      </w:r>
      <w:r>
        <w:rPr>
          <w:lang w:val="ru-RU"/>
        </w:rPr>
        <w:t xml:space="preserve">система </w:t>
      </w:r>
      <w:r w:rsidRPr="0031472A">
        <w:rPr>
          <w:lang w:val="ru-RU"/>
        </w:rPr>
        <w:t>PMDS МСЭ разработана в результате вышеупомянутого пересмотра, на основе передового опыта Совета руководителей организаций общей системы организаций Организации Объединенных Наций. Система спроектирована при консультациях с кадровой службой, представителями персонала и представителями от Бюро и Генерального секретариата. Кроме того, по итогам тендера, проведенного в 2016 году, было спроектировано и внедрено новое электронное средство усилиями следующего поставщика услуг: Cornerstone on-Demand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Основные принципы процесса новой PMDS вытекают из важности следующих моментов: a) непрерывного диалога в течение года между сотрудниками и руководителями, b) постановки </w:t>
      </w:r>
      <w:r>
        <w:rPr>
          <w:lang w:val="ru-RU"/>
        </w:rPr>
        <w:t>конкретных</w:t>
      </w:r>
      <w:r w:rsidRPr="0031472A">
        <w:rPr>
          <w:lang w:val="ru-RU"/>
        </w:rPr>
        <w:t xml:space="preserve"> </w:t>
      </w:r>
      <w:r>
        <w:rPr>
          <w:lang w:val="ru-RU"/>
        </w:rPr>
        <w:t>рабочих целей отдельных сотрудников в привязке к</w:t>
      </w:r>
      <w:r w:rsidRPr="0031472A">
        <w:rPr>
          <w:lang w:val="ru-RU"/>
        </w:rPr>
        <w:t xml:space="preserve"> приоритетам Союза, c) поддержки развития сотрудников и организации через </w:t>
      </w:r>
      <w:r>
        <w:rPr>
          <w:lang w:val="ru-RU"/>
        </w:rPr>
        <w:t>цели</w:t>
      </w:r>
      <w:r w:rsidRPr="0031472A">
        <w:rPr>
          <w:lang w:val="ru-RU"/>
        </w:rPr>
        <w:t xml:space="preserve"> обучения и </w:t>
      </w:r>
      <w:r>
        <w:rPr>
          <w:lang w:val="ru-RU"/>
        </w:rPr>
        <w:t>профессионального развития</w:t>
      </w:r>
      <w:r w:rsidRPr="0031472A">
        <w:rPr>
          <w:lang w:val="ru-RU"/>
        </w:rPr>
        <w:t>, которые учитывают приоритеты Союз</w:t>
      </w:r>
      <w:r>
        <w:rPr>
          <w:lang w:val="ru-RU"/>
        </w:rPr>
        <w:t>а в области обучения</w:t>
      </w:r>
      <w:r w:rsidRPr="0031472A">
        <w:rPr>
          <w:lang w:val="ru-RU"/>
        </w:rPr>
        <w:t>, а также предлагаемые учебные программы, отраженные в учебном плане на 2018 год (см. пункт об обучении)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 xml:space="preserve">Точнее, структура новой e-PMDS включает: от одной (1) до пяти (5) рабочих целей, основанных на ряде </w:t>
      </w:r>
      <w:r>
        <w:rPr>
          <w:lang w:val="ru-RU"/>
        </w:rPr>
        <w:t xml:space="preserve">конкретных </w:t>
      </w:r>
      <w:r w:rsidRPr="0031472A">
        <w:rPr>
          <w:lang w:val="ru-RU"/>
        </w:rPr>
        <w:t>показателей для измерения успеха деятельности, то есть, действия, показатели деятельности, ресурсы и ограничения, партнеры, сроки; шесть (6) базовых компетенций, до семи (7) функциональных компетенций и от одной (1) до пяти (5) технических компетенций</w:t>
      </w:r>
      <w:r w:rsidRPr="00D0421F">
        <w:rPr>
          <w:rStyle w:val="FootnoteReference"/>
        </w:rPr>
        <w:footnoteReference w:id="2"/>
      </w:r>
      <w:r w:rsidRPr="0031472A">
        <w:rPr>
          <w:lang w:val="ru-RU"/>
        </w:rPr>
        <w:t>; одну или более целей обучения по приобретению или совершенствованию некоторых компетенций с такой же структуру, как и у рабочих целей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>Новая система позволит HRMD анализировать результаты деятельности персонала МСЭ, чтобы лучше распределять средства на обучение, и развивать компетенции e-PMDS, чтобы разрабатывать эффективные стратегии планирования кадрового резерва и планы</w:t>
      </w:r>
      <w:r w:rsidR="007D68E4" w:rsidRPr="00672D15">
        <w:rPr>
          <w:lang w:val="ru-RU"/>
        </w:rPr>
        <w:t xml:space="preserve">. </w:t>
      </w:r>
    </w:p>
    <w:p w:rsidR="007D68E4" w:rsidRPr="00672D15" w:rsidRDefault="00FC42AE" w:rsidP="007D68E4">
      <w:pPr>
        <w:rPr>
          <w:lang w:val="ru-RU"/>
        </w:rPr>
      </w:pPr>
      <w:r w:rsidRPr="0031472A">
        <w:rPr>
          <w:lang w:val="ru-RU"/>
        </w:rPr>
        <w:t>Совершенствование системы e-PMDS и системы компетенций МСЭ, в частности интеграция компетенций во всех направлениях кадровой работы, будет основной задачей на 2018 год</w:t>
      </w:r>
      <w:r w:rsidR="007D68E4" w:rsidRPr="00672D15">
        <w:rPr>
          <w:lang w:val="ru-RU"/>
        </w:rPr>
        <w:t xml:space="preserve">. </w:t>
      </w:r>
    </w:p>
    <w:p w:rsidR="007D68E4" w:rsidRPr="00672D15" w:rsidRDefault="007D68E4" w:rsidP="007D68E4">
      <w:pPr>
        <w:rPr>
          <w:lang w:val="ru-RU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629"/>
      </w:tblGrid>
      <w:tr w:rsidR="00A34D71" w:rsidRPr="007C65CF" w:rsidTr="007D68E4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A34D71" w:rsidRPr="00672D15" w:rsidRDefault="007D68E4" w:rsidP="007D68E4">
            <w:pPr>
              <w:pStyle w:val="Heading1"/>
              <w:outlineLvl w:val="0"/>
              <w:rPr>
                <w:lang w:val="ru-RU"/>
              </w:rPr>
            </w:pPr>
            <w:r w:rsidRPr="00672D15">
              <w:rPr>
                <w:lang w:val="ru-RU"/>
              </w:rPr>
              <w:t>7</w:t>
            </w:r>
            <w:r w:rsidRPr="00672D15">
              <w:rPr>
                <w:lang w:val="ru-RU"/>
              </w:rPr>
              <w:tab/>
            </w:r>
            <w:r w:rsidR="00D67226" w:rsidRPr="00672D15">
              <w:rPr>
                <w:lang w:val="ru-RU"/>
              </w:rPr>
              <w:t>Меры по улучшению материального и морального состояния персонала,</w:t>
            </w:r>
            <w:r w:rsidR="00D67226" w:rsidRPr="00672D15">
              <w:rPr>
                <w:lang w:val="ru-RU"/>
              </w:rPr>
              <w:br/>
              <w:t>гигиены труда и безопасности</w:t>
            </w:r>
            <w:r w:rsidR="00A34D71" w:rsidRPr="00672D15">
              <w:rPr>
                <w:lang w:val="ru-RU"/>
              </w:rPr>
              <w:t xml:space="preserve"> </w:t>
            </w:r>
          </w:p>
        </w:tc>
      </w:tr>
    </w:tbl>
    <w:p w:rsidR="00A34D71" w:rsidRPr="00672D15" w:rsidRDefault="00D67226" w:rsidP="004C0CBE">
      <w:pPr>
        <w:rPr>
          <w:lang w:val="ru-RU"/>
        </w:rPr>
      </w:pPr>
      <w:r w:rsidRPr="00672D15">
        <w:rPr>
          <w:lang w:val="ru-RU"/>
        </w:rPr>
        <w:t>Предоставление безопасной рабочей среды является ключевой составляющей обеспечения благоприятных условий труда. Организация способствует созданию безопасной рабочей среды путем проведения своей политики в области обеспечения безопасности, здоровья и благополучия, а также с помощью разнообразных услуг, предоставляемых работникам.</w:t>
      </w:r>
    </w:p>
    <w:p w:rsidR="00A34D71" w:rsidRPr="00672D15" w:rsidRDefault="00E043B8" w:rsidP="00C90D84">
      <w:pPr>
        <w:pStyle w:val="enumlev1"/>
        <w:rPr>
          <w:b/>
          <w:bCs/>
          <w:lang w:val="ru-RU"/>
        </w:rPr>
      </w:pPr>
      <w:r w:rsidRPr="00672D15">
        <w:rPr>
          <w:b/>
          <w:bCs/>
          <w:lang w:val="ru-RU"/>
        </w:rPr>
        <w:t>•</w:t>
      </w:r>
      <w:r w:rsidRPr="00672D15">
        <w:rPr>
          <w:b/>
          <w:bCs/>
          <w:lang w:val="ru-RU"/>
        </w:rPr>
        <w:tab/>
      </w:r>
      <w:r w:rsidR="00C90D84" w:rsidRPr="0031472A">
        <w:rPr>
          <w:b/>
          <w:bCs/>
          <w:lang w:val="ru-RU"/>
        </w:rPr>
        <w:t>Политик</w:t>
      </w:r>
      <w:r w:rsidR="00C90D84">
        <w:rPr>
          <w:b/>
          <w:bCs/>
          <w:lang w:val="ru-RU"/>
        </w:rPr>
        <w:t>а</w:t>
      </w:r>
      <w:r w:rsidR="00C90D84" w:rsidRPr="0031472A">
        <w:rPr>
          <w:b/>
          <w:bCs/>
          <w:lang w:val="ru-RU"/>
        </w:rPr>
        <w:t xml:space="preserve"> МСЭ в области гигиены труда и безопасности</w:t>
      </w:r>
    </w:p>
    <w:p w:rsidR="00A34D71" w:rsidRPr="00672D15" w:rsidRDefault="00D67226" w:rsidP="00E043B8">
      <w:pPr>
        <w:rPr>
          <w:lang w:val="ru-RU"/>
        </w:rPr>
      </w:pPr>
      <w:r w:rsidRPr="00672D15">
        <w:rPr>
          <w:lang w:val="ru-RU"/>
        </w:rPr>
        <w:t>Параллельно были предприняты инициативы по проведению для сотрудников специальных семинаров-практикумов или конференций совместно с организациями, базирующимися в Женеве, таких как:</w:t>
      </w:r>
    </w:p>
    <w:p w:rsidR="00A34D71" w:rsidRPr="00672D15" w:rsidRDefault="00E043B8" w:rsidP="00E043B8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D67226" w:rsidRPr="00672D15">
        <w:rPr>
          <w:lang w:val="ru-RU"/>
        </w:rPr>
        <w:t>семинары-практикумы по пропаганде здорового образа жизни, консультации по прекращению курения, сеансы релаксации, проводимые с инструктором, профилактика стресса и т. д., организованные в Женевской штаб-квартире ООН (ЮНОГ) специалистом по производственной психологии из ЮНОГ;</w:t>
      </w:r>
    </w:p>
    <w:p w:rsidR="00E043B8" w:rsidRPr="00672D15" w:rsidRDefault="00E043B8" w:rsidP="00C90D84">
      <w:pPr>
        <w:pStyle w:val="enumlev1"/>
        <w:rPr>
          <w:lang w:val="ru-RU"/>
        </w:rPr>
      </w:pPr>
      <w:r w:rsidRPr="00672D15">
        <w:rPr>
          <w:lang w:val="ru-RU"/>
        </w:rPr>
        <w:t>−</w:t>
      </w:r>
      <w:r w:rsidRPr="00672D15">
        <w:rPr>
          <w:lang w:val="ru-RU"/>
        </w:rPr>
        <w:tab/>
      </w:r>
      <w:r w:rsidR="00C90D84" w:rsidRPr="0031472A">
        <w:rPr>
          <w:lang w:val="ru-RU"/>
        </w:rPr>
        <w:t xml:space="preserve">укрепление психического здоровья на </w:t>
      </w:r>
      <w:r w:rsidR="00C90D84">
        <w:rPr>
          <w:lang w:val="ru-RU"/>
        </w:rPr>
        <w:t xml:space="preserve">курсах </w:t>
      </w:r>
      <w:r w:rsidR="00C90D84" w:rsidRPr="0031472A">
        <w:rPr>
          <w:lang w:val="ru-RU"/>
        </w:rPr>
        <w:t xml:space="preserve">по </w:t>
      </w:r>
      <w:r w:rsidR="00C90D84">
        <w:rPr>
          <w:lang w:val="ru-RU"/>
        </w:rPr>
        <w:t xml:space="preserve">управлению </w:t>
      </w:r>
      <w:r w:rsidR="00C90D84" w:rsidRPr="0031472A">
        <w:rPr>
          <w:lang w:val="ru-RU"/>
        </w:rPr>
        <w:t>стресс</w:t>
      </w:r>
      <w:r w:rsidR="00C90D84">
        <w:rPr>
          <w:lang w:val="ru-RU"/>
        </w:rPr>
        <w:t>овыми ситуациями</w:t>
      </w:r>
      <w:r w:rsidR="00C90D84" w:rsidRPr="0031472A">
        <w:rPr>
          <w:lang w:val="ru-RU"/>
        </w:rPr>
        <w:t xml:space="preserve"> и повышению устойчивости, организованных консультантом персонала МСЭ совместно с консультантом персонала из ЮНОГ</w:t>
      </w:r>
      <w:r w:rsidRPr="00672D15">
        <w:rPr>
          <w:lang w:val="ru-RU"/>
        </w:rPr>
        <w:t>.</w:t>
      </w:r>
    </w:p>
    <w:p w:rsidR="00A34D71" w:rsidRPr="00672D15" w:rsidRDefault="00955AEB" w:rsidP="00955AEB">
      <w:pPr>
        <w:pStyle w:val="enumlev1"/>
        <w:rPr>
          <w:rFonts w:asciiTheme="minorHAnsi" w:hAnsiTheme="minorHAnsi"/>
          <w:b/>
          <w:bCs/>
          <w:szCs w:val="24"/>
          <w:lang w:val="ru-RU"/>
        </w:rPr>
      </w:pPr>
      <w:r w:rsidRPr="00672D15">
        <w:rPr>
          <w:rFonts w:asciiTheme="minorHAnsi" w:hAnsiTheme="minorHAnsi"/>
          <w:b/>
          <w:bCs/>
          <w:szCs w:val="24"/>
          <w:lang w:val="ru-RU"/>
        </w:rPr>
        <w:t>•</w:t>
      </w:r>
      <w:r w:rsidRPr="00672D15">
        <w:rPr>
          <w:rFonts w:asciiTheme="minorHAnsi" w:hAnsiTheme="minorHAnsi"/>
          <w:b/>
          <w:bCs/>
          <w:szCs w:val="24"/>
          <w:lang w:val="ru-RU"/>
        </w:rPr>
        <w:tab/>
      </w:r>
      <w:r w:rsidR="00D67226" w:rsidRPr="00672D15">
        <w:rPr>
          <w:rFonts w:asciiTheme="minorHAnsi" w:hAnsiTheme="minorHAnsi"/>
          <w:b/>
          <w:bCs/>
          <w:szCs w:val="24"/>
          <w:lang w:val="ru-RU"/>
        </w:rPr>
        <w:t>Медицинские услуги</w:t>
      </w:r>
    </w:p>
    <w:p w:rsidR="00D67226" w:rsidRPr="00672D15" w:rsidRDefault="00D67226" w:rsidP="00955AEB">
      <w:pPr>
        <w:rPr>
          <w:lang w:val="ru-RU"/>
        </w:rPr>
      </w:pPr>
      <w:r w:rsidRPr="00672D15">
        <w:rPr>
          <w:lang w:val="ru-RU"/>
        </w:rPr>
        <w:t>Последние 10 лет МСЭ сотрудничает с ЮНОГ на основе Меморандума о взаимопонимании (МоВ), подписанного в октябре 2007 года, в целях предоставления целого ряда услуг, в число которых входят медицинские осмотры, консультации, экстренная медицинская помощь и амбулаторное лечение, услуги медицинской административной службы, услуги по уходу за больными, инструктаж и вакцинация сотрудников миссий, профилактика и укрепление здоровья (эргономика, скрининг), медицинские анализы (анализ крови, электрокардиограмма, проверка зрения и т. д.). Аналогичные соглашения используют и другие учреждения. В декабре 2016 года МСЭ был проинформирован о принятом ЮНОГ решении о прекращении действия М</w:t>
      </w:r>
      <w:r w:rsidR="00A228F9" w:rsidRPr="00672D15">
        <w:rPr>
          <w:lang w:val="ru-RU"/>
        </w:rPr>
        <w:t>о</w:t>
      </w:r>
      <w:r w:rsidRPr="00672D15">
        <w:rPr>
          <w:lang w:val="ru-RU"/>
        </w:rPr>
        <w:t xml:space="preserve">В с 31 декабря 2017 года ввиду финансовых ограничений и сокращения ресурсов ООН. 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>МСЭ первоначально рассматривал сотрудничество с ВОИС с целью полностью внедрить медицинские услуги другой организации, находящейся в Женеве. Этот вариант по-прежнему рассматривается с точки зрения объема, до которого МСЭ интегрирует медицинские услуги этой находящейся в Женеве организации</w:t>
      </w:r>
      <w:r w:rsidR="003F4CA3" w:rsidRPr="00672D15">
        <w:rPr>
          <w:lang w:val="ru-RU"/>
        </w:rPr>
        <w:t xml:space="preserve">. 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>Исходя из относительно небольшого размера Союза, для МСЭ было бы более интересным иметь свою собственную медицинскую службу, состоящую из доктора на неполной ставке, медицинской сестры и административного ассистента. Эта группа занималась бы всеми аспектами медицинского управления: отпусками по болезни, пропагандой гигиены труда, а также ведением больных. В этом случае Союз мог бы частично интегрировать более развитую медицинскую службу другого учреждения, чтобы получить услуги, связанные с лабораторными медицинскими анализами</w:t>
      </w:r>
      <w:r w:rsidR="003F4CA3" w:rsidRPr="00672D15">
        <w:rPr>
          <w:lang w:val="ru-RU"/>
        </w:rPr>
        <w:t xml:space="preserve">. 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>В ходе рассмотрения этого варианта МСЭ дополнила МоВ медицинскими услугами ЮНОГ, чтобы обеспечить плавный и корректный переходный период</w:t>
      </w:r>
      <w:r w:rsidR="003F4CA3" w:rsidRPr="00672D15">
        <w:rPr>
          <w:lang w:val="ru-RU"/>
        </w:rPr>
        <w:t>.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 xml:space="preserve">Готовится план на будущее по разработке стратегического подхода к </w:t>
      </w:r>
      <w:r>
        <w:rPr>
          <w:lang w:val="ru-RU"/>
        </w:rPr>
        <w:t xml:space="preserve">обеспечению </w:t>
      </w:r>
      <w:r w:rsidRPr="0031472A">
        <w:rPr>
          <w:lang w:val="ru-RU"/>
        </w:rPr>
        <w:t>благосостояни</w:t>
      </w:r>
      <w:r>
        <w:rPr>
          <w:lang w:val="ru-RU"/>
        </w:rPr>
        <w:t>я</w:t>
      </w:r>
      <w:r w:rsidRPr="0031472A">
        <w:rPr>
          <w:lang w:val="ru-RU"/>
        </w:rPr>
        <w:t xml:space="preserve"> и здоровь</w:t>
      </w:r>
      <w:r>
        <w:rPr>
          <w:lang w:val="ru-RU"/>
        </w:rPr>
        <w:t xml:space="preserve">я сотрудников </w:t>
      </w:r>
      <w:r w:rsidRPr="0031472A">
        <w:rPr>
          <w:lang w:val="ru-RU"/>
        </w:rPr>
        <w:t>путем тесного сотрудничества медицинской службы и службы консультирования персонала</w:t>
      </w:r>
      <w:r w:rsidR="003F4CA3" w:rsidRPr="00672D15">
        <w:rPr>
          <w:lang w:val="ru-RU"/>
        </w:rPr>
        <w:t>.</w:t>
      </w:r>
    </w:p>
    <w:p w:rsidR="00A34D71" w:rsidRPr="00672D15" w:rsidRDefault="003F4CA3" w:rsidP="003F4CA3">
      <w:pPr>
        <w:pStyle w:val="enumlev1"/>
        <w:rPr>
          <w:rFonts w:asciiTheme="minorHAnsi" w:hAnsiTheme="minorHAnsi"/>
          <w:b/>
          <w:bCs/>
          <w:szCs w:val="24"/>
          <w:lang w:val="ru-RU"/>
        </w:rPr>
      </w:pPr>
      <w:r w:rsidRPr="00672D15">
        <w:rPr>
          <w:rFonts w:asciiTheme="minorHAnsi" w:hAnsiTheme="minorHAnsi"/>
          <w:b/>
          <w:bCs/>
          <w:szCs w:val="24"/>
          <w:lang w:val="ru-RU"/>
        </w:rPr>
        <w:t>•</w:t>
      </w:r>
      <w:r w:rsidRPr="00672D15">
        <w:rPr>
          <w:rFonts w:asciiTheme="minorHAnsi" w:hAnsiTheme="minorHAnsi"/>
          <w:b/>
          <w:bCs/>
          <w:szCs w:val="24"/>
          <w:lang w:val="ru-RU"/>
        </w:rPr>
        <w:tab/>
      </w:r>
      <w:r w:rsidR="00D67226" w:rsidRPr="00672D15">
        <w:rPr>
          <w:rFonts w:asciiTheme="minorHAnsi" w:hAnsiTheme="minorHAnsi"/>
          <w:b/>
          <w:bCs/>
          <w:szCs w:val="24"/>
          <w:lang w:val="ru-RU"/>
        </w:rPr>
        <w:t>Обновление плана коллективного медицинского страхования (ПКМС)</w:t>
      </w:r>
    </w:p>
    <w:p w:rsidR="003F4CA3" w:rsidRPr="00672D15" w:rsidRDefault="00D67226" w:rsidP="003F4CA3">
      <w:pPr>
        <w:rPr>
          <w:lang w:val="ru-RU"/>
        </w:rPr>
      </w:pPr>
      <w:r w:rsidRPr="00672D15">
        <w:rPr>
          <w:lang w:val="ru-RU"/>
        </w:rPr>
        <w:t xml:space="preserve">В области социальных льгот особое внимание уделялось управлению системой медицинского страхования (ПКМС), находящейся в ведении компании </w:t>
      </w:r>
      <w:r w:rsidR="00A228F9" w:rsidRPr="00672D15">
        <w:rPr>
          <w:lang w:val="ru-RU"/>
        </w:rPr>
        <w:t>Cigna</w:t>
      </w:r>
      <w:r w:rsidRPr="00672D15">
        <w:rPr>
          <w:lang w:val="ru-RU"/>
        </w:rPr>
        <w:t>, и продолжению – через Комитет по управлению – проведени</w:t>
      </w:r>
      <w:r w:rsidR="00A228F9" w:rsidRPr="00672D15">
        <w:rPr>
          <w:lang w:val="ru-RU"/>
        </w:rPr>
        <w:t>я</w:t>
      </w:r>
      <w:r w:rsidRPr="00672D15">
        <w:rPr>
          <w:lang w:val="ru-RU"/>
        </w:rPr>
        <w:t xml:space="preserve"> обще</w:t>
      </w:r>
      <w:r w:rsidR="003F4CA3" w:rsidRPr="00672D15">
        <w:rPr>
          <w:lang w:val="ru-RU"/>
        </w:rPr>
        <w:t>го обзора плана.</w:t>
      </w:r>
      <w:r w:rsidRPr="00672D15">
        <w:rPr>
          <w:lang w:val="ru-RU"/>
        </w:rPr>
        <w:t xml:space="preserve"> </w:t>
      </w:r>
      <w:r w:rsidR="00363182" w:rsidRPr="00672D15">
        <w:rPr>
          <w:lang w:val="ru-RU"/>
        </w:rPr>
        <w:t>Ф</w:t>
      </w:r>
      <w:r w:rsidRPr="00672D15">
        <w:rPr>
          <w:lang w:val="ru-RU"/>
        </w:rPr>
        <w:t>ункции Исполнительного секретаря и секретариата ПКМС выполняют сотрудники Департамента</w:t>
      </w:r>
      <w:r w:rsidR="00363182" w:rsidRPr="00672D15">
        <w:rPr>
          <w:lang w:val="ru-RU"/>
        </w:rPr>
        <w:t xml:space="preserve">. 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 xml:space="preserve">В свете рекомендации Совета (3/2014) провести полную актуарную оценку состояния, чтобы определить, когда финансовое благополучие МСЭ может быть подвергнуто риску условиями </w:t>
      </w:r>
      <w:r>
        <w:rPr>
          <w:lang w:val="ru-RU"/>
        </w:rPr>
        <w:t>системы</w:t>
      </w:r>
      <w:r w:rsidRPr="0031472A">
        <w:rPr>
          <w:lang w:val="ru-RU"/>
        </w:rPr>
        <w:t xml:space="preserve"> медицинского страхования, в 2017 году </w:t>
      </w:r>
      <w:r>
        <w:rPr>
          <w:lang w:val="ru-RU"/>
        </w:rPr>
        <w:t>департаментом управления людскими ресурсами</w:t>
      </w:r>
      <w:r w:rsidRPr="0031472A">
        <w:rPr>
          <w:lang w:val="ru-RU"/>
        </w:rPr>
        <w:t xml:space="preserve"> совместно с </w:t>
      </w:r>
      <w:r>
        <w:rPr>
          <w:lang w:val="ru-RU"/>
        </w:rPr>
        <w:t xml:space="preserve">департаментом управления </w:t>
      </w:r>
      <w:r w:rsidRPr="0031472A">
        <w:rPr>
          <w:lang w:val="ru-RU"/>
        </w:rPr>
        <w:t>финансовым</w:t>
      </w:r>
      <w:r>
        <w:rPr>
          <w:lang w:val="ru-RU"/>
        </w:rPr>
        <w:t xml:space="preserve">и ресурсами и Комитетом по управлению </w:t>
      </w:r>
      <w:r w:rsidRPr="0031472A">
        <w:rPr>
          <w:lang w:val="ru-RU"/>
        </w:rPr>
        <w:t xml:space="preserve">ПКМС было </w:t>
      </w:r>
      <w:r>
        <w:rPr>
          <w:lang w:val="ru-RU"/>
        </w:rPr>
        <w:t xml:space="preserve">начато </w:t>
      </w:r>
      <w:r w:rsidRPr="0031472A">
        <w:rPr>
          <w:lang w:val="ru-RU"/>
        </w:rPr>
        <w:t>исследование</w:t>
      </w:r>
      <w:r w:rsidR="003F4CA3" w:rsidRPr="00672D15">
        <w:rPr>
          <w:lang w:val="ru-RU"/>
        </w:rPr>
        <w:t xml:space="preserve">. </w:t>
      </w:r>
    </w:p>
    <w:p w:rsidR="003F4CA3" w:rsidRPr="00672D15" w:rsidRDefault="00C90D84" w:rsidP="003F4CA3">
      <w:pPr>
        <w:rPr>
          <w:lang w:val="ru-RU"/>
        </w:rPr>
      </w:pPr>
      <w:r w:rsidRPr="0031472A">
        <w:rPr>
          <w:lang w:val="ru-RU"/>
        </w:rPr>
        <w:t>Охват исследования, которое еще продолжается, таков, что оно может привести к пересмотру существующей модели финансирования. Важно отметить, что одной из ключевых характеристик страхуемого населения является его относительно преклонный возраст – как в отношении действующего персонала, так и для вышедших на пенсию. Дальнейшее старение населения в целом в сочетании с медленным, но стабильным сокращением количества занятого населения приведет к увеличению доли населения в старших возрастных рамках и, соответственно, к медицинским расходам выше среднего. Вышеупомянутые факторы в сочетании с тем фактом, что большинство пенсионеров и персонала МСЭ живут в Женеве и окрестностях, вынужденно приведут к увеличению общих медицинских расходов</w:t>
      </w:r>
      <w:r w:rsidR="003F4CA3" w:rsidRPr="00672D15">
        <w:rPr>
          <w:lang w:val="ru-RU"/>
        </w:rPr>
        <w:t xml:space="preserve">. </w:t>
      </w:r>
    </w:p>
    <w:p w:rsidR="00A34D71" w:rsidRPr="00672D15" w:rsidRDefault="00C90D84" w:rsidP="003F4CA3">
      <w:pPr>
        <w:rPr>
          <w:lang w:val="ru-RU"/>
        </w:rPr>
      </w:pPr>
      <w:r w:rsidRPr="0031472A">
        <w:rPr>
          <w:lang w:val="ru-RU"/>
        </w:rPr>
        <w:t>В области охраны здоровья и профилактики секретариат, наряду с другим учреждением ООН – ВОИС, продолжал проведение – при поддержке Cigna – совместных профилактических мероприятий и информационных семинаров по вопросам здоровья, таких как кампания по вакцинации против гриппа для пенсионеров</w:t>
      </w:r>
      <w:r w:rsidR="004D5FF1" w:rsidRPr="00672D15">
        <w:rPr>
          <w:lang w:val="ru-RU"/>
        </w:rPr>
        <w:t>.</w:t>
      </w:r>
    </w:p>
    <w:p w:rsidR="00A34D71" w:rsidRPr="00672D15" w:rsidRDefault="005A6AE6" w:rsidP="00C90D84">
      <w:pPr>
        <w:pStyle w:val="enumlev1"/>
        <w:rPr>
          <w:rFonts w:asciiTheme="minorHAnsi" w:hAnsiTheme="minorHAnsi"/>
          <w:b/>
          <w:bCs/>
          <w:szCs w:val="22"/>
          <w:lang w:val="ru-RU"/>
        </w:rPr>
      </w:pPr>
      <w:r w:rsidRPr="00672D15">
        <w:rPr>
          <w:rFonts w:asciiTheme="minorHAnsi" w:hAnsiTheme="minorHAnsi"/>
          <w:b/>
          <w:bCs/>
          <w:szCs w:val="24"/>
          <w:lang w:val="ru-RU"/>
        </w:rPr>
        <w:t>•</w:t>
      </w:r>
      <w:r w:rsidRPr="00672D15">
        <w:rPr>
          <w:rFonts w:asciiTheme="minorHAnsi" w:hAnsiTheme="minorHAnsi"/>
          <w:b/>
          <w:bCs/>
          <w:szCs w:val="24"/>
          <w:lang w:val="ru-RU"/>
        </w:rPr>
        <w:tab/>
      </w:r>
      <w:r w:rsidR="00C90D84">
        <w:rPr>
          <w:b/>
          <w:bCs/>
          <w:szCs w:val="24"/>
          <w:lang w:val="ru-RU"/>
        </w:rPr>
        <w:t xml:space="preserve">Функции </w:t>
      </w:r>
      <w:r w:rsidR="00C90D84" w:rsidRPr="0031472A">
        <w:rPr>
          <w:b/>
          <w:bCs/>
          <w:szCs w:val="24"/>
          <w:lang w:val="ru-RU"/>
        </w:rPr>
        <w:t xml:space="preserve">посредников, </w:t>
      </w:r>
      <w:r w:rsidR="00C90D84">
        <w:rPr>
          <w:b/>
          <w:bCs/>
          <w:szCs w:val="24"/>
          <w:lang w:val="ru-RU"/>
        </w:rPr>
        <w:t xml:space="preserve">консультанта </w:t>
      </w:r>
      <w:r w:rsidR="00C90D84" w:rsidRPr="0031472A">
        <w:rPr>
          <w:b/>
          <w:bCs/>
          <w:szCs w:val="24"/>
          <w:lang w:val="ru-RU"/>
        </w:rPr>
        <w:t>персонал</w:t>
      </w:r>
      <w:r w:rsidR="00C90D84">
        <w:rPr>
          <w:b/>
          <w:bCs/>
          <w:szCs w:val="24"/>
          <w:lang w:val="ru-RU"/>
        </w:rPr>
        <w:t>а</w:t>
      </w:r>
      <w:r w:rsidR="00C90D84" w:rsidRPr="0031472A">
        <w:rPr>
          <w:b/>
          <w:bCs/>
          <w:szCs w:val="24"/>
          <w:lang w:val="ru-RU"/>
        </w:rPr>
        <w:t xml:space="preserve"> и сотрудника по вопросам</w:t>
      </w:r>
      <w:r w:rsidR="00C90D84" w:rsidRPr="0031472A">
        <w:rPr>
          <w:b/>
          <w:bCs/>
          <w:szCs w:val="22"/>
          <w:lang w:val="ru-RU"/>
        </w:rPr>
        <w:t xml:space="preserve"> этики</w:t>
      </w:r>
    </w:p>
    <w:p w:rsidR="00A34D71" w:rsidRPr="00672D15" w:rsidRDefault="00C90D84" w:rsidP="005A6AE6">
      <w:pPr>
        <w:rPr>
          <w:lang w:val="ru-RU" w:eastAsia="zh-CN"/>
        </w:rPr>
      </w:pPr>
      <w:r w:rsidRPr="0031472A">
        <w:rPr>
          <w:lang w:val="ru-RU"/>
        </w:rPr>
        <w:t>В МСЭ существует ряд функций, направленных на создание благоприятных условий труда. Сотрудник по вопросам этики и консультант персонала совмещают свои функции с работой во Всемирной метеорологической организации</w:t>
      </w:r>
      <w:r w:rsidR="00E06CF3" w:rsidRPr="00672D15">
        <w:rPr>
          <w:lang w:val="ru-RU" w:eastAsia="zh-CN"/>
        </w:rPr>
        <w:t>.</w:t>
      </w:r>
    </w:p>
    <w:p w:rsidR="005A6AE6" w:rsidRPr="00672D15" w:rsidRDefault="00C90D84" w:rsidP="005A6AE6">
      <w:pPr>
        <w:pStyle w:val="Headingb"/>
        <w:rPr>
          <w:lang w:val="ru-RU" w:eastAsia="zh-CN"/>
        </w:rPr>
      </w:pPr>
      <w:r>
        <w:rPr>
          <w:bCs/>
          <w:lang w:val="ru-RU"/>
        </w:rPr>
        <w:t xml:space="preserve">Должность консультанта </w:t>
      </w:r>
      <w:r w:rsidRPr="0031472A">
        <w:rPr>
          <w:bCs/>
          <w:lang w:val="ru-RU"/>
        </w:rPr>
        <w:t>персонала МСЭ</w:t>
      </w:r>
    </w:p>
    <w:p w:rsidR="00C90D84" w:rsidRPr="0031472A" w:rsidRDefault="00C90D84" w:rsidP="00C90D84">
      <w:r w:rsidRPr="0031472A">
        <w:rPr>
          <w:lang w:val="ru-RU"/>
        </w:rPr>
        <w:t>После перерыва</w:t>
      </w:r>
      <w:r>
        <w:rPr>
          <w:lang w:val="ru-RU"/>
        </w:rPr>
        <w:t xml:space="preserve"> эта должность укомплектована сотрудником, работающим </w:t>
      </w:r>
      <w:r w:rsidRPr="0031472A">
        <w:rPr>
          <w:lang w:val="ru-RU"/>
        </w:rPr>
        <w:t>с 23 февраля 2017 г</w:t>
      </w:r>
      <w:r>
        <w:rPr>
          <w:lang w:val="ru-RU"/>
        </w:rPr>
        <w:t xml:space="preserve">ода на 0,5 </w:t>
      </w:r>
      <w:r w:rsidRPr="0031472A">
        <w:rPr>
          <w:lang w:val="ru-RU"/>
        </w:rPr>
        <w:t>ставки</w:t>
      </w:r>
      <w:r>
        <w:rPr>
          <w:lang w:val="ru-RU"/>
        </w:rPr>
        <w:t>, и совмещена с должностью в ВМО (0,3 ставки)</w:t>
      </w:r>
      <w:r w:rsidRPr="0031472A">
        <w:rPr>
          <w:lang w:val="ru-RU"/>
        </w:rPr>
        <w:t xml:space="preserve">, </w:t>
      </w:r>
      <w:r>
        <w:rPr>
          <w:lang w:val="ru-RU"/>
        </w:rPr>
        <w:t xml:space="preserve">что составляет </w:t>
      </w:r>
      <w:r w:rsidRPr="0031472A">
        <w:rPr>
          <w:lang w:val="ru-RU"/>
        </w:rPr>
        <w:t xml:space="preserve">в сумме </w:t>
      </w:r>
      <w:r>
        <w:rPr>
          <w:lang w:val="ru-RU"/>
        </w:rPr>
        <w:t xml:space="preserve">0,8 ставки </w:t>
      </w:r>
      <w:r w:rsidRPr="0031472A">
        <w:rPr>
          <w:lang w:val="ru-RU"/>
        </w:rPr>
        <w:t xml:space="preserve">для обоих учреждений. </w:t>
      </w:r>
    </w:p>
    <w:p w:rsidR="00C90D84" w:rsidRPr="0031472A" w:rsidRDefault="00C90D84" w:rsidP="00C90D84">
      <w:r w:rsidRPr="0031472A">
        <w:rPr>
          <w:lang w:val="ru-RU"/>
        </w:rPr>
        <w:t>Новые должностные обязанности консультанта сосредоточены на психофизическом состоянии персонала и обеспечении продуктивности команды путем предоставления психологической поддержки персоналу (и пенсионерам), сталкивающимся с трудностями в работе или личной жизни.</w:t>
      </w:r>
    </w:p>
    <w:p w:rsidR="00C90D84" w:rsidRPr="0031472A" w:rsidRDefault="00C90D84" w:rsidP="00C90D84">
      <w:r w:rsidRPr="0031472A">
        <w:rPr>
          <w:lang w:val="ru-RU"/>
        </w:rPr>
        <w:t xml:space="preserve">Еще одной новой функцией консультанта персонала является принятие мер в критических для персонала, сталкивающегося с неотложными серьезными ситуациями. Консультант персонала, психолог по образованию, призван помочь в разнообразных чрезвычайных ситуациях с самого начала. Он разрабатывает соответствующие планы оперативных мер, чтобы поддержать сотрудников и команды во взаимодействии с руководством. </w:t>
      </w:r>
    </w:p>
    <w:p w:rsidR="00C90D84" w:rsidRPr="0031472A" w:rsidRDefault="00C90D84" w:rsidP="00C90D84">
      <w:r w:rsidRPr="0031472A">
        <w:rPr>
          <w:lang w:val="ru-RU"/>
        </w:rPr>
        <w:t xml:space="preserve">Консультант персонала также оказывает социальные услуги, направляя сотрудников в местные службы, специализирующиеся на оказании требуемых услуг (таких как CAGI и компании по организации переезда, юридические консультации, органы местной власти). </w:t>
      </w:r>
    </w:p>
    <w:p w:rsidR="00C90D84" w:rsidRPr="0031472A" w:rsidRDefault="00C90D84" w:rsidP="00C90D84">
      <w:r w:rsidRPr="0031472A">
        <w:rPr>
          <w:lang w:val="ru-RU"/>
        </w:rPr>
        <w:t>Кабинет консультанта персонала регулярно посещается сотрудниками в течение 2,5 дней его еженедельной работы. Сотрудники обычно могут рассчитыва</w:t>
      </w:r>
      <w:r w:rsidR="00D0421F">
        <w:rPr>
          <w:lang w:val="ru-RU"/>
        </w:rPr>
        <w:t>ть на запись на прием через 1−2 </w:t>
      </w:r>
      <w:r w:rsidRPr="0031472A">
        <w:rPr>
          <w:lang w:val="ru-RU"/>
        </w:rPr>
        <w:t xml:space="preserve">недели. </w:t>
      </w:r>
    </w:p>
    <w:p w:rsidR="00C90D84" w:rsidRPr="0031472A" w:rsidRDefault="00C90D84" w:rsidP="00C90D84">
      <w:r w:rsidRPr="0031472A">
        <w:rPr>
          <w:lang w:val="ru-RU"/>
        </w:rPr>
        <w:t>Осведомленность о</w:t>
      </w:r>
      <w:r>
        <w:rPr>
          <w:lang w:val="ru-RU"/>
        </w:rPr>
        <w:t xml:space="preserve">б этой </w:t>
      </w:r>
      <w:r w:rsidRPr="0031472A">
        <w:rPr>
          <w:lang w:val="ru-RU"/>
        </w:rPr>
        <w:t>службе до сих пор обеспечивалась передачей информации из уст в уста, поскольку визуальные кампании не представлялись возможными из-за ограничений</w:t>
      </w:r>
      <w:r>
        <w:rPr>
          <w:lang w:val="ru-RU"/>
        </w:rPr>
        <w:t xml:space="preserve"> по времени</w:t>
      </w:r>
      <w:r w:rsidRPr="0031472A">
        <w:rPr>
          <w:lang w:val="ru-RU"/>
        </w:rPr>
        <w:t xml:space="preserve">. Большинство проблем, поднимаемых персоналом, относится к рабочей среде, в основном из-за межличностных разногласий, притеснения и конфликтов. </w:t>
      </w:r>
    </w:p>
    <w:p w:rsidR="00C90D84" w:rsidRPr="0031472A" w:rsidRDefault="00C90D84" w:rsidP="00C90D84">
      <w:r w:rsidRPr="0031472A">
        <w:rPr>
          <w:lang w:val="ru-RU"/>
        </w:rPr>
        <w:t xml:space="preserve">Ведение дел заинтересованных сторон, психологическое просвещение и психосоциальная поддержка консультанта персонала нацелены на предупреждение. Одним из важнейших приоритетов является сокращение долгосрочных больничных, связанных со стрессом на рабочем месте, и предоставление безопасного конфиденциального пространства, где сотрудники могут ознакомиться с альтернативами официальному порядку подачи жалоб. </w:t>
      </w:r>
    </w:p>
    <w:p w:rsidR="00C90D84" w:rsidRPr="0031472A" w:rsidRDefault="00C90D84" w:rsidP="00C90D84">
      <w:r w:rsidRPr="0031472A">
        <w:rPr>
          <w:lang w:val="ru-RU"/>
        </w:rPr>
        <w:t xml:space="preserve">Применен новый подход к сотрудникам </w:t>
      </w:r>
      <w:r>
        <w:rPr>
          <w:lang w:val="ru-RU"/>
        </w:rPr>
        <w:t xml:space="preserve">отделений </w:t>
      </w:r>
      <w:r w:rsidRPr="0031472A">
        <w:rPr>
          <w:lang w:val="ru-RU"/>
        </w:rPr>
        <w:t xml:space="preserve">на </w:t>
      </w:r>
      <w:r>
        <w:rPr>
          <w:lang w:val="ru-RU"/>
        </w:rPr>
        <w:t xml:space="preserve">местах </w:t>
      </w:r>
      <w:r w:rsidRPr="0031472A">
        <w:rPr>
          <w:lang w:val="ru-RU"/>
        </w:rPr>
        <w:t xml:space="preserve">– две инициативы были встречены сотрудниками с энтузиазмом: брифинги с главами региональных </w:t>
      </w:r>
      <w:r>
        <w:rPr>
          <w:lang w:val="ru-RU"/>
        </w:rPr>
        <w:t xml:space="preserve">отделений </w:t>
      </w:r>
      <w:r w:rsidRPr="0031472A">
        <w:rPr>
          <w:lang w:val="ru-RU"/>
        </w:rPr>
        <w:t xml:space="preserve">в Женеве и брифинги по Skype с региональной группой в Каире. В дальнейшем, по мере наличия средств, планируется увеличить количество брифингов и расширить поддержку в критических ситуациях. </w:t>
      </w:r>
    </w:p>
    <w:p w:rsidR="005A6AE6" w:rsidRPr="00672D15" w:rsidRDefault="00C90D84" w:rsidP="00C90D84">
      <w:pPr>
        <w:rPr>
          <w:lang w:val="ru-RU"/>
        </w:rPr>
      </w:pPr>
      <w:r w:rsidRPr="0031472A">
        <w:rPr>
          <w:lang w:val="ru-RU"/>
        </w:rPr>
        <w:t>Для создания благоприятной рабочей среды будут поощряться дальнейшие усилия по профилактике, в частности, наиболее распространенных проблем: межличностных разногласий – прежде всего посредством поддержки позитивного лидерства – и привлечения рабочей группы по предупреждению и предотвращению притеснений на рабочем месте</w:t>
      </w:r>
      <w:r w:rsidR="005A6AE6" w:rsidRPr="00672D15">
        <w:rPr>
          <w:lang w:val="ru-RU"/>
        </w:rPr>
        <w:t xml:space="preserve">. </w:t>
      </w:r>
    </w:p>
    <w:p w:rsidR="00207153" w:rsidRPr="00672D15" w:rsidRDefault="00207153" w:rsidP="00207153">
      <w:pPr>
        <w:overflowPunct/>
        <w:autoSpaceDE/>
        <w:autoSpaceDN/>
        <w:adjustRightInd/>
        <w:spacing w:before="840" w:line="276" w:lineRule="auto"/>
        <w:jc w:val="center"/>
        <w:textAlignment w:val="auto"/>
        <w:rPr>
          <w:rFonts w:asciiTheme="minorHAnsi" w:hAnsiTheme="minorHAnsi"/>
          <w:szCs w:val="22"/>
          <w:lang w:val="ru-RU"/>
        </w:rPr>
      </w:pPr>
      <w:r w:rsidRPr="00672D15">
        <w:rPr>
          <w:rFonts w:asciiTheme="minorHAnsi" w:hAnsiTheme="minorHAnsi"/>
          <w:szCs w:val="22"/>
          <w:lang w:val="ru-RU"/>
        </w:rPr>
        <w:t>______________</w:t>
      </w:r>
    </w:p>
    <w:sectPr w:rsidR="00207153" w:rsidRPr="00672D15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BA" w:rsidRDefault="009248BA">
      <w:r>
        <w:separator/>
      </w:r>
    </w:p>
  </w:endnote>
  <w:endnote w:type="continuationSeparator" w:id="0">
    <w:p w:rsidR="009248BA" w:rsidRDefault="0092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15" w:rsidRPr="003F099E" w:rsidRDefault="00D0421F" w:rsidP="00FA3B85">
    <w:pPr>
      <w:pStyle w:val="Footer"/>
      <w:rPr>
        <w:lang w:val="en-US"/>
      </w:rPr>
    </w:pPr>
    <w:fldSimple w:instr=" FILENAME \p  \* MERGEFORMAT ">
      <w:r w:rsidR="00672D15" w:rsidRPr="00115F15">
        <w:rPr>
          <w:lang w:val="en-US"/>
        </w:rPr>
        <w:t>Document6</w:t>
      </w:r>
    </w:fldSimple>
    <w:r w:rsidR="00672D15" w:rsidRPr="003F099E">
      <w:rPr>
        <w:lang w:val="en-US"/>
      </w:rPr>
      <w:t xml:space="preserve"> (</w:t>
    </w:r>
    <w:r w:rsidR="00672D15">
      <w:rPr>
        <w:lang w:val="ru-RU"/>
      </w:rPr>
      <w:t>425094</w:t>
    </w:r>
    <w:r w:rsidR="00672D15" w:rsidRPr="003F099E">
      <w:rPr>
        <w:lang w:val="en-US"/>
      </w:rPr>
      <w:t>)</w:t>
    </w:r>
    <w:r w:rsidR="00672D15" w:rsidRPr="003F099E">
      <w:rPr>
        <w:lang w:val="en-US"/>
      </w:rPr>
      <w:tab/>
    </w:r>
    <w:r w:rsidR="00672D15">
      <w:fldChar w:fldCharType="begin"/>
    </w:r>
    <w:r w:rsidR="00672D15">
      <w:instrText xml:space="preserve"> SAVEDATE \@ DD.MM.YY </w:instrText>
    </w:r>
    <w:r w:rsidR="00672D15">
      <w:fldChar w:fldCharType="separate"/>
    </w:r>
    <w:r w:rsidR="007C65CF">
      <w:t>21.03.18</w:t>
    </w:r>
    <w:r w:rsidR="00672D15">
      <w:fldChar w:fldCharType="end"/>
    </w:r>
    <w:r w:rsidR="00672D15" w:rsidRPr="003F099E">
      <w:rPr>
        <w:lang w:val="en-US"/>
      </w:rPr>
      <w:tab/>
    </w:r>
    <w:r w:rsidR="00672D15">
      <w:fldChar w:fldCharType="begin"/>
    </w:r>
    <w:r w:rsidR="00672D15">
      <w:instrText xml:space="preserve"> PRINTDATE \@ DD.MM.YY </w:instrText>
    </w:r>
    <w:r w:rsidR="00672D15">
      <w:fldChar w:fldCharType="separate"/>
    </w:r>
    <w:r w:rsidR="00672D15">
      <w:t>28.03.06</w:t>
    </w:r>
    <w:r w:rsidR="00672D1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15" w:rsidRDefault="00672D15" w:rsidP="00FA3B8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72D15" w:rsidRPr="003F099E" w:rsidRDefault="00D0421F" w:rsidP="00FA3B85">
    <w:pPr>
      <w:pStyle w:val="Footer"/>
      <w:rPr>
        <w:lang w:val="en-US"/>
      </w:rPr>
    </w:pPr>
    <w:fldSimple w:instr=" FILENAME \p  \* MERGEFORMAT ">
      <w:r w:rsidR="00672D15" w:rsidRPr="00115F15">
        <w:rPr>
          <w:lang w:val="en-US"/>
        </w:rPr>
        <w:t>Document6</w:t>
      </w:r>
    </w:fldSimple>
    <w:r w:rsidR="00672D15" w:rsidRPr="003F099E">
      <w:rPr>
        <w:lang w:val="en-US"/>
      </w:rPr>
      <w:t xml:space="preserve"> (</w:t>
    </w:r>
    <w:r w:rsidR="00672D15">
      <w:rPr>
        <w:lang w:val="ru-RU"/>
      </w:rPr>
      <w:t>425094</w:t>
    </w:r>
    <w:r w:rsidR="00672D15" w:rsidRPr="003F099E">
      <w:rPr>
        <w:lang w:val="en-US"/>
      </w:rPr>
      <w:t>)</w:t>
    </w:r>
    <w:r w:rsidR="00672D15" w:rsidRPr="003F099E">
      <w:rPr>
        <w:lang w:val="en-US"/>
      </w:rPr>
      <w:tab/>
    </w:r>
    <w:r w:rsidR="00672D15">
      <w:fldChar w:fldCharType="begin"/>
    </w:r>
    <w:r w:rsidR="00672D15">
      <w:instrText xml:space="preserve"> SAVEDATE \@ DD.MM.YY </w:instrText>
    </w:r>
    <w:r w:rsidR="00672D15">
      <w:fldChar w:fldCharType="separate"/>
    </w:r>
    <w:r w:rsidR="007C65CF">
      <w:t>21.03.18</w:t>
    </w:r>
    <w:r w:rsidR="00672D15">
      <w:fldChar w:fldCharType="end"/>
    </w:r>
    <w:r w:rsidR="00672D15" w:rsidRPr="003F099E">
      <w:rPr>
        <w:lang w:val="en-US"/>
      </w:rPr>
      <w:tab/>
    </w:r>
    <w:r w:rsidR="00672D15">
      <w:fldChar w:fldCharType="begin"/>
    </w:r>
    <w:r w:rsidR="00672D15">
      <w:instrText xml:space="preserve"> PRINTDATE \@ DD.MM.YY </w:instrText>
    </w:r>
    <w:r w:rsidR="00672D15">
      <w:fldChar w:fldCharType="separate"/>
    </w:r>
    <w:r w:rsidR="00672D15">
      <w:t>28.03.06</w:t>
    </w:r>
    <w:r w:rsidR="00672D1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BA" w:rsidRDefault="009248BA">
      <w:r>
        <w:t>____________________</w:t>
      </w:r>
    </w:p>
  </w:footnote>
  <w:footnote w:type="continuationSeparator" w:id="0">
    <w:p w:rsidR="009248BA" w:rsidRDefault="009248BA">
      <w:r>
        <w:continuationSeparator/>
      </w:r>
    </w:p>
  </w:footnote>
  <w:footnote w:id="1">
    <w:p w:rsidR="00B61F64" w:rsidRDefault="00B61F64" w:rsidP="00B61F64">
      <w:pPr>
        <w:pStyle w:val="FootnoteText"/>
        <w:jc w:val="both"/>
      </w:pPr>
      <w:r w:rsidRPr="00D0421F">
        <w:rPr>
          <w:rStyle w:val="FootnoteReference"/>
        </w:rPr>
        <w:footnoteRef/>
      </w:r>
      <w:r>
        <w:rPr>
          <w:rStyle w:val="a1"/>
        </w:rPr>
        <w:tab/>
      </w:r>
      <w:hyperlink r:id="rId1">
        <w:r w:rsidRPr="00262CA8">
          <w:rPr>
            <w:rStyle w:val="a0"/>
            <w:lang w:val="ru-RU"/>
          </w:rPr>
          <w:t>Общесистемная стратегия обеспечения равного соотношения мужчин и женщин</w:t>
        </w:r>
      </w:hyperlink>
      <w:r>
        <w:t>.</w:t>
      </w:r>
    </w:p>
  </w:footnote>
  <w:footnote w:id="2">
    <w:p w:rsidR="00FC42AE" w:rsidRDefault="00FC42AE" w:rsidP="00FC42AE">
      <w:pPr>
        <w:pStyle w:val="FootnoteText"/>
      </w:pPr>
      <w:r w:rsidRPr="00D0421F">
        <w:rPr>
          <w:rStyle w:val="FootnoteReference"/>
        </w:rPr>
        <w:footnoteRef/>
      </w:r>
      <w:r>
        <w:rPr>
          <w:rStyle w:val="a1"/>
        </w:rPr>
        <w:tab/>
      </w:r>
      <w:r>
        <w:t xml:space="preserve">C17/INF/16.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15" w:rsidRDefault="00672D1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C65CF">
      <w:rPr>
        <w:noProof/>
      </w:rPr>
      <w:t>13</w:t>
    </w:r>
    <w:r>
      <w:rPr>
        <w:noProof/>
      </w:rPr>
      <w:fldChar w:fldCharType="end"/>
    </w:r>
  </w:p>
  <w:p w:rsidR="00672D15" w:rsidRDefault="00672D15" w:rsidP="00FA3B85">
    <w:pPr>
      <w:pStyle w:val="Header"/>
    </w:pPr>
    <w:r>
      <w:t>C1</w:t>
    </w:r>
    <w:r>
      <w:rPr>
        <w:lang w:val="ru-RU"/>
      </w:rPr>
      <w:t>8</w:t>
    </w:r>
    <w:r>
      <w:t>/</w:t>
    </w:r>
    <w:r>
      <w:rPr>
        <w:lang w:val="ru-RU"/>
      </w:rPr>
      <w:t>24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C4890"/>
    <w:multiLevelType w:val="hybridMultilevel"/>
    <w:tmpl w:val="9490EBE0"/>
    <w:lvl w:ilvl="0" w:tplc="B2E80408">
      <w:start w:val="1"/>
      <w:numFmt w:val="bullet"/>
      <w:lvlText w:val=""/>
      <w:lvlJc w:val="left"/>
      <w:pPr>
        <w:ind w:left="3338" w:hanging="360"/>
      </w:pPr>
      <w:rPr>
        <w:rFonts w:ascii="Symbol" w:eastAsiaTheme="minorHAnsi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04DF19CD"/>
    <w:multiLevelType w:val="hybridMultilevel"/>
    <w:tmpl w:val="20665094"/>
    <w:lvl w:ilvl="0" w:tplc="35F45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137"/>
    <w:multiLevelType w:val="hybridMultilevel"/>
    <w:tmpl w:val="7E24CD8E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1528"/>
    <w:multiLevelType w:val="hybridMultilevel"/>
    <w:tmpl w:val="C7DE10FC"/>
    <w:lvl w:ilvl="0" w:tplc="70701924">
      <w:numFmt w:val="bullet"/>
      <w:lvlText w:val="•"/>
      <w:lvlJc w:val="left"/>
      <w:pPr>
        <w:ind w:left="1417" w:hanging="708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204FF1"/>
    <w:multiLevelType w:val="hybridMultilevel"/>
    <w:tmpl w:val="3EFEF6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51ABF"/>
    <w:multiLevelType w:val="hybridMultilevel"/>
    <w:tmpl w:val="AEB4AD9A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F4F761E"/>
    <w:multiLevelType w:val="hybridMultilevel"/>
    <w:tmpl w:val="CCFC53CC"/>
    <w:lvl w:ilvl="0" w:tplc="8B98D5E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0FC53660"/>
    <w:multiLevelType w:val="hybridMultilevel"/>
    <w:tmpl w:val="96CE0B6A"/>
    <w:lvl w:ilvl="0" w:tplc="6422E9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5BBF"/>
    <w:multiLevelType w:val="hybridMultilevel"/>
    <w:tmpl w:val="96D29CE4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94739"/>
    <w:multiLevelType w:val="hybridMultilevel"/>
    <w:tmpl w:val="04CA2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6670"/>
    <w:multiLevelType w:val="hybridMultilevel"/>
    <w:tmpl w:val="4FFE2282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B63BE"/>
    <w:multiLevelType w:val="hybridMultilevel"/>
    <w:tmpl w:val="B99AEF32"/>
    <w:lvl w:ilvl="0" w:tplc="9814A3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6B44"/>
    <w:multiLevelType w:val="hybridMultilevel"/>
    <w:tmpl w:val="D42AED50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5" w15:restartNumberingAfterBreak="0">
    <w:nsid w:val="285756AA"/>
    <w:multiLevelType w:val="hybridMultilevel"/>
    <w:tmpl w:val="0F44E3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94301B"/>
    <w:multiLevelType w:val="hybridMultilevel"/>
    <w:tmpl w:val="93709D46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C0B18"/>
    <w:multiLevelType w:val="hybridMultilevel"/>
    <w:tmpl w:val="CCEE59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57F53"/>
    <w:multiLevelType w:val="hybridMultilevel"/>
    <w:tmpl w:val="E1864FD4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6080309"/>
    <w:multiLevelType w:val="hybridMultilevel"/>
    <w:tmpl w:val="49CA294A"/>
    <w:lvl w:ilvl="0" w:tplc="C2F23D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5574C"/>
    <w:multiLevelType w:val="hybridMultilevel"/>
    <w:tmpl w:val="8F1A56D6"/>
    <w:lvl w:ilvl="0" w:tplc="96549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CA09E8"/>
    <w:multiLevelType w:val="hybridMultilevel"/>
    <w:tmpl w:val="8432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0786D"/>
    <w:multiLevelType w:val="hybridMultilevel"/>
    <w:tmpl w:val="9E70DD6A"/>
    <w:lvl w:ilvl="0" w:tplc="B9FC9F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3563"/>
    <w:multiLevelType w:val="hybridMultilevel"/>
    <w:tmpl w:val="AB740AAA"/>
    <w:lvl w:ilvl="0" w:tplc="73A030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6293D"/>
    <w:multiLevelType w:val="hybridMultilevel"/>
    <w:tmpl w:val="92E61006"/>
    <w:lvl w:ilvl="0" w:tplc="47BA26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1605A"/>
    <w:multiLevelType w:val="hybridMultilevel"/>
    <w:tmpl w:val="3DB6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617A1"/>
    <w:multiLevelType w:val="hybridMultilevel"/>
    <w:tmpl w:val="84E25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D4B16"/>
    <w:multiLevelType w:val="hybridMultilevel"/>
    <w:tmpl w:val="6750C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9EC354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1040"/>
    <w:multiLevelType w:val="hybridMultilevel"/>
    <w:tmpl w:val="33AE25D0"/>
    <w:lvl w:ilvl="0" w:tplc="34CC017C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16966"/>
    <w:multiLevelType w:val="multilevel"/>
    <w:tmpl w:val="80C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27F74"/>
    <w:multiLevelType w:val="hybridMultilevel"/>
    <w:tmpl w:val="8F5404C2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1D33368"/>
    <w:multiLevelType w:val="hybridMultilevel"/>
    <w:tmpl w:val="B018F43A"/>
    <w:lvl w:ilvl="0" w:tplc="04190017">
      <w:start w:val="1"/>
      <w:numFmt w:val="lowerLetter"/>
      <w:lvlText w:val="%1)"/>
      <w:lvlJc w:val="left"/>
      <w:pPr>
        <w:ind w:left="644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2C358C"/>
    <w:multiLevelType w:val="hybridMultilevel"/>
    <w:tmpl w:val="F7D0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60B5B"/>
    <w:multiLevelType w:val="hybridMultilevel"/>
    <w:tmpl w:val="31560E74"/>
    <w:lvl w:ilvl="0" w:tplc="D130A65E">
      <w:start w:val="1"/>
      <w:numFmt w:val="lowerLetter"/>
      <w:lvlText w:val="(%1)"/>
      <w:lvlJc w:val="left"/>
      <w:pPr>
        <w:ind w:left="644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9120E6"/>
    <w:multiLevelType w:val="hybridMultilevel"/>
    <w:tmpl w:val="8FF42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577AE"/>
    <w:multiLevelType w:val="hybridMultilevel"/>
    <w:tmpl w:val="2E6AF0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CB4784"/>
    <w:multiLevelType w:val="hybridMultilevel"/>
    <w:tmpl w:val="BABA26F8"/>
    <w:lvl w:ilvl="0" w:tplc="0B02AA66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91C15"/>
    <w:multiLevelType w:val="hybridMultilevel"/>
    <w:tmpl w:val="1548BE86"/>
    <w:lvl w:ilvl="0" w:tplc="309AEBD2">
      <w:start w:val="1"/>
      <w:numFmt w:val="bullet"/>
      <w:lvlText w:val=""/>
      <w:lvlJc w:val="left"/>
      <w:pPr>
        <w:ind w:left="1211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E8C216E"/>
    <w:multiLevelType w:val="hybridMultilevel"/>
    <w:tmpl w:val="261C4AF4"/>
    <w:lvl w:ilvl="0" w:tplc="E8689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9"/>
  </w:num>
  <w:num w:numId="5">
    <w:abstractNumId w:val="42"/>
  </w:num>
  <w:num w:numId="6">
    <w:abstractNumId w:val="28"/>
  </w:num>
  <w:num w:numId="7">
    <w:abstractNumId w:val="39"/>
  </w:num>
  <w:num w:numId="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3"/>
  </w:num>
  <w:num w:numId="11">
    <w:abstractNumId w:val="38"/>
  </w:num>
  <w:num w:numId="12">
    <w:abstractNumId w:val="31"/>
  </w:num>
  <w:num w:numId="13">
    <w:abstractNumId w:val="40"/>
  </w:num>
  <w:num w:numId="14">
    <w:abstractNumId w:val="14"/>
  </w:num>
  <w:num w:numId="15">
    <w:abstractNumId w:val="4"/>
  </w:num>
  <w:num w:numId="16">
    <w:abstractNumId w:val="17"/>
  </w:num>
  <w:num w:numId="17">
    <w:abstractNumId w:val="15"/>
  </w:num>
  <w:num w:numId="18">
    <w:abstractNumId w:val="41"/>
  </w:num>
  <w:num w:numId="19">
    <w:abstractNumId w:val="13"/>
  </w:num>
  <w:num w:numId="20">
    <w:abstractNumId w:val="2"/>
  </w:num>
  <w:num w:numId="21">
    <w:abstractNumId w:val="1"/>
  </w:num>
  <w:num w:numId="22">
    <w:abstractNumId w:val="36"/>
  </w:num>
  <w:num w:numId="23">
    <w:abstractNumId w:val="5"/>
  </w:num>
  <w:num w:numId="24">
    <w:abstractNumId w:val="9"/>
  </w:num>
  <w:num w:numId="25">
    <w:abstractNumId w:val="11"/>
  </w:num>
  <w:num w:numId="26">
    <w:abstractNumId w:val="7"/>
  </w:num>
  <w:num w:numId="27">
    <w:abstractNumId w:val="26"/>
  </w:num>
  <w:num w:numId="28">
    <w:abstractNumId w:val="32"/>
  </w:num>
  <w:num w:numId="29">
    <w:abstractNumId w:val="43"/>
  </w:num>
  <w:num w:numId="30">
    <w:abstractNumId w:val="10"/>
  </w:num>
  <w:num w:numId="31">
    <w:abstractNumId w:val="27"/>
  </w:num>
  <w:num w:numId="32">
    <w:abstractNumId w:val="22"/>
  </w:num>
  <w:num w:numId="33">
    <w:abstractNumId w:val="24"/>
  </w:num>
  <w:num w:numId="34">
    <w:abstractNumId w:val="44"/>
  </w:num>
  <w:num w:numId="35">
    <w:abstractNumId w:val="20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6"/>
  </w:num>
  <w:num w:numId="39">
    <w:abstractNumId w:val="18"/>
  </w:num>
  <w:num w:numId="40">
    <w:abstractNumId w:val="34"/>
  </w:num>
  <w:num w:numId="41">
    <w:abstractNumId w:val="6"/>
  </w:num>
  <w:num w:numId="42">
    <w:abstractNumId w:val="12"/>
  </w:num>
  <w:num w:numId="43">
    <w:abstractNumId w:val="3"/>
  </w:num>
  <w:num w:numId="44">
    <w:abstractNumId w:val="37"/>
  </w:num>
  <w:num w:numId="45">
    <w:abstractNumId w:val="3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1"/>
    <w:rsid w:val="0001466E"/>
    <w:rsid w:val="00020D2A"/>
    <w:rsid w:val="000210D4"/>
    <w:rsid w:val="00063016"/>
    <w:rsid w:val="00066795"/>
    <w:rsid w:val="00071250"/>
    <w:rsid w:val="00076AF6"/>
    <w:rsid w:val="00080DC6"/>
    <w:rsid w:val="000828D2"/>
    <w:rsid w:val="00085CF2"/>
    <w:rsid w:val="00086125"/>
    <w:rsid w:val="000A1C28"/>
    <w:rsid w:val="000B1705"/>
    <w:rsid w:val="000C0950"/>
    <w:rsid w:val="000D75B2"/>
    <w:rsid w:val="000F6468"/>
    <w:rsid w:val="001121F5"/>
    <w:rsid w:val="0011339A"/>
    <w:rsid w:val="001232DB"/>
    <w:rsid w:val="00137D1B"/>
    <w:rsid w:val="001400DC"/>
    <w:rsid w:val="00140CE1"/>
    <w:rsid w:val="0017539C"/>
    <w:rsid w:val="00175AC2"/>
    <w:rsid w:val="0017609F"/>
    <w:rsid w:val="0018465B"/>
    <w:rsid w:val="001A075D"/>
    <w:rsid w:val="001C628E"/>
    <w:rsid w:val="001D7F4B"/>
    <w:rsid w:val="001E0F7B"/>
    <w:rsid w:val="001E122C"/>
    <w:rsid w:val="001E2142"/>
    <w:rsid w:val="001E34EA"/>
    <w:rsid w:val="00202F7F"/>
    <w:rsid w:val="0020624F"/>
    <w:rsid w:val="00207153"/>
    <w:rsid w:val="002119FD"/>
    <w:rsid w:val="00211C6F"/>
    <w:rsid w:val="002130E0"/>
    <w:rsid w:val="00213C2A"/>
    <w:rsid w:val="002151DB"/>
    <w:rsid w:val="00220787"/>
    <w:rsid w:val="00230652"/>
    <w:rsid w:val="0023790F"/>
    <w:rsid w:val="00247289"/>
    <w:rsid w:val="00254956"/>
    <w:rsid w:val="00264425"/>
    <w:rsid w:val="00265875"/>
    <w:rsid w:val="0027303B"/>
    <w:rsid w:val="002746D9"/>
    <w:rsid w:val="0028109B"/>
    <w:rsid w:val="00284E9E"/>
    <w:rsid w:val="00292363"/>
    <w:rsid w:val="002937F9"/>
    <w:rsid w:val="00297B64"/>
    <w:rsid w:val="002A40C6"/>
    <w:rsid w:val="002B0211"/>
    <w:rsid w:val="002B1F58"/>
    <w:rsid w:val="002C0C4E"/>
    <w:rsid w:val="002C1C7A"/>
    <w:rsid w:val="002C67CB"/>
    <w:rsid w:val="002D3FC9"/>
    <w:rsid w:val="002D4080"/>
    <w:rsid w:val="002D4806"/>
    <w:rsid w:val="002E0CC9"/>
    <w:rsid w:val="0030160F"/>
    <w:rsid w:val="00302890"/>
    <w:rsid w:val="00322B2A"/>
    <w:rsid w:val="00322D0D"/>
    <w:rsid w:val="00335323"/>
    <w:rsid w:val="0033580C"/>
    <w:rsid w:val="00363182"/>
    <w:rsid w:val="00363E03"/>
    <w:rsid w:val="00380192"/>
    <w:rsid w:val="00383F18"/>
    <w:rsid w:val="003942D4"/>
    <w:rsid w:val="003958A8"/>
    <w:rsid w:val="003C2533"/>
    <w:rsid w:val="003C4E50"/>
    <w:rsid w:val="003F4CA3"/>
    <w:rsid w:val="003F646B"/>
    <w:rsid w:val="0040435A"/>
    <w:rsid w:val="00416A24"/>
    <w:rsid w:val="00431D9E"/>
    <w:rsid w:val="00433CE8"/>
    <w:rsid w:val="00434A5C"/>
    <w:rsid w:val="004544D9"/>
    <w:rsid w:val="00476D65"/>
    <w:rsid w:val="00490E72"/>
    <w:rsid w:val="00491157"/>
    <w:rsid w:val="004921C8"/>
    <w:rsid w:val="004A6350"/>
    <w:rsid w:val="004B460A"/>
    <w:rsid w:val="004C0CBE"/>
    <w:rsid w:val="004C188D"/>
    <w:rsid w:val="004D1851"/>
    <w:rsid w:val="004D599D"/>
    <w:rsid w:val="004D5FF1"/>
    <w:rsid w:val="004E2EA5"/>
    <w:rsid w:val="004E3AEB"/>
    <w:rsid w:val="004E7682"/>
    <w:rsid w:val="0050223C"/>
    <w:rsid w:val="005038A3"/>
    <w:rsid w:val="005243FF"/>
    <w:rsid w:val="00564FBC"/>
    <w:rsid w:val="00582442"/>
    <w:rsid w:val="005A480F"/>
    <w:rsid w:val="005A6AE6"/>
    <w:rsid w:val="005F03C0"/>
    <w:rsid w:val="005F5D52"/>
    <w:rsid w:val="00601664"/>
    <w:rsid w:val="00602B70"/>
    <w:rsid w:val="0060533B"/>
    <w:rsid w:val="00613C3F"/>
    <w:rsid w:val="00627061"/>
    <w:rsid w:val="006361BB"/>
    <w:rsid w:val="0064737F"/>
    <w:rsid w:val="006535F1"/>
    <w:rsid w:val="0065557D"/>
    <w:rsid w:val="00662984"/>
    <w:rsid w:val="006716BB"/>
    <w:rsid w:val="00672D15"/>
    <w:rsid w:val="0068072D"/>
    <w:rsid w:val="006B441C"/>
    <w:rsid w:val="006B6680"/>
    <w:rsid w:val="006B6DCC"/>
    <w:rsid w:val="006C50F4"/>
    <w:rsid w:val="00702DEF"/>
    <w:rsid w:val="00706861"/>
    <w:rsid w:val="00713385"/>
    <w:rsid w:val="00715277"/>
    <w:rsid w:val="0074276A"/>
    <w:rsid w:val="0075051B"/>
    <w:rsid w:val="00767919"/>
    <w:rsid w:val="00775406"/>
    <w:rsid w:val="00794D34"/>
    <w:rsid w:val="00796EC2"/>
    <w:rsid w:val="007C65CF"/>
    <w:rsid w:val="007D68E4"/>
    <w:rsid w:val="007F08B8"/>
    <w:rsid w:val="008046F6"/>
    <w:rsid w:val="008119C7"/>
    <w:rsid w:val="00813E5E"/>
    <w:rsid w:val="00820EE5"/>
    <w:rsid w:val="0083581B"/>
    <w:rsid w:val="00864AFF"/>
    <w:rsid w:val="008A388E"/>
    <w:rsid w:val="008A4F99"/>
    <w:rsid w:val="008B4A6A"/>
    <w:rsid w:val="008C7E27"/>
    <w:rsid w:val="009173EF"/>
    <w:rsid w:val="009248BA"/>
    <w:rsid w:val="00932906"/>
    <w:rsid w:val="00950885"/>
    <w:rsid w:val="00955AEB"/>
    <w:rsid w:val="00961B0B"/>
    <w:rsid w:val="009765C8"/>
    <w:rsid w:val="00992395"/>
    <w:rsid w:val="009A56D9"/>
    <w:rsid w:val="009B38C3"/>
    <w:rsid w:val="009C3268"/>
    <w:rsid w:val="009C7B53"/>
    <w:rsid w:val="009D4403"/>
    <w:rsid w:val="009E17BD"/>
    <w:rsid w:val="009E1E3A"/>
    <w:rsid w:val="009F73EA"/>
    <w:rsid w:val="00A04CEC"/>
    <w:rsid w:val="00A228F9"/>
    <w:rsid w:val="00A22F43"/>
    <w:rsid w:val="00A27957"/>
    <w:rsid w:val="00A27F92"/>
    <w:rsid w:val="00A32257"/>
    <w:rsid w:val="00A32765"/>
    <w:rsid w:val="00A328EF"/>
    <w:rsid w:val="00A34D71"/>
    <w:rsid w:val="00A35096"/>
    <w:rsid w:val="00A36D20"/>
    <w:rsid w:val="00A36D5A"/>
    <w:rsid w:val="00A4265D"/>
    <w:rsid w:val="00A55622"/>
    <w:rsid w:val="00A65B2D"/>
    <w:rsid w:val="00A74EEF"/>
    <w:rsid w:val="00A80925"/>
    <w:rsid w:val="00A83502"/>
    <w:rsid w:val="00A85BE0"/>
    <w:rsid w:val="00A9117B"/>
    <w:rsid w:val="00AC6253"/>
    <w:rsid w:val="00AC6CCE"/>
    <w:rsid w:val="00AD15B3"/>
    <w:rsid w:val="00AF6E49"/>
    <w:rsid w:val="00B04A67"/>
    <w:rsid w:val="00B0583C"/>
    <w:rsid w:val="00B407C9"/>
    <w:rsid w:val="00B40A81"/>
    <w:rsid w:val="00B44910"/>
    <w:rsid w:val="00B61F64"/>
    <w:rsid w:val="00B649A8"/>
    <w:rsid w:val="00B72267"/>
    <w:rsid w:val="00B7327D"/>
    <w:rsid w:val="00B76EB6"/>
    <w:rsid w:val="00B7737B"/>
    <w:rsid w:val="00B824C8"/>
    <w:rsid w:val="00B86B27"/>
    <w:rsid w:val="00B93C70"/>
    <w:rsid w:val="00B93D72"/>
    <w:rsid w:val="00BC0BC7"/>
    <w:rsid w:val="00BC251A"/>
    <w:rsid w:val="00BC42FE"/>
    <w:rsid w:val="00BD032B"/>
    <w:rsid w:val="00BD57BF"/>
    <w:rsid w:val="00BE2640"/>
    <w:rsid w:val="00BE3CE7"/>
    <w:rsid w:val="00BE59AF"/>
    <w:rsid w:val="00BE7676"/>
    <w:rsid w:val="00BF340A"/>
    <w:rsid w:val="00BF3EEE"/>
    <w:rsid w:val="00BF47B3"/>
    <w:rsid w:val="00BF552D"/>
    <w:rsid w:val="00C01189"/>
    <w:rsid w:val="00C048DD"/>
    <w:rsid w:val="00C177E1"/>
    <w:rsid w:val="00C374DE"/>
    <w:rsid w:val="00C42D47"/>
    <w:rsid w:val="00C43716"/>
    <w:rsid w:val="00C47AD4"/>
    <w:rsid w:val="00C51A34"/>
    <w:rsid w:val="00C52D18"/>
    <w:rsid w:val="00C52D81"/>
    <w:rsid w:val="00C55198"/>
    <w:rsid w:val="00C6284B"/>
    <w:rsid w:val="00C65C10"/>
    <w:rsid w:val="00C778AF"/>
    <w:rsid w:val="00C90D84"/>
    <w:rsid w:val="00C90E23"/>
    <w:rsid w:val="00C91A97"/>
    <w:rsid w:val="00C95DF4"/>
    <w:rsid w:val="00C96606"/>
    <w:rsid w:val="00CA6393"/>
    <w:rsid w:val="00CB18FF"/>
    <w:rsid w:val="00CD0C08"/>
    <w:rsid w:val="00CE03FB"/>
    <w:rsid w:val="00CE433C"/>
    <w:rsid w:val="00CE7A38"/>
    <w:rsid w:val="00CF33F3"/>
    <w:rsid w:val="00CF580C"/>
    <w:rsid w:val="00D0084B"/>
    <w:rsid w:val="00D0421F"/>
    <w:rsid w:val="00D05D20"/>
    <w:rsid w:val="00D06183"/>
    <w:rsid w:val="00D14D69"/>
    <w:rsid w:val="00D22C42"/>
    <w:rsid w:val="00D6119B"/>
    <w:rsid w:val="00D64A37"/>
    <w:rsid w:val="00D65041"/>
    <w:rsid w:val="00D67226"/>
    <w:rsid w:val="00D74593"/>
    <w:rsid w:val="00D950FE"/>
    <w:rsid w:val="00DA2119"/>
    <w:rsid w:val="00DB384B"/>
    <w:rsid w:val="00E043B8"/>
    <w:rsid w:val="00E06CF3"/>
    <w:rsid w:val="00E10E80"/>
    <w:rsid w:val="00E124F0"/>
    <w:rsid w:val="00E24822"/>
    <w:rsid w:val="00E37214"/>
    <w:rsid w:val="00E42222"/>
    <w:rsid w:val="00E60F04"/>
    <w:rsid w:val="00E64B2F"/>
    <w:rsid w:val="00E7032D"/>
    <w:rsid w:val="00E854E4"/>
    <w:rsid w:val="00E952F0"/>
    <w:rsid w:val="00EB0D6F"/>
    <w:rsid w:val="00EB2232"/>
    <w:rsid w:val="00EC5337"/>
    <w:rsid w:val="00F07D26"/>
    <w:rsid w:val="00F2150A"/>
    <w:rsid w:val="00F226E9"/>
    <w:rsid w:val="00F231D8"/>
    <w:rsid w:val="00F46C5F"/>
    <w:rsid w:val="00F46E80"/>
    <w:rsid w:val="00F74228"/>
    <w:rsid w:val="00F92FC7"/>
    <w:rsid w:val="00F94A63"/>
    <w:rsid w:val="00FA1C28"/>
    <w:rsid w:val="00FA3B85"/>
    <w:rsid w:val="00FB7596"/>
    <w:rsid w:val="00FC42AE"/>
    <w:rsid w:val="00FC4680"/>
    <w:rsid w:val="00FD43A3"/>
    <w:rsid w:val="00FE224F"/>
    <w:rsid w:val="00FE4077"/>
    <w:rsid w:val="00FE77D2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D38AB6F-4775-4061-A59F-D68B5258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A3B8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A3B8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A3B8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A3B8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A3B85"/>
    <w:pPr>
      <w:outlineLvl w:val="4"/>
    </w:pPr>
  </w:style>
  <w:style w:type="paragraph" w:styleId="Heading6">
    <w:name w:val="heading 6"/>
    <w:basedOn w:val="Heading4"/>
    <w:next w:val="Normal"/>
    <w:qFormat/>
    <w:rsid w:val="00FA3B85"/>
    <w:pPr>
      <w:outlineLvl w:val="5"/>
    </w:pPr>
  </w:style>
  <w:style w:type="paragraph" w:styleId="Heading7">
    <w:name w:val="heading 7"/>
    <w:basedOn w:val="Heading6"/>
    <w:next w:val="Normal"/>
    <w:qFormat/>
    <w:rsid w:val="00FA3B85"/>
    <w:pPr>
      <w:outlineLvl w:val="6"/>
    </w:pPr>
  </w:style>
  <w:style w:type="paragraph" w:styleId="Heading8">
    <w:name w:val="heading 8"/>
    <w:basedOn w:val="Heading6"/>
    <w:next w:val="Normal"/>
    <w:qFormat/>
    <w:rsid w:val="00FA3B85"/>
    <w:pPr>
      <w:outlineLvl w:val="7"/>
    </w:pPr>
  </w:style>
  <w:style w:type="paragraph" w:styleId="Heading9">
    <w:name w:val="heading 9"/>
    <w:basedOn w:val="Heading6"/>
    <w:next w:val="Normal"/>
    <w:qFormat/>
    <w:rsid w:val="00FA3B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A3B85"/>
  </w:style>
  <w:style w:type="paragraph" w:styleId="TOC4">
    <w:name w:val="toc 4"/>
    <w:basedOn w:val="TOC3"/>
    <w:rsid w:val="00FA3B85"/>
    <w:pPr>
      <w:spacing w:before="80"/>
    </w:pPr>
  </w:style>
  <w:style w:type="paragraph" w:styleId="TOC3">
    <w:name w:val="toc 3"/>
    <w:basedOn w:val="TOC2"/>
    <w:rsid w:val="00FA3B85"/>
  </w:style>
  <w:style w:type="paragraph" w:styleId="TOC2">
    <w:name w:val="toc 2"/>
    <w:basedOn w:val="TOC1"/>
    <w:rsid w:val="00FA3B85"/>
    <w:pPr>
      <w:spacing w:before="160"/>
    </w:pPr>
  </w:style>
  <w:style w:type="paragraph" w:styleId="TOC1">
    <w:name w:val="toc 1"/>
    <w:basedOn w:val="Normal"/>
    <w:rsid w:val="00FA3B8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A3B85"/>
  </w:style>
  <w:style w:type="paragraph" w:styleId="TOC6">
    <w:name w:val="toc 6"/>
    <w:basedOn w:val="TOC4"/>
    <w:rsid w:val="00FA3B85"/>
  </w:style>
  <w:style w:type="paragraph" w:styleId="TOC5">
    <w:name w:val="toc 5"/>
    <w:basedOn w:val="TOC4"/>
    <w:rsid w:val="00FA3B85"/>
  </w:style>
  <w:style w:type="paragraph" w:styleId="Index7">
    <w:name w:val="index 7"/>
    <w:basedOn w:val="Normal"/>
    <w:next w:val="Normal"/>
    <w:rsid w:val="00FA3B85"/>
    <w:pPr>
      <w:ind w:left="1698"/>
    </w:pPr>
  </w:style>
  <w:style w:type="paragraph" w:styleId="Index6">
    <w:name w:val="index 6"/>
    <w:basedOn w:val="Normal"/>
    <w:next w:val="Normal"/>
    <w:rsid w:val="00FA3B85"/>
    <w:pPr>
      <w:ind w:left="1415"/>
    </w:pPr>
  </w:style>
  <w:style w:type="paragraph" w:styleId="Index5">
    <w:name w:val="index 5"/>
    <w:basedOn w:val="Normal"/>
    <w:next w:val="Normal"/>
    <w:rsid w:val="00FA3B85"/>
    <w:pPr>
      <w:ind w:left="1132"/>
    </w:pPr>
  </w:style>
  <w:style w:type="paragraph" w:styleId="Index4">
    <w:name w:val="index 4"/>
    <w:basedOn w:val="Normal"/>
    <w:next w:val="Normal"/>
    <w:rsid w:val="00FA3B85"/>
    <w:pPr>
      <w:ind w:left="849"/>
    </w:pPr>
  </w:style>
  <w:style w:type="paragraph" w:styleId="Index3">
    <w:name w:val="index 3"/>
    <w:basedOn w:val="Normal"/>
    <w:next w:val="Normal"/>
    <w:rsid w:val="00FA3B85"/>
    <w:pPr>
      <w:ind w:left="566"/>
    </w:pPr>
  </w:style>
  <w:style w:type="paragraph" w:styleId="Index2">
    <w:name w:val="index 2"/>
    <w:basedOn w:val="Normal"/>
    <w:next w:val="Normal"/>
    <w:rsid w:val="00FA3B85"/>
    <w:pPr>
      <w:ind w:left="283"/>
    </w:pPr>
  </w:style>
  <w:style w:type="paragraph" w:styleId="Index1">
    <w:name w:val="index 1"/>
    <w:basedOn w:val="Normal"/>
    <w:next w:val="Normal"/>
    <w:rsid w:val="00FA3B85"/>
  </w:style>
  <w:style w:type="character" w:styleId="LineNumber">
    <w:name w:val="line number"/>
    <w:basedOn w:val="DefaultParagraphFont"/>
    <w:rsid w:val="00FA3B85"/>
  </w:style>
  <w:style w:type="paragraph" w:styleId="IndexHeading">
    <w:name w:val="index heading"/>
    <w:basedOn w:val="Normal"/>
    <w:next w:val="Index1"/>
    <w:rsid w:val="00FA3B85"/>
  </w:style>
  <w:style w:type="paragraph" w:styleId="Footer">
    <w:name w:val="footer"/>
    <w:basedOn w:val="Normal"/>
    <w:rsid w:val="00FA3B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A3B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A3B8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A3B8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A3B85"/>
    <w:pPr>
      <w:ind w:left="794"/>
    </w:pPr>
  </w:style>
  <w:style w:type="paragraph" w:customStyle="1" w:styleId="enumlev1">
    <w:name w:val="enumlev1"/>
    <w:basedOn w:val="Normal"/>
    <w:rsid w:val="00FA3B8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3B85"/>
    <w:pPr>
      <w:ind w:left="1191" w:hanging="397"/>
    </w:pPr>
  </w:style>
  <w:style w:type="paragraph" w:customStyle="1" w:styleId="enumlev3">
    <w:name w:val="enumlev3"/>
    <w:basedOn w:val="enumlev2"/>
    <w:rsid w:val="00FA3B85"/>
    <w:pPr>
      <w:ind w:left="1588"/>
    </w:pPr>
  </w:style>
  <w:style w:type="paragraph" w:customStyle="1" w:styleId="Normalaftertitle">
    <w:name w:val="Normal after title"/>
    <w:basedOn w:val="Normal"/>
    <w:next w:val="Normal"/>
    <w:rsid w:val="00FA3B85"/>
    <w:pPr>
      <w:spacing w:before="320"/>
    </w:pPr>
  </w:style>
  <w:style w:type="paragraph" w:customStyle="1" w:styleId="Equation">
    <w:name w:val="Equation"/>
    <w:basedOn w:val="Normal"/>
    <w:rsid w:val="00FA3B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A3B8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A3B8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A3B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A3B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FA3B8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A3B8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A3B8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A3B85"/>
  </w:style>
  <w:style w:type="paragraph" w:customStyle="1" w:styleId="Data">
    <w:name w:val="Data"/>
    <w:basedOn w:val="Subject"/>
    <w:next w:val="Subject"/>
    <w:rsid w:val="00FA3B85"/>
  </w:style>
  <w:style w:type="paragraph" w:customStyle="1" w:styleId="Reasons">
    <w:name w:val="Reasons"/>
    <w:basedOn w:val="Normal"/>
    <w:rsid w:val="00FA3B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A3B85"/>
    <w:rPr>
      <w:color w:val="0000FF"/>
      <w:u w:val="single"/>
    </w:rPr>
  </w:style>
  <w:style w:type="paragraph" w:customStyle="1" w:styleId="FirstFooter">
    <w:name w:val="FirstFooter"/>
    <w:basedOn w:val="Footer"/>
    <w:rsid w:val="00FA3B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A3B8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A3B85"/>
  </w:style>
  <w:style w:type="paragraph" w:customStyle="1" w:styleId="Headingb">
    <w:name w:val="Heading_b"/>
    <w:basedOn w:val="Heading3"/>
    <w:next w:val="Normal"/>
    <w:rsid w:val="00FA3B8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A3B8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A3B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A3B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A3B8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3B85"/>
    <w:rPr>
      <w:b/>
    </w:rPr>
  </w:style>
  <w:style w:type="paragraph" w:customStyle="1" w:styleId="dnum">
    <w:name w:val="dnum"/>
    <w:basedOn w:val="Normal"/>
    <w:rsid w:val="00FA3B8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A3B8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A3B8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A3B8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A3B8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A3B8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A3B85"/>
  </w:style>
  <w:style w:type="paragraph" w:customStyle="1" w:styleId="Appendixtitle">
    <w:name w:val="Appendix_title"/>
    <w:basedOn w:val="Annextitle"/>
    <w:next w:val="Appendixref"/>
    <w:rsid w:val="00FA3B85"/>
  </w:style>
  <w:style w:type="paragraph" w:customStyle="1" w:styleId="Appendixref">
    <w:name w:val="Appendix_ref"/>
    <w:basedOn w:val="Annexref"/>
    <w:next w:val="Normalaftertitle"/>
    <w:rsid w:val="00FA3B85"/>
  </w:style>
  <w:style w:type="paragraph" w:customStyle="1" w:styleId="Call">
    <w:name w:val="Call"/>
    <w:basedOn w:val="Normal"/>
    <w:next w:val="Normal"/>
    <w:rsid w:val="00FA3B85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FA3B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A3B8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A3B8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A3B8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A3B8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A3B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A3B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A3B8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A3B8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A3B8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A3B8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A3B85"/>
  </w:style>
  <w:style w:type="paragraph" w:customStyle="1" w:styleId="Parttitle">
    <w:name w:val="Part_title"/>
    <w:basedOn w:val="Annextitle"/>
    <w:next w:val="Partref"/>
    <w:rsid w:val="00FA3B85"/>
  </w:style>
  <w:style w:type="paragraph" w:customStyle="1" w:styleId="Partref">
    <w:name w:val="Part_ref"/>
    <w:basedOn w:val="Annexref"/>
    <w:next w:val="Normalaftertitle"/>
    <w:rsid w:val="00FA3B85"/>
  </w:style>
  <w:style w:type="paragraph" w:customStyle="1" w:styleId="RecNo">
    <w:name w:val="Rec_No"/>
    <w:basedOn w:val="Normal"/>
    <w:next w:val="Rectitle"/>
    <w:rsid w:val="00FA3B8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A3B8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A3B8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A3B8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A3B85"/>
  </w:style>
  <w:style w:type="paragraph" w:customStyle="1" w:styleId="QuestionNo">
    <w:name w:val="Question_No"/>
    <w:basedOn w:val="RecNo"/>
    <w:next w:val="Questiontitle"/>
    <w:rsid w:val="00FA3B85"/>
  </w:style>
  <w:style w:type="paragraph" w:customStyle="1" w:styleId="Questionref">
    <w:name w:val="Question_ref"/>
    <w:basedOn w:val="Recref"/>
    <w:next w:val="Questiondate"/>
    <w:rsid w:val="00FA3B85"/>
  </w:style>
  <w:style w:type="paragraph" w:customStyle="1" w:styleId="Questiontitle">
    <w:name w:val="Question_title"/>
    <w:basedOn w:val="Rectitle"/>
    <w:next w:val="Questionref"/>
    <w:rsid w:val="00FA3B85"/>
  </w:style>
  <w:style w:type="paragraph" w:customStyle="1" w:styleId="Reftext">
    <w:name w:val="Ref_text"/>
    <w:basedOn w:val="Normal"/>
    <w:rsid w:val="00FA3B85"/>
    <w:pPr>
      <w:ind w:left="794" w:hanging="794"/>
    </w:pPr>
  </w:style>
  <w:style w:type="paragraph" w:customStyle="1" w:styleId="Reftitle">
    <w:name w:val="Ref_title"/>
    <w:basedOn w:val="Normal"/>
    <w:next w:val="Reftext"/>
    <w:rsid w:val="00FA3B8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A3B85"/>
  </w:style>
  <w:style w:type="paragraph" w:customStyle="1" w:styleId="RepNo">
    <w:name w:val="Rep_No"/>
    <w:basedOn w:val="RecNo"/>
    <w:next w:val="Reptitle"/>
    <w:rsid w:val="00FA3B85"/>
  </w:style>
  <w:style w:type="paragraph" w:customStyle="1" w:styleId="Reptitle">
    <w:name w:val="Rep_title"/>
    <w:basedOn w:val="Rectitle"/>
    <w:next w:val="Repref"/>
    <w:rsid w:val="00FA3B85"/>
  </w:style>
  <w:style w:type="paragraph" w:customStyle="1" w:styleId="Repref">
    <w:name w:val="Rep_ref"/>
    <w:basedOn w:val="Recref"/>
    <w:next w:val="Repdate"/>
    <w:rsid w:val="00FA3B85"/>
  </w:style>
  <w:style w:type="paragraph" w:customStyle="1" w:styleId="Resdate">
    <w:name w:val="Res_date"/>
    <w:basedOn w:val="Recdate"/>
    <w:next w:val="Normalaftertitle"/>
    <w:rsid w:val="00FA3B85"/>
  </w:style>
  <w:style w:type="paragraph" w:customStyle="1" w:styleId="ResNo">
    <w:name w:val="Res_No"/>
    <w:basedOn w:val="RecNo"/>
    <w:next w:val="Restitle"/>
    <w:rsid w:val="00FA3B85"/>
  </w:style>
  <w:style w:type="paragraph" w:customStyle="1" w:styleId="Restitle">
    <w:name w:val="Res_title"/>
    <w:basedOn w:val="Rectitle"/>
    <w:next w:val="Resref"/>
    <w:rsid w:val="00FA3B85"/>
  </w:style>
  <w:style w:type="paragraph" w:customStyle="1" w:styleId="Resref">
    <w:name w:val="Res_ref"/>
    <w:basedOn w:val="Recref"/>
    <w:next w:val="Resdate"/>
    <w:rsid w:val="00FA3B85"/>
  </w:style>
  <w:style w:type="paragraph" w:customStyle="1" w:styleId="SectionNo">
    <w:name w:val="Section_No"/>
    <w:basedOn w:val="AnnexNo"/>
    <w:next w:val="Sectiontitle"/>
    <w:rsid w:val="00FA3B85"/>
  </w:style>
  <w:style w:type="paragraph" w:customStyle="1" w:styleId="Sectiontitle">
    <w:name w:val="Section_title"/>
    <w:basedOn w:val="Normal"/>
    <w:next w:val="Normalaftertitle"/>
    <w:rsid w:val="00FA3B85"/>
    <w:rPr>
      <w:sz w:val="26"/>
    </w:rPr>
  </w:style>
  <w:style w:type="paragraph" w:customStyle="1" w:styleId="SpecialFooter">
    <w:name w:val="Special Footer"/>
    <w:basedOn w:val="Footer"/>
    <w:rsid w:val="00FA3B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A3B8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A3B85"/>
    <w:pPr>
      <w:spacing w:before="120"/>
    </w:pPr>
  </w:style>
  <w:style w:type="paragraph" w:customStyle="1" w:styleId="Tableref">
    <w:name w:val="Table_ref"/>
    <w:basedOn w:val="Normal"/>
    <w:next w:val="Tabletitle"/>
    <w:rsid w:val="00FA3B8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A3B8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A3B8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A3B8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A3B85"/>
    <w:rPr>
      <w:b/>
    </w:rPr>
  </w:style>
  <w:style w:type="paragraph" w:customStyle="1" w:styleId="Chaptitle">
    <w:name w:val="Chap_title"/>
    <w:basedOn w:val="Arttitle"/>
    <w:next w:val="Normalaftertitle"/>
    <w:rsid w:val="00FA3B85"/>
  </w:style>
  <w:style w:type="paragraph" w:customStyle="1" w:styleId="Table">
    <w:name w:val="Table_#"/>
    <w:basedOn w:val="Normal"/>
    <w:next w:val="Normal"/>
    <w:rsid w:val="00A34D7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FA3B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FA3B85"/>
    <w:rPr>
      <w:vertAlign w:val="superscript"/>
    </w:rPr>
  </w:style>
  <w:style w:type="paragraph" w:styleId="BodyText2">
    <w:name w:val="Body Text 2"/>
    <w:basedOn w:val="Normal"/>
    <w:link w:val="BodyText2Char"/>
    <w:rsid w:val="00A34D71"/>
    <w:pPr>
      <w:widowControl w:val="0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34D71"/>
    <w:rPr>
      <w:rFonts w:ascii="Times New Roman" w:hAnsi="Times New Roman"/>
      <w:lang w:val="en-GB" w:eastAsia="en-US"/>
    </w:rPr>
  </w:style>
  <w:style w:type="paragraph" w:customStyle="1" w:styleId="ASN1">
    <w:name w:val="ASN.1"/>
    <w:basedOn w:val="Normal"/>
    <w:rsid w:val="00A34D71"/>
    <w:pPr>
      <w:tabs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A34D71"/>
    <w:pPr>
      <w:spacing w:before="360"/>
    </w:pPr>
    <w:rPr>
      <w:rFonts w:ascii="Times New Roman" w:hAnsi="Times New Roman"/>
    </w:rPr>
  </w:style>
  <w:style w:type="paragraph" w:customStyle="1" w:styleId="Formal">
    <w:name w:val="Formal"/>
    <w:basedOn w:val="ASN1"/>
    <w:rsid w:val="00A34D7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A34D71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rsid w:val="00A34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4D7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4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A34D71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4D7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34D71"/>
    <w:pPr>
      <w:ind w:left="720"/>
      <w:contextualSpacing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A34D71"/>
    <w:rPr>
      <w:i/>
      <w:iCs/>
    </w:rPr>
  </w:style>
  <w:style w:type="paragraph" w:customStyle="1" w:styleId="headfoot">
    <w:name w:val="head_foot"/>
    <w:basedOn w:val="Normal"/>
    <w:next w:val="Normalaftertitle"/>
    <w:rsid w:val="00A34D71"/>
    <w:pPr>
      <w:tabs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</w:rPr>
  </w:style>
  <w:style w:type="paragraph" w:styleId="NormalWeb">
    <w:name w:val="Normal (Web)"/>
    <w:basedOn w:val="Normal"/>
    <w:uiPriority w:val="99"/>
    <w:semiHidden/>
    <w:unhideWhenUsed/>
    <w:rsid w:val="00A34D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A34D71"/>
    <w:rPr>
      <w:b/>
      <w:bCs/>
    </w:rPr>
  </w:style>
  <w:style w:type="character" w:customStyle="1" w:styleId="apple-converted-space">
    <w:name w:val="apple-converted-space"/>
    <w:basedOn w:val="DefaultParagraphFont"/>
    <w:rsid w:val="00A34D71"/>
  </w:style>
  <w:style w:type="paragraph" w:customStyle="1" w:styleId="call0">
    <w:name w:val="call"/>
    <w:basedOn w:val="Normal"/>
    <w:next w:val="Normal"/>
    <w:rsid w:val="00A34D71"/>
    <w:pPr>
      <w:keepNext/>
      <w:keepLines/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character" w:customStyle="1" w:styleId="CEONormalChar">
    <w:name w:val="CEO_Normal Char"/>
    <w:basedOn w:val="DefaultParagraphFont"/>
    <w:link w:val="CEONormal"/>
    <w:locked/>
    <w:rsid w:val="00A34D71"/>
    <w:rPr>
      <w:rFonts w:ascii="Verdana" w:hAnsi="Verdana"/>
      <w:lang w:eastAsia="en-US"/>
    </w:rPr>
  </w:style>
  <w:style w:type="paragraph" w:customStyle="1" w:styleId="CEONormal">
    <w:name w:val="CEO_Normal"/>
    <w:basedOn w:val="Normal"/>
    <w:link w:val="CEONormalChar"/>
    <w:rsid w:val="00A34D71"/>
    <w:pPr>
      <w:overflowPunct/>
      <w:autoSpaceDE/>
      <w:autoSpaceDN/>
      <w:adjustRightInd/>
      <w:spacing w:after="120"/>
      <w:textAlignment w:val="auto"/>
    </w:pPr>
    <w:rPr>
      <w:rFonts w:ascii="Verdana" w:hAnsi="Verdana"/>
      <w:sz w:val="20"/>
      <w:lang w:val="en-US"/>
    </w:rPr>
  </w:style>
  <w:style w:type="character" w:customStyle="1" w:styleId="hps">
    <w:name w:val="hps"/>
    <w:basedOn w:val="DefaultParagraphFont"/>
    <w:rsid w:val="00A34D71"/>
  </w:style>
  <w:style w:type="character" w:styleId="CommentReference">
    <w:name w:val="annotation reference"/>
    <w:basedOn w:val="DefaultParagraphFont"/>
    <w:semiHidden/>
    <w:unhideWhenUsed/>
    <w:rsid w:val="00A34D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4D71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4D7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D7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34D71"/>
    <w:rPr>
      <w:rFonts w:ascii="Times New Roman" w:hAnsi="Times New Roman"/>
      <w:sz w:val="24"/>
      <w:lang w:val="en-GB" w:eastAsia="en-US"/>
    </w:rPr>
  </w:style>
  <w:style w:type="paragraph" w:customStyle="1" w:styleId="Rec">
    <w:name w:val="Rec_#"/>
    <w:basedOn w:val="Normal"/>
    <w:next w:val="Normal"/>
    <w:rsid w:val="00A34D71"/>
    <w:pPr>
      <w:keepNext/>
      <w:keepLines/>
      <w:spacing w:before="480"/>
      <w:ind w:left="714" w:hanging="357"/>
      <w:jc w:val="center"/>
    </w:pPr>
    <w:rPr>
      <w:caps/>
      <w:sz w:val="28"/>
    </w:rPr>
  </w:style>
  <w:style w:type="character" w:customStyle="1" w:styleId="FootnoteTextChar">
    <w:name w:val="Footnote Text Char"/>
    <w:link w:val="FootnoteText"/>
    <w:uiPriority w:val="99"/>
    <w:qFormat/>
    <w:rsid w:val="00A34D71"/>
    <w:rPr>
      <w:rFonts w:ascii="Calibri" w:hAnsi="Calibri"/>
      <w:lang w:val="en-GB" w:eastAsia="en-US"/>
    </w:rPr>
  </w:style>
  <w:style w:type="paragraph" w:customStyle="1" w:styleId="Pa18">
    <w:name w:val="Pa18"/>
    <w:basedOn w:val="Normal"/>
    <w:next w:val="Normal"/>
    <w:uiPriority w:val="99"/>
    <w:rsid w:val="00A34D71"/>
    <w:pPr>
      <w:overflowPunct/>
      <w:spacing w:before="0" w:line="181" w:lineRule="atLeast"/>
      <w:textAlignment w:val="auto"/>
    </w:pPr>
    <w:rPr>
      <w:rFonts w:ascii="Century Gothic" w:hAnsi="Century Gothic"/>
      <w:szCs w:val="24"/>
      <w:lang w:val="en-US" w:eastAsia="zh-CN"/>
    </w:rPr>
  </w:style>
  <w:style w:type="character" w:customStyle="1" w:styleId="A3">
    <w:name w:val="A3"/>
    <w:uiPriority w:val="99"/>
    <w:rsid w:val="00A34D71"/>
    <w:rPr>
      <w:rFonts w:cs="Century Gothic"/>
      <w:color w:val="221E1F"/>
      <w:sz w:val="18"/>
      <w:szCs w:val="18"/>
    </w:rPr>
  </w:style>
  <w:style w:type="character" w:customStyle="1" w:styleId="a">
    <w:name w:val="Прив'язка виноски"/>
    <w:rsid w:val="00B61F64"/>
    <w:rPr>
      <w:rFonts w:cs="Times New Roman"/>
      <w:sz w:val="16"/>
      <w:vertAlign w:val="superscript"/>
    </w:rPr>
  </w:style>
  <w:style w:type="character" w:customStyle="1" w:styleId="a0">
    <w:name w:val="Гіперпосилання"/>
    <w:basedOn w:val="DefaultParagraphFont"/>
    <w:uiPriority w:val="99"/>
    <w:rsid w:val="00B61F64"/>
    <w:rPr>
      <w:rFonts w:cs="Times New Roman"/>
      <w:color w:val="0000FF"/>
      <w:u w:val="single"/>
    </w:rPr>
  </w:style>
  <w:style w:type="character" w:customStyle="1" w:styleId="a1">
    <w:name w:val="Символи виноски"/>
    <w:qFormat/>
    <w:rsid w:val="00B6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05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INF-001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INF-00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-INF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int/sites/www.un.int/files/Permanent%20Missions/delegate/17-00102b_gender_strategy_report_13_sept_201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0D20-FF3E-4573-9CF0-4915C1FF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13</Pages>
  <Words>4927</Words>
  <Characters>34531</Characters>
  <Application>Microsoft Office Word</Application>
  <DocSecurity>4</DocSecurity>
  <Lines>287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Resolution 48</vt:lpstr>
      <vt:lpstr>Resolution 48</vt:lpstr>
    </vt:vector>
  </TitlesOfParts>
  <Manager>General Secretariat - Pool</Manager>
  <Company>International Telecommunication Union (ITU)</Company>
  <LinksUpToDate>false</LinksUpToDate>
  <CharactersWithSpaces>39380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48</dc:title>
  <dc:subject>Council 2017</dc:subject>
  <dc:creator>Brouard, Ricarda</dc:creator>
  <cp:keywords>C2018, C18</cp:keywords>
  <cp:lastModifiedBy>Janin</cp:lastModifiedBy>
  <cp:revision>2</cp:revision>
  <cp:lastPrinted>2017-05-05T07:35:00Z</cp:lastPrinted>
  <dcterms:created xsi:type="dcterms:W3CDTF">2018-03-23T07:42:00Z</dcterms:created>
  <dcterms:modified xsi:type="dcterms:W3CDTF">2018-03-23T07:42:00Z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