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3E733D" w:rsidRPr="00F47D8F">
        <w:trPr>
          <w:cantSplit/>
        </w:trPr>
        <w:tc>
          <w:tcPr>
            <w:tcW w:w="6912" w:type="dxa"/>
          </w:tcPr>
          <w:p w:rsidR="003E733D" w:rsidRPr="00F47D8F" w:rsidRDefault="003E733D" w:rsidP="003E733D">
            <w:pPr>
              <w:spacing w:before="360"/>
              <w:rPr>
                <w:szCs w:val="24"/>
              </w:rPr>
            </w:pPr>
            <w:bookmarkStart w:id="0" w:name="dc06"/>
            <w:bookmarkStart w:id="1" w:name="dbluepink" w:colFirst="0" w:colLast="0"/>
            <w:bookmarkEnd w:id="0"/>
            <w:r w:rsidRPr="00F47D8F">
              <w:rPr>
                <w:b/>
                <w:bCs/>
                <w:sz w:val="30"/>
                <w:szCs w:val="30"/>
              </w:rPr>
              <w:t>Consejo 201</w:t>
            </w:r>
            <w:r w:rsidR="00752B7E" w:rsidRPr="00F47D8F">
              <w:rPr>
                <w:b/>
                <w:bCs/>
                <w:sz w:val="30"/>
                <w:szCs w:val="30"/>
              </w:rPr>
              <w:t>8</w:t>
            </w:r>
            <w:r w:rsidRPr="00F47D8F">
              <w:rPr>
                <w:b/>
                <w:bCs/>
                <w:sz w:val="26"/>
                <w:szCs w:val="26"/>
              </w:rPr>
              <w:br/>
            </w:r>
            <w:r w:rsidR="00752B7E" w:rsidRPr="00F47D8F">
              <w:rPr>
                <w:b/>
                <w:bCs/>
                <w:szCs w:val="24"/>
              </w:rPr>
              <w:t>Última sesión,</w:t>
            </w:r>
            <w:r w:rsidR="00EB5D54">
              <w:rPr>
                <w:b/>
                <w:bCs/>
                <w:szCs w:val="24"/>
              </w:rPr>
              <w:t xml:space="preserve"> Dubái,</w:t>
            </w:r>
            <w:r w:rsidR="00752B7E" w:rsidRPr="00F47D8F">
              <w:rPr>
                <w:b/>
                <w:bCs/>
                <w:szCs w:val="24"/>
              </w:rPr>
              <w:t xml:space="preserve"> 27</w:t>
            </w:r>
            <w:r w:rsidRPr="00F47D8F">
              <w:rPr>
                <w:b/>
                <w:bCs/>
                <w:szCs w:val="24"/>
              </w:rPr>
              <w:t xml:space="preserve"> de octubre de 201</w:t>
            </w:r>
            <w:r w:rsidR="00752B7E" w:rsidRPr="00F47D8F">
              <w:rPr>
                <w:b/>
                <w:bCs/>
                <w:szCs w:val="24"/>
              </w:rPr>
              <w:t>8</w:t>
            </w:r>
          </w:p>
        </w:tc>
        <w:tc>
          <w:tcPr>
            <w:tcW w:w="3261" w:type="dxa"/>
          </w:tcPr>
          <w:p w:rsidR="003E733D" w:rsidRPr="00F47D8F" w:rsidRDefault="003E733D" w:rsidP="003E733D">
            <w:pPr>
              <w:spacing w:before="0"/>
              <w:rPr>
                <w:szCs w:val="24"/>
              </w:rPr>
            </w:pPr>
            <w:bookmarkStart w:id="2" w:name="ditulogo"/>
            <w:bookmarkEnd w:id="2"/>
            <w:r w:rsidRPr="00F47D8F">
              <w:rPr>
                <w:rFonts w:ascii="Verdana" w:hAnsi="Verdana"/>
                <w:b/>
                <w:bCs/>
                <w:noProof/>
                <w:szCs w:val="24"/>
                <w:lang w:val="en-GB" w:eastAsia="zh-CN"/>
              </w:rPr>
              <w:drawing>
                <wp:inline distT="0" distB="0" distL="0" distR="0">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3E733D" w:rsidRPr="00F47D8F">
        <w:trPr>
          <w:cantSplit/>
          <w:trHeight w:val="20"/>
        </w:trPr>
        <w:tc>
          <w:tcPr>
            <w:tcW w:w="10173" w:type="dxa"/>
            <w:gridSpan w:val="2"/>
            <w:tcBorders>
              <w:bottom w:val="single" w:sz="12" w:space="0" w:color="auto"/>
            </w:tcBorders>
          </w:tcPr>
          <w:p w:rsidR="003E733D" w:rsidRPr="00F47D8F" w:rsidRDefault="003E733D">
            <w:pPr>
              <w:spacing w:before="0"/>
              <w:rPr>
                <w:b/>
                <w:bCs/>
                <w:szCs w:val="24"/>
              </w:rPr>
            </w:pPr>
          </w:p>
        </w:tc>
      </w:tr>
      <w:tr w:rsidR="003E733D" w:rsidRPr="00F47D8F">
        <w:trPr>
          <w:cantSplit/>
          <w:trHeight w:val="20"/>
        </w:trPr>
        <w:tc>
          <w:tcPr>
            <w:tcW w:w="6912" w:type="dxa"/>
            <w:tcBorders>
              <w:top w:val="single" w:sz="12" w:space="0" w:color="auto"/>
            </w:tcBorders>
          </w:tcPr>
          <w:p w:rsidR="003E733D" w:rsidRPr="00F47D8F" w:rsidRDefault="003E733D">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3E733D" w:rsidRPr="00F47D8F" w:rsidRDefault="003E733D">
            <w:pPr>
              <w:spacing w:before="0"/>
              <w:rPr>
                <w:b/>
                <w:bCs/>
                <w:szCs w:val="24"/>
              </w:rPr>
            </w:pPr>
          </w:p>
        </w:tc>
      </w:tr>
      <w:tr w:rsidR="003E733D" w:rsidRPr="00F47D8F">
        <w:trPr>
          <w:cantSplit/>
          <w:trHeight w:val="20"/>
        </w:trPr>
        <w:tc>
          <w:tcPr>
            <w:tcW w:w="6912" w:type="dxa"/>
            <w:shd w:val="clear" w:color="auto" w:fill="auto"/>
          </w:tcPr>
          <w:p w:rsidR="003E733D" w:rsidRPr="00F47D8F" w:rsidRDefault="003E733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3E733D" w:rsidRPr="00F47D8F" w:rsidRDefault="008879CF" w:rsidP="003E733D">
            <w:pPr>
              <w:spacing w:before="0"/>
              <w:rPr>
                <w:b/>
                <w:bCs/>
                <w:szCs w:val="24"/>
              </w:rPr>
            </w:pPr>
            <w:r w:rsidRPr="00F47D8F">
              <w:rPr>
                <w:b/>
                <w:bCs/>
                <w:szCs w:val="24"/>
              </w:rPr>
              <w:t>Addéndum 1 al</w:t>
            </w:r>
            <w:r w:rsidRPr="00F47D8F">
              <w:rPr>
                <w:b/>
                <w:bCs/>
                <w:szCs w:val="24"/>
              </w:rPr>
              <w:br/>
            </w:r>
            <w:r w:rsidR="00752B7E" w:rsidRPr="00F47D8F">
              <w:rPr>
                <w:b/>
                <w:bCs/>
                <w:szCs w:val="24"/>
              </w:rPr>
              <w:t>Documento C18</w:t>
            </w:r>
            <w:r w:rsidR="003E733D" w:rsidRPr="00F47D8F">
              <w:rPr>
                <w:b/>
                <w:bCs/>
                <w:szCs w:val="24"/>
              </w:rPr>
              <w:t>/</w:t>
            </w:r>
            <w:r w:rsidR="00867A1E" w:rsidRPr="00F47D8F">
              <w:rPr>
                <w:b/>
                <w:bCs/>
                <w:szCs w:val="24"/>
              </w:rPr>
              <w:t>22</w:t>
            </w:r>
            <w:r w:rsidR="003E733D" w:rsidRPr="00F47D8F">
              <w:rPr>
                <w:b/>
                <w:bCs/>
                <w:szCs w:val="24"/>
              </w:rPr>
              <w:t>-S</w:t>
            </w:r>
          </w:p>
        </w:tc>
      </w:tr>
      <w:tr w:rsidR="003E733D" w:rsidRPr="00F47D8F">
        <w:trPr>
          <w:cantSplit/>
          <w:trHeight w:val="20"/>
        </w:trPr>
        <w:tc>
          <w:tcPr>
            <w:tcW w:w="6912" w:type="dxa"/>
            <w:shd w:val="clear" w:color="auto" w:fill="auto"/>
          </w:tcPr>
          <w:p w:rsidR="003E733D" w:rsidRPr="00F47D8F" w:rsidRDefault="003E733D">
            <w:pPr>
              <w:shd w:val="solid" w:color="FFFFFF" w:fill="FFFFFF"/>
              <w:spacing w:before="0"/>
              <w:rPr>
                <w:smallCaps/>
                <w:szCs w:val="24"/>
              </w:rPr>
            </w:pPr>
            <w:bookmarkStart w:id="5" w:name="ddate" w:colFirst="1" w:colLast="1"/>
            <w:bookmarkEnd w:id="3"/>
            <w:bookmarkEnd w:id="4"/>
          </w:p>
        </w:tc>
        <w:tc>
          <w:tcPr>
            <w:tcW w:w="3261" w:type="dxa"/>
          </w:tcPr>
          <w:p w:rsidR="003E733D" w:rsidRPr="00F47D8F" w:rsidRDefault="00752B7E" w:rsidP="00752B7E">
            <w:pPr>
              <w:spacing w:before="0"/>
              <w:rPr>
                <w:b/>
                <w:bCs/>
                <w:szCs w:val="24"/>
              </w:rPr>
            </w:pPr>
            <w:r w:rsidRPr="00F47D8F">
              <w:rPr>
                <w:b/>
                <w:bCs/>
                <w:szCs w:val="24"/>
              </w:rPr>
              <w:t>24</w:t>
            </w:r>
            <w:r w:rsidR="00867A1E" w:rsidRPr="00F47D8F">
              <w:rPr>
                <w:b/>
                <w:bCs/>
                <w:szCs w:val="24"/>
              </w:rPr>
              <w:t xml:space="preserve"> de </w:t>
            </w:r>
            <w:r w:rsidRPr="00F47D8F">
              <w:rPr>
                <w:b/>
                <w:bCs/>
                <w:szCs w:val="24"/>
              </w:rPr>
              <w:t>septiembre</w:t>
            </w:r>
            <w:r w:rsidR="00867A1E" w:rsidRPr="00F47D8F">
              <w:rPr>
                <w:b/>
                <w:bCs/>
                <w:szCs w:val="24"/>
              </w:rPr>
              <w:t xml:space="preserve"> de </w:t>
            </w:r>
            <w:r w:rsidR="003E733D" w:rsidRPr="00F47D8F">
              <w:rPr>
                <w:b/>
                <w:bCs/>
                <w:szCs w:val="24"/>
              </w:rPr>
              <w:t>2014</w:t>
            </w:r>
          </w:p>
        </w:tc>
      </w:tr>
      <w:tr w:rsidR="003E733D" w:rsidRPr="00F47D8F">
        <w:trPr>
          <w:cantSplit/>
          <w:trHeight w:val="20"/>
        </w:trPr>
        <w:tc>
          <w:tcPr>
            <w:tcW w:w="6912" w:type="dxa"/>
            <w:shd w:val="clear" w:color="auto" w:fill="auto"/>
          </w:tcPr>
          <w:p w:rsidR="003E733D" w:rsidRPr="00F47D8F" w:rsidRDefault="003E733D">
            <w:pPr>
              <w:shd w:val="solid" w:color="FFFFFF" w:fill="FFFFFF"/>
              <w:spacing w:before="0"/>
              <w:rPr>
                <w:smallCaps/>
                <w:szCs w:val="24"/>
              </w:rPr>
            </w:pPr>
            <w:bookmarkStart w:id="6" w:name="dorlang" w:colFirst="1" w:colLast="1"/>
            <w:bookmarkEnd w:id="5"/>
          </w:p>
        </w:tc>
        <w:tc>
          <w:tcPr>
            <w:tcW w:w="3261" w:type="dxa"/>
          </w:tcPr>
          <w:p w:rsidR="003E733D" w:rsidRPr="00F47D8F" w:rsidRDefault="003E733D" w:rsidP="003E733D">
            <w:pPr>
              <w:spacing w:before="0"/>
              <w:rPr>
                <w:b/>
                <w:bCs/>
                <w:szCs w:val="24"/>
              </w:rPr>
            </w:pPr>
            <w:r w:rsidRPr="00F47D8F">
              <w:rPr>
                <w:b/>
                <w:bCs/>
                <w:szCs w:val="24"/>
              </w:rPr>
              <w:t>Original: inglés</w:t>
            </w:r>
          </w:p>
        </w:tc>
      </w:tr>
      <w:tr w:rsidR="003E733D" w:rsidRPr="00F47D8F">
        <w:trPr>
          <w:cantSplit/>
        </w:trPr>
        <w:tc>
          <w:tcPr>
            <w:tcW w:w="10173" w:type="dxa"/>
            <w:gridSpan w:val="2"/>
          </w:tcPr>
          <w:p w:rsidR="003E733D" w:rsidRPr="00F47D8F" w:rsidRDefault="008879CF">
            <w:pPr>
              <w:pStyle w:val="Source"/>
            </w:pPr>
            <w:bookmarkStart w:id="7" w:name="dsource" w:colFirst="0" w:colLast="0"/>
            <w:bookmarkEnd w:id="1"/>
            <w:bookmarkEnd w:id="6"/>
            <w:r w:rsidRPr="00F47D8F">
              <w:t>Nota del Secretario General</w:t>
            </w:r>
          </w:p>
        </w:tc>
      </w:tr>
      <w:tr w:rsidR="003E733D" w:rsidRPr="00F47D8F">
        <w:trPr>
          <w:cantSplit/>
        </w:trPr>
        <w:tc>
          <w:tcPr>
            <w:tcW w:w="10173" w:type="dxa"/>
            <w:gridSpan w:val="2"/>
          </w:tcPr>
          <w:p w:rsidR="008879CF" w:rsidRPr="00F47D8F" w:rsidRDefault="008879CF" w:rsidP="00C63FA5">
            <w:pPr>
              <w:jc w:val="center"/>
              <w:rPr>
                <w:sz w:val="28"/>
                <w:szCs w:val="28"/>
              </w:rPr>
            </w:pPr>
            <w:bookmarkStart w:id="8" w:name="dtitle1" w:colFirst="0" w:colLast="0"/>
            <w:bookmarkEnd w:id="7"/>
          </w:p>
          <w:p w:rsidR="003E733D" w:rsidRPr="00F47D8F" w:rsidRDefault="00C63FA5" w:rsidP="00C63FA5">
            <w:pPr>
              <w:jc w:val="center"/>
              <w:rPr>
                <w:sz w:val="28"/>
                <w:szCs w:val="28"/>
              </w:rPr>
            </w:pPr>
            <w:r w:rsidRPr="00F47D8F">
              <w:rPr>
                <w:sz w:val="28"/>
                <w:szCs w:val="28"/>
              </w:rPr>
              <w:t>INFORME SUPLEMENTARIO DEL</w:t>
            </w:r>
            <w:r w:rsidRPr="00F47D8F">
              <w:rPr>
                <w:sz w:val="28"/>
                <w:szCs w:val="28"/>
              </w:rPr>
              <w:br/>
              <w:t>COMITÉ ASESOR INDEPENDIENTE SOBRE LA GESTIÓN (CAIG)</w:t>
            </w:r>
          </w:p>
          <w:p w:rsidR="008879CF" w:rsidRPr="00F47D8F" w:rsidRDefault="008879CF" w:rsidP="00C63FA5">
            <w:pPr>
              <w:jc w:val="center"/>
            </w:pPr>
          </w:p>
        </w:tc>
      </w:tr>
      <w:bookmarkEnd w:id="8"/>
    </w:tbl>
    <w:p w:rsidR="00C63FA5" w:rsidRPr="00F47D8F" w:rsidRDefault="00C63FA5" w:rsidP="00C63FA5">
      <w:pPr>
        <w:rPr>
          <w:lang w:eastAsia="zh-CN"/>
        </w:rPr>
      </w:pPr>
    </w:p>
    <w:p w:rsidR="00C63FA5" w:rsidRPr="00F47D8F" w:rsidRDefault="00752B7E" w:rsidP="00C63FA5">
      <w:pPr>
        <w:spacing w:before="480"/>
        <w:rPr>
          <w:b/>
          <w:lang w:eastAsia="zh-CN"/>
        </w:rPr>
      </w:pPr>
      <w:r w:rsidRPr="00F47D8F">
        <w:t xml:space="preserve">Tengo el honor de transmitir a los Estados Miembros del Consejo un Informe del Presidente del </w:t>
      </w:r>
      <w:r w:rsidRPr="00F47D8F">
        <w:rPr>
          <w:cs/>
        </w:rPr>
        <w:t>‎</w:t>
      </w:r>
      <w:r w:rsidRPr="00F47D8F">
        <w:t>Comité Asesor Independiente sobre la Gestión (CAIG).</w:t>
      </w:r>
    </w:p>
    <w:p w:rsidR="00C63FA5" w:rsidRPr="00F47D8F" w:rsidRDefault="00C63FA5" w:rsidP="00752B7E">
      <w:pPr>
        <w:tabs>
          <w:tab w:val="clear" w:pos="567"/>
          <w:tab w:val="clear" w:pos="1134"/>
          <w:tab w:val="clear" w:pos="1701"/>
          <w:tab w:val="clear" w:pos="2268"/>
          <w:tab w:val="clear" w:pos="2835"/>
          <w:tab w:val="center" w:pos="7088"/>
        </w:tabs>
        <w:spacing w:before="1200" w:after="840" w:line="276" w:lineRule="auto"/>
        <w:rPr>
          <w:rFonts w:asciiTheme="minorHAnsi" w:hAnsiTheme="minorHAnsi"/>
          <w:lang w:eastAsia="zh-CN"/>
        </w:rPr>
      </w:pPr>
      <w:r w:rsidRPr="00F47D8F">
        <w:rPr>
          <w:rFonts w:asciiTheme="minorHAnsi" w:hAnsiTheme="minorHAnsi"/>
          <w:lang w:eastAsia="zh-CN"/>
        </w:rPr>
        <w:tab/>
      </w:r>
      <w:r w:rsidR="00752B7E" w:rsidRPr="00F47D8F">
        <w:t>Houlin ZHAO</w:t>
      </w:r>
      <w:r w:rsidRPr="00F47D8F">
        <w:rPr>
          <w:rFonts w:asciiTheme="minorHAnsi" w:hAnsiTheme="minorHAnsi"/>
          <w:lang w:eastAsia="zh-CN"/>
        </w:rPr>
        <w:br/>
      </w:r>
      <w:r w:rsidRPr="00F47D8F">
        <w:rPr>
          <w:rFonts w:asciiTheme="minorHAnsi" w:hAnsiTheme="minorHAnsi"/>
          <w:lang w:eastAsia="zh-CN"/>
        </w:rPr>
        <w:tab/>
        <w:t>Secretario General</w:t>
      </w:r>
    </w:p>
    <w:p w:rsidR="00E3592D" w:rsidRPr="00F47D8F" w:rsidRDefault="00E3592D" w:rsidP="00E92DE8">
      <w:pPr>
        <w:rPr>
          <w:b/>
        </w:rPr>
      </w:pPr>
    </w:p>
    <w:p w:rsidR="00C63FA5" w:rsidRPr="00F47D8F" w:rsidRDefault="00C63FA5">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F47D8F">
        <w:rPr>
          <w:b/>
          <w:bCs/>
          <w:szCs w:val="24"/>
        </w:rPr>
        <w:br w:type="page"/>
      </w:r>
    </w:p>
    <w:p w:rsidR="00C63FA5" w:rsidRPr="00F47D8F" w:rsidRDefault="00C63FA5" w:rsidP="00C63FA5">
      <w:pPr>
        <w:jc w:val="center"/>
        <w:rPr>
          <w:rFonts w:asciiTheme="minorHAnsi" w:hAnsiTheme="minorHAnsi"/>
          <w:sz w:val="28"/>
        </w:rPr>
      </w:pPr>
      <w:r w:rsidRPr="00F47D8F">
        <w:rPr>
          <w:sz w:val="28"/>
          <w:szCs w:val="28"/>
        </w:rPr>
        <w:lastRenderedPageBreak/>
        <w:t>INFORME SUPLEMENTARIO DEL</w:t>
      </w:r>
      <w:r w:rsidRPr="00F47D8F">
        <w:rPr>
          <w:sz w:val="28"/>
          <w:szCs w:val="28"/>
        </w:rPr>
        <w:br/>
        <w:t>COMITÉ ASESOR INDEPENDIENTE SOBRE LA GESTIÓN (CAIG)</w:t>
      </w:r>
    </w:p>
    <w:p w:rsidR="00C63FA5" w:rsidRPr="00F47D8F" w:rsidRDefault="00C63FA5" w:rsidP="00C63FA5">
      <w:pPr>
        <w:spacing w:before="240"/>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1"/>
      </w:tblGrid>
      <w:tr w:rsidR="00C63FA5" w:rsidRPr="00F47D8F" w:rsidTr="002F107C">
        <w:trPr>
          <w:trHeight w:val="3372"/>
          <w:jc w:val="center"/>
        </w:trPr>
        <w:tc>
          <w:tcPr>
            <w:tcW w:w="8541" w:type="dxa"/>
            <w:tcBorders>
              <w:top w:val="single" w:sz="12" w:space="0" w:color="auto"/>
              <w:left w:val="single" w:sz="12" w:space="0" w:color="auto"/>
              <w:bottom w:val="single" w:sz="12" w:space="0" w:color="auto"/>
              <w:right w:val="single" w:sz="12" w:space="0" w:color="auto"/>
            </w:tcBorders>
          </w:tcPr>
          <w:p w:rsidR="00C63FA5" w:rsidRPr="00F47D8F" w:rsidRDefault="00C63FA5" w:rsidP="008879CF">
            <w:pPr>
              <w:pStyle w:val="Headingb"/>
            </w:pPr>
            <w:r w:rsidRPr="00F47D8F">
              <w:t>Resumen</w:t>
            </w:r>
          </w:p>
          <w:p w:rsidR="00752B7E" w:rsidRPr="00F47D8F" w:rsidRDefault="00752B7E" w:rsidP="00752B7E">
            <w:r w:rsidRPr="00F47D8F">
              <w:t>El presente documento, que constituye un suplemento al séptimo Informe Anual del CAIG, se somete a la consideración del Consejo de la UIT, en su última sesión de octubre de 2018,</w:t>
            </w:r>
            <w:r w:rsidR="00504204" w:rsidRPr="00F47D8F">
              <w:t xml:space="preserve"> </w:t>
            </w:r>
            <w:r w:rsidRPr="00F47D8F">
              <w:t>en cumplimiento del mandato específico del Comité de asesorar al Consejo sobre cuestiones relacionadas con los estados financieros de la UIT sometidos a auditoría y los informes elaborados por el Auditor Externo, así como facilitar y fundamentar el examen por el Consejo de los estados financieros y el informe de auditoría externa correspondientes al ejercicio 2017.</w:t>
            </w:r>
          </w:p>
          <w:p w:rsidR="00C63FA5" w:rsidRPr="00F47D8F" w:rsidRDefault="00752B7E" w:rsidP="00752B7E">
            <w:r w:rsidRPr="00F47D8F">
              <w:t>Este Informe suplementario también contiene comentarios y asesoramiento al Consejo sobre cuestiones que han surgido desde la finalización del séptimo Informe Anual del CAIG.</w:t>
            </w:r>
          </w:p>
          <w:p w:rsidR="00C63FA5" w:rsidRPr="00F47D8F" w:rsidRDefault="00C63FA5" w:rsidP="008879CF">
            <w:pPr>
              <w:pStyle w:val="Headingb"/>
            </w:pPr>
            <w:r w:rsidRPr="00F47D8F">
              <w:t>Acción solicitada</w:t>
            </w:r>
          </w:p>
          <w:p w:rsidR="00C63FA5" w:rsidRPr="00F47D8F" w:rsidRDefault="00752B7E" w:rsidP="00752B7E">
            <w:pPr>
              <w:rPr>
                <w:rFonts w:asciiTheme="minorHAnsi" w:hAnsiTheme="minorHAnsi"/>
                <w:sz w:val="22"/>
              </w:rPr>
            </w:pPr>
            <w:r w:rsidRPr="00F47D8F">
              <w:rPr>
                <w:lang w:bidi="en-US"/>
              </w:rPr>
              <w:t xml:space="preserve">Se invita al Consejo a que </w:t>
            </w:r>
            <w:r w:rsidRPr="00F47D8F">
              <w:rPr>
                <w:b/>
                <w:bCs/>
                <w:lang w:bidi="en-US"/>
              </w:rPr>
              <w:t>refrende</w:t>
            </w:r>
            <w:r w:rsidRPr="00F47D8F">
              <w:rPr>
                <w:i/>
                <w:iCs/>
                <w:lang w:bidi="en-US"/>
              </w:rPr>
              <w:t xml:space="preserve"> </w:t>
            </w:r>
            <w:r w:rsidRPr="00F47D8F">
              <w:rPr>
                <w:lang w:bidi="en-US"/>
              </w:rPr>
              <w:t>el Informe suplementario del CAIG.</w:t>
            </w:r>
          </w:p>
          <w:p w:rsidR="00C63FA5" w:rsidRPr="00F47D8F" w:rsidRDefault="00C63FA5" w:rsidP="002F107C">
            <w:pPr>
              <w:spacing w:after="120"/>
              <w:jc w:val="center"/>
              <w:rPr>
                <w:rFonts w:asciiTheme="minorHAnsi" w:hAnsiTheme="minorHAnsi"/>
                <w:caps/>
                <w:sz w:val="22"/>
              </w:rPr>
            </w:pPr>
            <w:r w:rsidRPr="00F47D8F">
              <w:rPr>
                <w:rFonts w:asciiTheme="minorHAnsi" w:hAnsiTheme="minorHAnsi"/>
                <w:caps/>
                <w:sz w:val="22"/>
              </w:rPr>
              <w:t>____________</w:t>
            </w:r>
          </w:p>
          <w:p w:rsidR="00C63FA5" w:rsidRPr="00F47D8F" w:rsidRDefault="00C63FA5" w:rsidP="008879CF">
            <w:pPr>
              <w:pStyle w:val="Headingb"/>
            </w:pPr>
            <w:r w:rsidRPr="00F47D8F">
              <w:t>Referencias</w:t>
            </w:r>
          </w:p>
          <w:p w:rsidR="00C63FA5" w:rsidRPr="00F47D8F" w:rsidRDefault="00752B7E" w:rsidP="008879CF">
            <w:pPr>
              <w:rPr>
                <w:rFonts w:asciiTheme="minorHAnsi" w:hAnsiTheme="minorHAnsi"/>
                <w:i/>
                <w:sz w:val="22"/>
              </w:rPr>
            </w:pPr>
            <w:r w:rsidRPr="00F47D8F">
              <w:rPr>
                <w:i/>
                <w:iCs/>
                <w:lang w:bidi="en-US"/>
              </w:rPr>
              <w:t xml:space="preserve">Documento </w:t>
            </w:r>
            <w:hyperlink r:id="rId8" w:history="1">
              <w:r w:rsidRPr="00F47D8F">
                <w:rPr>
                  <w:rStyle w:val="Hyperlink"/>
                  <w:i/>
                  <w:iCs/>
                  <w:lang w:bidi="en-US"/>
                </w:rPr>
                <w:t>C18/22</w:t>
              </w:r>
            </w:hyperlink>
            <w:r w:rsidRPr="00F47D8F">
              <w:rPr>
                <w:i/>
                <w:iCs/>
                <w:lang w:bidi="en-US"/>
              </w:rPr>
              <w:t>: Séptimo Informe Anual del CAIG al Consejo</w:t>
            </w:r>
            <w:r w:rsidRPr="00F47D8F">
              <w:rPr>
                <w:i/>
                <w:iCs/>
                <w:lang w:bidi="en-US"/>
              </w:rPr>
              <w:br/>
              <w:t xml:space="preserve">Documento </w:t>
            </w:r>
            <w:hyperlink r:id="rId9" w:history="1">
              <w:r w:rsidRPr="00F47D8F">
                <w:rPr>
                  <w:rStyle w:val="Hyperlink"/>
                  <w:i/>
                  <w:iCs/>
                  <w:lang w:bidi="en-US"/>
                </w:rPr>
                <w:t>C18/40</w:t>
              </w:r>
            </w:hyperlink>
            <w:r w:rsidRPr="00F47D8F">
              <w:rPr>
                <w:i/>
                <w:iCs/>
                <w:lang w:bidi="en-US"/>
              </w:rPr>
              <w:t>: Informe del Auditor Externo</w:t>
            </w:r>
            <w:r w:rsidRPr="00F47D8F">
              <w:rPr>
                <w:i/>
                <w:iCs/>
                <w:lang w:bidi="en-US"/>
              </w:rPr>
              <w:br/>
            </w:r>
            <w:hyperlink r:id="rId10" w:history="1">
              <w:r w:rsidRPr="00F47D8F">
                <w:rPr>
                  <w:rStyle w:val="Hyperlink"/>
                  <w:rFonts w:asciiTheme="minorHAnsi" w:hAnsiTheme="minorHAnsi"/>
                  <w:i/>
                  <w:iCs/>
                  <w:szCs w:val="24"/>
                </w:rPr>
                <w:t>Resolución 162</w:t>
              </w:r>
            </w:hyperlink>
            <w:r w:rsidR="00374DC7" w:rsidRPr="00F47D8F">
              <w:rPr>
                <w:rFonts w:asciiTheme="minorHAnsi" w:hAnsiTheme="minorHAnsi"/>
                <w:i/>
                <w:iCs/>
                <w:szCs w:val="24"/>
              </w:rPr>
              <w:t xml:space="preserve"> (Rev. Busá</w:t>
            </w:r>
            <w:r w:rsidRPr="00F47D8F">
              <w:rPr>
                <w:rFonts w:asciiTheme="minorHAnsi" w:hAnsiTheme="minorHAnsi"/>
                <w:i/>
                <w:iCs/>
                <w:szCs w:val="24"/>
              </w:rPr>
              <w:t>n, 2014)</w:t>
            </w:r>
          </w:p>
        </w:tc>
      </w:tr>
    </w:tbl>
    <w:p w:rsidR="00752B7E" w:rsidRPr="00F47D8F" w:rsidRDefault="00752B7E" w:rsidP="00752B7E">
      <w:pPr>
        <w:pStyle w:val="Heading1"/>
        <w:rPr>
          <w:rFonts w:eastAsia="SimSun"/>
          <w:lang w:eastAsia="en-GB" w:bidi="en-US"/>
        </w:rPr>
      </w:pPr>
      <w:bookmarkStart w:id="9" w:name="dstart"/>
      <w:bookmarkStart w:id="10" w:name="dbreak"/>
      <w:bookmarkEnd w:id="9"/>
      <w:bookmarkEnd w:id="10"/>
      <w:r w:rsidRPr="00F47D8F">
        <w:rPr>
          <w:rFonts w:eastAsia="SimSun"/>
          <w:lang w:eastAsia="en-GB" w:bidi="en-US"/>
        </w:rPr>
        <w:t>1</w:t>
      </w:r>
      <w:r w:rsidRPr="00F47D8F">
        <w:rPr>
          <w:rFonts w:eastAsia="SimSun"/>
          <w:lang w:eastAsia="en-GB" w:bidi="en-US"/>
        </w:rPr>
        <w:tab/>
        <w:t>Finalidad del presente addéndum</w:t>
      </w:r>
    </w:p>
    <w:p w:rsidR="00752B7E" w:rsidRPr="00F47D8F" w:rsidRDefault="00752B7E" w:rsidP="00752B7E">
      <w:pPr>
        <w:rPr>
          <w:rFonts w:eastAsia="SimSun"/>
          <w:lang w:eastAsia="en-GB" w:bidi="en-US"/>
        </w:rPr>
      </w:pPr>
      <w:r w:rsidRPr="00F47D8F">
        <w:rPr>
          <w:rFonts w:eastAsia="SimSun"/>
          <w:lang w:eastAsia="en-GB" w:bidi="en-US"/>
        </w:rPr>
        <w:t>1.1</w:t>
      </w:r>
      <w:r w:rsidRPr="00F47D8F">
        <w:rPr>
          <w:rFonts w:eastAsia="SimSun"/>
          <w:lang w:eastAsia="en-GB" w:bidi="en-US"/>
        </w:rPr>
        <w:tab/>
        <w:t>En su séptimo Informe Anual, el CAIG señaló que sus comentarios acerca del Informe de los Auditores Externos se recogerían en un addéndum al Informe del CAIG, tras proceder al examen del Informe de los Auditores Externos, una vez que lo recibiese.</w:t>
      </w:r>
    </w:p>
    <w:p w:rsidR="00752B7E" w:rsidRPr="00F47D8F" w:rsidRDefault="00752B7E" w:rsidP="00752B7E">
      <w:pPr>
        <w:rPr>
          <w:rFonts w:eastAsia="SimSun"/>
          <w:lang w:eastAsia="en-GB" w:bidi="en-US"/>
        </w:rPr>
      </w:pPr>
      <w:r w:rsidRPr="00F47D8F">
        <w:rPr>
          <w:rFonts w:eastAsia="SimSun"/>
          <w:lang w:eastAsia="en-GB" w:bidi="en-US"/>
        </w:rPr>
        <w:t>1.2</w:t>
      </w:r>
      <w:r w:rsidRPr="00F47D8F">
        <w:rPr>
          <w:rFonts w:eastAsia="SimSun"/>
          <w:lang w:eastAsia="en-GB" w:bidi="en-US"/>
        </w:rPr>
        <w:tab/>
        <w:t>Así pues, el presente addéndum al séptimo Informe Anual del CAIG tiene por objeto asesorar al Consejo sobre cuestiones clave que se desprenden del Informe de los Auditores Externos en relación con su verificación de los estados financieros de la UIT, así como facilitar y fundamentar el examen por el Consejo de los estados financieros y el Informe de auditoría externa correspondientes al ejercicio 2017.</w:t>
      </w:r>
    </w:p>
    <w:p w:rsidR="00752B7E" w:rsidRPr="00F47D8F" w:rsidRDefault="00752B7E" w:rsidP="00752B7E">
      <w:pPr>
        <w:rPr>
          <w:rFonts w:eastAsia="SimSun"/>
          <w:lang w:eastAsia="en-GB" w:bidi="en-US"/>
        </w:rPr>
      </w:pPr>
      <w:r w:rsidRPr="00F47D8F">
        <w:rPr>
          <w:rFonts w:eastAsia="SimSun"/>
          <w:lang w:eastAsia="en-GB" w:bidi="en-US"/>
        </w:rPr>
        <w:t>1.3</w:t>
      </w:r>
      <w:r w:rsidRPr="00F47D8F">
        <w:rPr>
          <w:rFonts w:eastAsia="SimSun"/>
          <w:lang w:eastAsia="en-GB" w:bidi="en-US"/>
        </w:rPr>
        <w:tab/>
        <w:t xml:space="preserve">El presente Informe suplementario también ofrece comentarios y asesoramiento adicionales al Consejo sobre: </w:t>
      </w:r>
    </w:p>
    <w:p w:rsidR="00752B7E" w:rsidRPr="00F47D8F" w:rsidRDefault="00752B7E" w:rsidP="00374DC7">
      <w:pPr>
        <w:pStyle w:val="enumlev1"/>
        <w:rPr>
          <w:rFonts w:eastAsia="SimSun"/>
        </w:rPr>
      </w:pPr>
      <w:r w:rsidRPr="00F47D8F">
        <w:rPr>
          <w:rFonts w:eastAsia="SimSun"/>
          <w:lang w:eastAsia="en-GB" w:bidi="en-US"/>
        </w:rPr>
        <w:t>i)</w:t>
      </w:r>
      <w:r w:rsidRPr="00F47D8F">
        <w:rPr>
          <w:rFonts w:eastAsia="SimSun"/>
          <w:lang w:eastAsia="en-GB" w:bidi="en-US"/>
        </w:rPr>
        <w:tab/>
        <w:t xml:space="preserve">El proyecto de </w:t>
      </w:r>
      <w:r w:rsidRPr="00F47D8F">
        <w:rPr>
          <w:rFonts w:eastAsia="SimSun"/>
        </w:rPr>
        <w:t>construcción de la Sede de la UIT</w:t>
      </w:r>
      <w:r w:rsidR="00E95142" w:rsidRPr="00F47D8F">
        <w:rPr>
          <w:rFonts w:eastAsia="SimSun"/>
        </w:rPr>
        <w:t>.</w:t>
      </w:r>
    </w:p>
    <w:p w:rsidR="00752B7E" w:rsidRPr="00F47D8F" w:rsidRDefault="00752B7E" w:rsidP="00374DC7">
      <w:pPr>
        <w:pStyle w:val="enumlev1"/>
        <w:rPr>
          <w:rFonts w:eastAsia="SimSun"/>
          <w:lang w:eastAsia="en-GB" w:bidi="en-US"/>
        </w:rPr>
      </w:pPr>
      <w:r w:rsidRPr="00F47D8F">
        <w:rPr>
          <w:rFonts w:eastAsia="SimSun"/>
        </w:rPr>
        <w:t>ii)</w:t>
      </w:r>
      <w:r w:rsidRPr="00F47D8F">
        <w:rPr>
          <w:rFonts w:eastAsia="SimSun"/>
        </w:rPr>
        <w:tab/>
        <w:t>Las sospechas de</w:t>
      </w:r>
      <w:r w:rsidRPr="00F47D8F">
        <w:rPr>
          <w:rFonts w:eastAsia="SimSun"/>
          <w:lang w:eastAsia="en-GB" w:bidi="en-US"/>
        </w:rPr>
        <w:t xml:space="preserve"> actividades fraudulentas en una Oficina Regional.</w:t>
      </w:r>
    </w:p>
    <w:p w:rsidR="00752B7E" w:rsidRPr="00F47D8F" w:rsidRDefault="00E83A42" w:rsidP="00E83A42">
      <w:pPr>
        <w:pStyle w:val="Heading1"/>
        <w:rPr>
          <w:rFonts w:eastAsia="SimSun"/>
          <w:lang w:eastAsia="en-GB" w:bidi="en-US"/>
        </w:rPr>
      </w:pPr>
      <w:r w:rsidRPr="00F47D8F">
        <w:rPr>
          <w:rFonts w:eastAsia="SimSun"/>
          <w:lang w:eastAsia="en-GB" w:bidi="en-US"/>
        </w:rPr>
        <w:lastRenderedPageBreak/>
        <w:t>2</w:t>
      </w:r>
      <w:r w:rsidRPr="00F47D8F">
        <w:rPr>
          <w:rFonts w:eastAsia="SimSun"/>
          <w:lang w:eastAsia="en-GB" w:bidi="en-US"/>
        </w:rPr>
        <w:tab/>
      </w:r>
      <w:r w:rsidR="00752B7E" w:rsidRPr="00F47D8F">
        <w:rPr>
          <w:rFonts w:eastAsia="SimSun"/>
          <w:lang w:eastAsia="en-GB" w:bidi="en-US"/>
        </w:rPr>
        <w:t>Informe de los Auditores Externos correspondiente al ejercicio 2017: dictamen de auditoría sin reservas</w:t>
      </w:r>
    </w:p>
    <w:p w:rsidR="00752B7E" w:rsidRPr="00F47D8F" w:rsidRDefault="00E83A42" w:rsidP="00E83A42">
      <w:pPr>
        <w:rPr>
          <w:rFonts w:eastAsia="SimSun"/>
          <w:lang w:eastAsia="en-GB" w:bidi="en-US"/>
        </w:rPr>
      </w:pPr>
      <w:r w:rsidRPr="00F47D8F">
        <w:rPr>
          <w:rFonts w:eastAsia="SimSun"/>
          <w:lang w:eastAsia="en-GB" w:bidi="en-US"/>
        </w:rPr>
        <w:t>2.1</w:t>
      </w:r>
      <w:r w:rsidRPr="00F47D8F">
        <w:rPr>
          <w:rFonts w:eastAsia="SimSun"/>
          <w:lang w:eastAsia="en-GB" w:bidi="en-US"/>
        </w:rPr>
        <w:tab/>
      </w:r>
      <w:r w:rsidR="00752B7E" w:rsidRPr="00F47D8F">
        <w:rPr>
          <w:rFonts w:eastAsia="SimSun"/>
          <w:lang w:eastAsia="en-GB" w:bidi="en-US"/>
        </w:rPr>
        <w:t>Los Auditores Externos han emitido una vez más un dictamen de auditoría sin reservas sobre los estados financieros de la UIT para 2017, con un párrafo de énfasis sobre la situación financiera de la Organización, que registra un importe de activos netos negativos de -482</w:t>
      </w:r>
      <w:r w:rsidR="00F47D8F" w:rsidRPr="00F47D8F">
        <w:rPr>
          <w:rFonts w:eastAsia="SimSun"/>
          <w:lang w:eastAsia="en-GB" w:bidi="en-US"/>
        </w:rPr>
        <w:t> </w:t>
      </w:r>
      <w:r w:rsidR="00752B7E" w:rsidRPr="00F47D8F">
        <w:rPr>
          <w:rFonts w:eastAsia="SimSun"/>
          <w:lang w:eastAsia="en-GB" w:bidi="en-US"/>
        </w:rPr>
        <w:t>524 millones CHF, frente a</w:t>
      </w:r>
      <w:r w:rsidR="00F47D8F" w:rsidRPr="00F47D8F">
        <w:rPr>
          <w:rFonts w:eastAsia="SimSun"/>
          <w:lang w:eastAsia="en-GB" w:bidi="en-US"/>
        </w:rPr>
        <w:t xml:space="preserve"> -419 </w:t>
      </w:r>
      <w:r w:rsidR="00752B7E" w:rsidRPr="00F47D8F">
        <w:rPr>
          <w:rFonts w:eastAsia="SimSun"/>
          <w:lang w:eastAsia="en-GB" w:bidi="en-US"/>
        </w:rPr>
        <w:t>155 CHF en 2016, en razón, esencialmente, al pasivo actuarial relacionado con las prestaciones del personal a largo plazo. Si bien el énfasis en esta cuestión no altera el dictamen emitido, los Auditores Externos consideran importante señalarla a la atención de los que han de utilizar los estados financieros, al considerarla fundamental para la comprensión de los mismos. En el Informe detallado de los Auditores Externos se ofrece un análisis útil y completo de la situación financiera y comprende diez (10) recomendaciones y una (1) sugerencia de medida en materia de gestión.</w:t>
      </w:r>
    </w:p>
    <w:p w:rsidR="00752B7E" w:rsidRPr="00F47D8F" w:rsidRDefault="00E83A42" w:rsidP="00E83A42">
      <w:pPr>
        <w:rPr>
          <w:rFonts w:eastAsia="SimSun"/>
          <w:lang w:eastAsia="en-GB" w:bidi="en-US"/>
        </w:rPr>
      </w:pPr>
      <w:r w:rsidRPr="00F47D8F">
        <w:rPr>
          <w:rFonts w:eastAsia="SimSun"/>
          <w:lang w:eastAsia="en-GB" w:bidi="en-US"/>
        </w:rPr>
        <w:t>2.2</w:t>
      </w:r>
      <w:r w:rsidRPr="00F47D8F">
        <w:rPr>
          <w:rFonts w:eastAsia="SimSun"/>
          <w:lang w:eastAsia="en-GB" w:bidi="en-US"/>
        </w:rPr>
        <w:tab/>
      </w:r>
      <w:r w:rsidR="00752B7E" w:rsidRPr="00F47D8F">
        <w:rPr>
          <w:rFonts w:eastAsia="SimSun"/>
          <w:lang w:eastAsia="en-GB" w:bidi="en-US"/>
        </w:rPr>
        <w:t>El Informe llama la atención sobre una serie de esferas en las que es necesario emprender mejoras importantes con carácter prioritario.</w:t>
      </w:r>
    </w:p>
    <w:p w:rsidR="00752B7E" w:rsidRPr="00F47D8F" w:rsidRDefault="00E83A42" w:rsidP="00E83A42">
      <w:pPr>
        <w:pStyle w:val="Heading1"/>
        <w:rPr>
          <w:rFonts w:eastAsia="SimSun"/>
          <w:lang w:eastAsia="en-GB" w:bidi="en-US"/>
        </w:rPr>
      </w:pPr>
      <w:r w:rsidRPr="00F47D8F">
        <w:rPr>
          <w:rFonts w:eastAsia="SimSun"/>
          <w:lang w:eastAsia="en-GB" w:bidi="en-US"/>
        </w:rPr>
        <w:t>3</w:t>
      </w:r>
      <w:r w:rsidRPr="00F47D8F">
        <w:rPr>
          <w:rFonts w:eastAsia="SimSun"/>
          <w:lang w:eastAsia="en-GB" w:bidi="en-US"/>
        </w:rPr>
        <w:tab/>
      </w:r>
      <w:r w:rsidR="00752B7E" w:rsidRPr="00F47D8F">
        <w:rPr>
          <w:rFonts w:eastAsia="SimSun"/>
          <w:lang w:eastAsia="en-GB" w:bidi="en-US"/>
        </w:rPr>
        <w:t xml:space="preserve">Recomendaciones y sugerencias de los Auditores Externos </w:t>
      </w:r>
    </w:p>
    <w:p w:rsidR="00752B7E" w:rsidRPr="00F47D8F" w:rsidRDefault="00E83A42" w:rsidP="00E83A42">
      <w:pPr>
        <w:rPr>
          <w:rFonts w:eastAsia="SimSun"/>
          <w:lang w:eastAsia="en-GB" w:bidi="en-US"/>
        </w:rPr>
      </w:pPr>
      <w:r w:rsidRPr="00F47D8F">
        <w:rPr>
          <w:rFonts w:eastAsia="SimSun"/>
          <w:lang w:eastAsia="en-GB" w:bidi="en-US"/>
        </w:rPr>
        <w:t>3.1</w:t>
      </w:r>
      <w:r w:rsidRPr="00F47D8F">
        <w:rPr>
          <w:rFonts w:eastAsia="SimSun"/>
          <w:lang w:eastAsia="en-GB" w:bidi="en-US"/>
        </w:rPr>
        <w:tab/>
      </w:r>
      <w:r w:rsidR="00752B7E" w:rsidRPr="00F47D8F">
        <w:rPr>
          <w:rFonts w:eastAsia="SimSun"/>
          <w:lang w:eastAsia="en-GB" w:bidi="en-US"/>
        </w:rPr>
        <w:t>Los Auditores Externos formularon las recomendaciones siguientes:</w:t>
      </w:r>
    </w:p>
    <w:p w:rsidR="00752B7E" w:rsidRPr="00F47D8F" w:rsidRDefault="00E83A42" w:rsidP="00E83A42">
      <w:pPr>
        <w:pStyle w:val="enumlev1"/>
        <w:rPr>
          <w:rFonts w:eastAsia="SimSun"/>
          <w:lang w:eastAsia="en-GB" w:bidi="en-US"/>
        </w:rPr>
      </w:pPr>
      <w:r w:rsidRPr="00F47D8F">
        <w:rPr>
          <w:rFonts w:eastAsia="SimSun"/>
          <w:lang w:eastAsia="en-GB" w:bidi="en-US"/>
        </w:rPr>
        <w:t>•</w:t>
      </w:r>
      <w:r w:rsidRPr="00F47D8F">
        <w:rPr>
          <w:rFonts w:eastAsia="SimSun"/>
          <w:lang w:eastAsia="en-GB" w:bidi="en-US"/>
        </w:rPr>
        <w:tab/>
      </w:r>
      <w:r w:rsidR="00752B7E" w:rsidRPr="00F47D8F">
        <w:rPr>
          <w:rFonts w:eastAsia="SimSun"/>
          <w:lang w:eastAsia="en-GB" w:bidi="en-US"/>
        </w:rPr>
        <w:t>La construcción del edificio de la Sede debe evaluarse teniendo en cuenta las necesidades y los recursos humanos de la Unión a largo plazo</w:t>
      </w:r>
      <w:r w:rsidR="00E95142" w:rsidRPr="00F47D8F">
        <w:rPr>
          <w:rFonts w:eastAsia="SimSun"/>
          <w:lang w:eastAsia="en-GB" w:bidi="en-US"/>
        </w:rPr>
        <w:t>.</w:t>
      </w:r>
    </w:p>
    <w:p w:rsidR="00752B7E" w:rsidRPr="00F47D8F" w:rsidRDefault="00E83A42" w:rsidP="00E83A42">
      <w:pPr>
        <w:pStyle w:val="enumlev1"/>
        <w:rPr>
          <w:rFonts w:eastAsia="SimSun"/>
          <w:lang w:eastAsia="en-GB" w:bidi="en-US"/>
        </w:rPr>
      </w:pPr>
      <w:r w:rsidRPr="00F47D8F">
        <w:rPr>
          <w:rFonts w:eastAsia="SimSun"/>
          <w:lang w:eastAsia="en-GB" w:bidi="en-US"/>
        </w:rPr>
        <w:t>•</w:t>
      </w:r>
      <w:r w:rsidRPr="00F47D8F">
        <w:rPr>
          <w:rFonts w:eastAsia="SimSun"/>
          <w:lang w:eastAsia="en-GB" w:bidi="en-US"/>
        </w:rPr>
        <w:tab/>
      </w:r>
      <w:r w:rsidR="00752B7E" w:rsidRPr="00F47D8F">
        <w:rPr>
          <w:rFonts w:eastAsia="SimSun"/>
          <w:lang w:eastAsia="en-GB" w:bidi="en-US"/>
        </w:rPr>
        <w:t>Es necesario adoptar medidas extraordinarias y de racionalización para mejorar la función de pagos en Recursos Humanos</w:t>
      </w:r>
      <w:r w:rsidR="00E95142" w:rsidRPr="00F47D8F">
        <w:rPr>
          <w:rFonts w:eastAsia="SimSun"/>
          <w:lang w:eastAsia="en-GB" w:bidi="en-US"/>
        </w:rPr>
        <w:t>.</w:t>
      </w:r>
    </w:p>
    <w:p w:rsidR="00752B7E" w:rsidRPr="00F47D8F" w:rsidRDefault="00E83A42" w:rsidP="00E83A42">
      <w:pPr>
        <w:pStyle w:val="enumlev1"/>
        <w:rPr>
          <w:rFonts w:eastAsia="SimSun"/>
          <w:lang w:eastAsia="en-GB" w:bidi="en-US"/>
        </w:rPr>
      </w:pPr>
      <w:r w:rsidRPr="00F47D8F">
        <w:rPr>
          <w:rFonts w:eastAsia="SimSun"/>
          <w:lang w:eastAsia="en-GB" w:bidi="en-US"/>
        </w:rPr>
        <w:t>•</w:t>
      </w:r>
      <w:r w:rsidRPr="00F47D8F">
        <w:rPr>
          <w:rFonts w:eastAsia="SimSun"/>
          <w:lang w:eastAsia="en-GB" w:bidi="en-US"/>
        </w:rPr>
        <w:tab/>
      </w:r>
      <w:r w:rsidR="00752B7E" w:rsidRPr="00F47D8F">
        <w:rPr>
          <w:rFonts w:eastAsia="SimSun"/>
          <w:lang w:eastAsia="en-GB" w:bidi="en-US"/>
        </w:rPr>
        <w:t>Es preciso adoptar medidas urgentes para poner en marcha una estrategia de planificación del personal destinada a hacer frente a las necesidades cambiantes de la Unión y garantizar que la Organización siga obrando en pro de sus objetivos. El CAIG reitera que la UIT debe avanzar hacia la armonización del modelo operacional, la estrategia relativa al personal y las esferas prioritarias con la visión estratégica de la Unión. Eso permitirá que la UIT esté preparada para cumplir su misión ante la rápida digitalización y el avance de la sociedad de la información.</w:t>
      </w:r>
    </w:p>
    <w:p w:rsidR="00752B7E" w:rsidRPr="00F47D8F" w:rsidRDefault="00E83A42" w:rsidP="00E83A42">
      <w:pPr>
        <w:pStyle w:val="enumlev1"/>
        <w:rPr>
          <w:rFonts w:eastAsia="SimSun"/>
          <w:lang w:eastAsia="en-GB" w:bidi="en-US"/>
        </w:rPr>
      </w:pPr>
      <w:r w:rsidRPr="00F47D8F">
        <w:rPr>
          <w:rFonts w:eastAsia="SimSun"/>
          <w:lang w:eastAsia="en-GB" w:bidi="en-US"/>
        </w:rPr>
        <w:t>•</w:t>
      </w:r>
      <w:r w:rsidRPr="00F47D8F">
        <w:rPr>
          <w:rFonts w:eastAsia="SimSun"/>
          <w:lang w:eastAsia="en-GB" w:bidi="en-US"/>
        </w:rPr>
        <w:tab/>
      </w:r>
      <w:r w:rsidR="00752B7E" w:rsidRPr="00F47D8F">
        <w:rPr>
          <w:rFonts w:eastAsia="SimSun"/>
          <w:lang w:eastAsia="en-GB" w:bidi="en-US"/>
        </w:rPr>
        <w:t>Es cada vez más necesario y urgente elaborar políticas y directrices sobre todos los aspectos relativos a la función de compras, que debe contar con procedimientos más generales y eficaces para lograr un nivel adecuado de control y cumplimiento</w:t>
      </w:r>
      <w:r w:rsidR="00E95142" w:rsidRPr="00F47D8F">
        <w:rPr>
          <w:rFonts w:eastAsia="SimSun"/>
          <w:lang w:eastAsia="en-GB" w:bidi="en-US"/>
        </w:rPr>
        <w:t>.</w:t>
      </w:r>
    </w:p>
    <w:p w:rsidR="00752B7E" w:rsidRPr="00F47D8F" w:rsidRDefault="00E83A42" w:rsidP="00E83A42">
      <w:pPr>
        <w:pStyle w:val="enumlev1"/>
        <w:rPr>
          <w:rFonts w:eastAsia="SimSun"/>
          <w:lang w:eastAsia="en-GB" w:bidi="en-US"/>
        </w:rPr>
      </w:pPr>
      <w:r w:rsidRPr="00F47D8F">
        <w:rPr>
          <w:rFonts w:eastAsia="SimSun"/>
          <w:lang w:eastAsia="en-GB" w:bidi="en-US"/>
        </w:rPr>
        <w:t>•</w:t>
      </w:r>
      <w:r w:rsidRPr="00F47D8F">
        <w:rPr>
          <w:rFonts w:eastAsia="SimSun"/>
          <w:lang w:eastAsia="en-GB" w:bidi="en-US"/>
        </w:rPr>
        <w:tab/>
      </w:r>
      <w:r w:rsidR="00752B7E" w:rsidRPr="00F47D8F">
        <w:rPr>
          <w:rFonts w:eastAsia="SimSun"/>
          <w:lang w:eastAsia="en-GB" w:bidi="en-US"/>
        </w:rPr>
        <w:t>La función de ética: el cargo de Oficial de ética</w:t>
      </w:r>
      <w:r w:rsidR="00752B7E" w:rsidRPr="00F47D8F">
        <w:t xml:space="preserve"> </w:t>
      </w:r>
      <w:r w:rsidR="00752B7E" w:rsidRPr="00F47D8F">
        <w:rPr>
          <w:rFonts w:eastAsia="SimSun"/>
          <w:lang w:eastAsia="en-GB" w:bidi="en-US"/>
        </w:rPr>
        <w:t>está nuevamente vacante. La Secretaría de la UIT debería poner el máximo empeño en cubrir ese importantísimo cargo.</w:t>
      </w:r>
    </w:p>
    <w:p w:rsidR="00752B7E" w:rsidRPr="00F47D8F" w:rsidRDefault="00E83A42" w:rsidP="00E83A42">
      <w:pPr>
        <w:pStyle w:val="Heading1"/>
        <w:rPr>
          <w:rFonts w:eastAsia="SimSun"/>
          <w:lang w:eastAsia="en-GB" w:bidi="en-US"/>
        </w:rPr>
      </w:pPr>
      <w:r w:rsidRPr="00F47D8F">
        <w:rPr>
          <w:rFonts w:eastAsia="SimSun"/>
          <w:lang w:eastAsia="en-GB" w:bidi="en-US"/>
        </w:rPr>
        <w:t>4</w:t>
      </w:r>
      <w:r w:rsidRPr="00F47D8F">
        <w:rPr>
          <w:rFonts w:eastAsia="SimSun"/>
          <w:lang w:eastAsia="en-GB" w:bidi="en-US"/>
        </w:rPr>
        <w:tab/>
      </w:r>
      <w:r w:rsidR="00752B7E" w:rsidRPr="00F47D8F">
        <w:rPr>
          <w:rFonts w:eastAsia="SimSun"/>
          <w:lang w:eastAsia="en-GB" w:bidi="en-US"/>
        </w:rPr>
        <w:t xml:space="preserve">Proyecto de construcción de la Sede de la UIT </w:t>
      </w:r>
    </w:p>
    <w:p w:rsidR="00752B7E" w:rsidRPr="00F47D8F" w:rsidRDefault="00E83A42" w:rsidP="00E83A42">
      <w:pPr>
        <w:rPr>
          <w:rFonts w:eastAsia="SimSun"/>
          <w:lang w:eastAsia="en-GB" w:bidi="en-US"/>
        </w:rPr>
      </w:pPr>
      <w:r w:rsidRPr="00F47D8F">
        <w:rPr>
          <w:rFonts w:eastAsia="SimSun"/>
          <w:lang w:eastAsia="en-GB" w:bidi="en-US"/>
        </w:rPr>
        <w:t>4.1</w:t>
      </w:r>
      <w:r w:rsidRPr="00F47D8F">
        <w:rPr>
          <w:rFonts w:eastAsia="SimSun"/>
          <w:lang w:eastAsia="en-GB" w:bidi="en-US"/>
        </w:rPr>
        <w:tab/>
      </w:r>
      <w:r w:rsidR="00752B7E" w:rsidRPr="00F47D8F">
        <w:rPr>
          <w:rFonts w:eastAsia="SimSun"/>
          <w:lang w:eastAsia="en-GB" w:bidi="en-US"/>
        </w:rPr>
        <w:t xml:space="preserve">El Asesor Principal del proyecto de construcción, recientemente nombrado, ha destacado la necesidad de constituir un equipo de gestión del proyecto con las competencias necesarias para asegurar la gestión de riesgos y la supervisión de la totalidad del proyecto de construcción, en consonancia con las mejores prácticas. Esta nueva necesidad, que no se había determinado anteriormente, requerirá una financiación adicional superior a los 11 millones CHF. Se adoptó la decisión de no financiar ese importe adicional de gastos de gestión del proyecto con cargo a los </w:t>
      </w:r>
      <w:r w:rsidR="00752B7E" w:rsidRPr="00F47D8F">
        <w:rPr>
          <w:rFonts w:eastAsia="SimSun"/>
          <w:lang w:eastAsia="en-GB" w:bidi="en-US"/>
        </w:rPr>
        <w:lastRenderedPageBreak/>
        <w:t>fondos del préstamo actual, con el fin de mantenerse dentro de los límites establecidos para el edificio.</w:t>
      </w:r>
    </w:p>
    <w:p w:rsidR="00752B7E" w:rsidRPr="00F47D8F" w:rsidRDefault="00E83A42" w:rsidP="00E83A42">
      <w:pPr>
        <w:rPr>
          <w:rFonts w:eastAsia="SimSun"/>
          <w:lang w:eastAsia="en-GB" w:bidi="en-US"/>
        </w:rPr>
      </w:pPr>
      <w:r w:rsidRPr="00F47D8F">
        <w:rPr>
          <w:rFonts w:eastAsia="SimSun"/>
          <w:lang w:eastAsia="en-GB" w:bidi="en-US"/>
        </w:rPr>
        <w:t>4.2</w:t>
      </w:r>
      <w:r w:rsidRPr="00F47D8F">
        <w:rPr>
          <w:rFonts w:eastAsia="SimSun"/>
          <w:lang w:eastAsia="en-GB" w:bidi="en-US"/>
        </w:rPr>
        <w:tab/>
      </w:r>
      <w:r w:rsidR="00752B7E" w:rsidRPr="00F47D8F">
        <w:rPr>
          <w:rFonts w:eastAsia="SimSun"/>
          <w:lang w:eastAsia="en-GB" w:bidi="en-US"/>
        </w:rPr>
        <w:t>La provisión actual para contingencias en la financiación del proyecto se ha fijado en el 5%. Sin embargo, preocupa al CAIG que esa provisión pueda ser insuficiente a la luz de lo ocurrido en otros grandes proyectos de construcción, incluso en el caso en que se creara el equipo de gestión de proyecto adecuado.</w:t>
      </w:r>
    </w:p>
    <w:p w:rsidR="00752B7E" w:rsidRPr="00F47D8F" w:rsidRDefault="00E83A42" w:rsidP="00E83A42">
      <w:pPr>
        <w:rPr>
          <w:rFonts w:eastAsia="SimSun"/>
          <w:lang w:eastAsia="en-GB" w:bidi="en-US"/>
        </w:rPr>
      </w:pPr>
      <w:r w:rsidRPr="00F47D8F">
        <w:rPr>
          <w:rFonts w:eastAsia="SimSun"/>
          <w:lang w:eastAsia="en-GB" w:bidi="en-US"/>
        </w:rPr>
        <w:t>4.3</w:t>
      </w:r>
      <w:r w:rsidRPr="00F47D8F">
        <w:rPr>
          <w:rFonts w:eastAsia="SimSun"/>
          <w:lang w:eastAsia="en-GB" w:bidi="en-US"/>
        </w:rPr>
        <w:tab/>
      </w:r>
      <w:r w:rsidR="00752B7E" w:rsidRPr="00F47D8F">
        <w:rPr>
          <w:rFonts w:eastAsia="SimSun"/>
          <w:lang w:eastAsia="en-GB" w:bidi="en-US"/>
        </w:rPr>
        <w:t>Por otra parte, en la Recomendación 13/2016, el CAIG instaba a la UIT a que sopesara las ventajas que supondría contar con profesionales internos y externos con conocimientos especializados en gestión de proyecto y de riesgos para este proyecto concreto. A medida que avance el proyecto, será preciso establecer un Comité de dirección para supervisar el proyecto, que tenga un mandato muy amplio y una estructura de gobernanza adecuada, en la que participen expertos técnicos independientes.</w:t>
      </w:r>
    </w:p>
    <w:p w:rsidR="00752B7E" w:rsidRPr="00F47D8F" w:rsidRDefault="00752B7E" w:rsidP="00752B7E">
      <w:pPr>
        <w:pStyle w:val="Normalnumbered"/>
        <w:numPr>
          <w:ilvl w:val="0"/>
          <w:numId w:val="0"/>
        </w:numPr>
        <w:pBdr>
          <w:top w:val="single" w:sz="4" w:space="1" w:color="auto"/>
          <w:left w:val="single" w:sz="4" w:space="4" w:color="auto"/>
          <w:bottom w:val="single" w:sz="4" w:space="1" w:color="auto"/>
          <w:right w:val="single" w:sz="4" w:space="4" w:color="auto"/>
        </w:pBdr>
        <w:snapToGrid w:val="0"/>
        <w:spacing w:before="120"/>
        <w:rPr>
          <w:rFonts w:eastAsia="SimSun"/>
          <w:lang w:val="es-ES_tradnl" w:eastAsia="en-GB" w:bidi="en-US"/>
        </w:rPr>
      </w:pPr>
      <w:r w:rsidRPr="00F47D8F">
        <w:rPr>
          <w:rFonts w:eastAsia="SimSun"/>
          <w:b/>
          <w:bCs/>
          <w:lang w:val="es-ES_tradnl" w:eastAsia="en-GB" w:bidi="en-US"/>
        </w:rPr>
        <w:t>Recomendación 4/2018</w:t>
      </w:r>
      <w:r w:rsidRPr="00F47D8F">
        <w:rPr>
          <w:rFonts w:eastAsia="SimSun"/>
          <w:lang w:val="es-ES_tradnl" w:eastAsia="en-GB" w:bidi="en-US"/>
        </w:rPr>
        <w:t>: El CAIG recomienda, por lo tanto, que se cree una estructura formal de gobernanza para la supervisión del proyecto y que la UIT revise las necesidades de capital que cabrá prever para asegurar una adecuada planificación financiera para el proyecto de construcción de la Sede de la UIT.</w:t>
      </w:r>
    </w:p>
    <w:p w:rsidR="00752B7E" w:rsidRPr="00F47D8F" w:rsidRDefault="00E83A42" w:rsidP="00E83A42">
      <w:pPr>
        <w:pStyle w:val="Heading1"/>
        <w:rPr>
          <w:rFonts w:eastAsia="SimSun"/>
          <w:lang w:eastAsia="en-GB" w:bidi="en-US"/>
        </w:rPr>
      </w:pPr>
      <w:r w:rsidRPr="00F47D8F">
        <w:rPr>
          <w:rFonts w:eastAsia="SimSun"/>
          <w:lang w:eastAsia="en-GB" w:bidi="en-US"/>
        </w:rPr>
        <w:t>5</w:t>
      </w:r>
      <w:r w:rsidRPr="00F47D8F">
        <w:rPr>
          <w:rFonts w:eastAsia="SimSun"/>
          <w:lang w:eastAsia="en-GB" w:bidi="en-US"/>
        </w:rPr>
        <w:tab/>
      </w:r>
      <w:r w:rsidR="00752B7E" w:rsidRPr="00F47D8F">
        <w:rPr>
          <w:rFonts w:eastAsia="SimSun"/>
          <w:lang w:eastAsia="en-GB" w:bidi="en-US"/>
        </w:rPr>
        <w:t xml:space="preserve">Sospechas de actividades fraudulentas en una Oficina Regional </w:t>
      </w:r>
    </w:p>
    <w:p w:rsidR="00752B7E" w:rsidRPr="00F47D8F" w:rsidRDefault="00E83A42" w:rsidP="00E83A42">
      <w:pPr>
        <w:rPr>
          <w:rFonts w:eastAsia="SimSun"/>
          <w:lang w:eastAsia="en-GB" w:bidi="en-US"/>
        </w:rPr>
      </w:pPr>
      <w:r w:rsidRPr="00F47D8F">
        <w:rPr>
          <w:rFonts w:eastAsia="SimSun"/>
          <w:lang w:eastAsia="en-GB" w:bidi="en-US"/>
        </w:rPr>
        <w:t>5.1</w:t>
      </w:r>
      <w:r w:rsidRPr="00F47D8F">
        <w:rPr>
          <w:rFonts w:eastAsia="SimSun"/>
          <w:lang w:eastAsia="en-GB" w:bidi="en-US"/>
        </w:rPr>
        <w:tab/>
      </w:r>
      <w:r w:rsidR="00752B7E" w:rsidRPr="00F47D8F">
        <w:rPr>
          <w:rFonts w:eastAsia="SimSun"/>
          <w:lang w:eastAsia="en-GB" w:bidi="en-US"/>
        </w:rPr>
        <w:t>En el Informe de los Auditores Externos se da cuenta de un caso de presunto fraude cometido a lo largo de varios años en una Oficina Regional. Los Auditores Externos han concluido que esa actividad fraudulenta no afecta a nivel material las cuentas del ejercicio 2017 en general. Ahora bien, el CAIG señala que las actividades en cuestión, que están siendo investigadas y se llevaron a cabo durante un largo periodo de tiempo, consistieron en repetidas infracciones a los controles en varios ámbitos, incluyendo, entre otras, las funciones de compras y contratación de bienes y servicios.</w:t>
      </w:r>
    </w:p>
    <w:p w:rsidR="00752B7E" w:rsidRPr="00F47D8F" w:rsidRDefault="00E83A42" w:rsidP="00E83A42">
      <w:pPr>
        <w:rPr>
          <w:rFonts w:eastAsia="SimSun"/>
          <w:lang w:eastAsia="en-GB" w:bidi="en-US"/>
        </w:rPr>
      </w:pPr>
      <w:r w:rsidRPr="00F47D8F">
        <w:rPr>
          <w:rFonts w:eastAsia="SimSun"/>
          <w:lang w:eastAsia="en-GB" w:bidi="en-US"/>
        </w:rPr>
        <w:t>5.2</w:t>
      </w:r>
      <w:r w:rsidRPr="00F47D8F">
        <w:rPr>
          <w:rFonts w:eastAsia="SimSun"/>
          <w:lang w:eastAsia="en-GB" w:bidi="en-US"/>
        </w:rPr>
        <w:tab/>
      </w:r>
      <w:r w:rsidR="00752B7E" w:rsidRPr="00F47D8F">
        <w:rPr>
          <w:rFonts w:eastAsia="SimSun"/>
          <w:lang w:eastAsia="en-GB" w:bidi="en-US"/>
        </w:rPr>
        <w:t>El CAIG había manifestado preocupación acerca de los controles y la gobernanza en las Oficinas Regionales (Recomendación 2/2014 y Recomendación 5/2015 del CAIG). El Comité sigue constatando con gran preocupación que la gobernanza y los controles que se aplican en las Oficinas Regionales son insuficientes.</w:t>
      </w:r>
    </w:p>
    <w:p w:rsidR="00752B7E" w:rsidRPr="00F47D8F" w:rsidRDefault="00E83A42" w:rsidP="00E83A42">
      <w:pPr>
        <w:rPr>
          <w:rFonts w:eastAsia="SimSun"/>
          <w:lang w:eastAsia="en-GB" w:bidi="en-US"/>
        </w:rPr>
      </w:pPr>
      <w:r w:rsidRPr="00F47D8F">
        <w:rPr>
          <w:rFonts w:eastAsia="SimSun"/>
          <w:lang w:eastAsia="en-GB" w:bidi="en-US"/>
        </w:rPr>
        <w:t>5.3</w:t>
      </w:r>
      <w:r w:rsidRPr="00F47D8F">
        <w:rPr>
          <w:rFonts w:eastAsia="SimSun"/>
          <w:lang w:eastAsia="en-GB" w:bidi="en-US"/>
        </w:rPr>
        <w:tab/>
      </w:r>
      <w:r w:rsidR="00752B7E" w:rsidRPr="00F47D8F">
        <w:rPr>
          <w:rFonts w:eastAsia="SimSun"/>
          <w:lang w:eastAsia="en-GB" w:bidi="en-US"/>
        </w:rPr>
        <w:t>Aunque el CAIG solicitó un informe detallado de la investigación realizada por el Auditor Interno, sólo recibió un extracto del resumen ejecutivo y el Anexo 17 al informe de investigación. Con todo, el CAIG observa que el Auditor Externo recibió un informe completo al respecto. Al no disponer del informe completo de investigación, el CAIG no está en condiciones de asesorar sobre esta cuestión o sus posibles ramificaciones.</w:t>
      </w:r>
    </w:p>
    <w:p w:rsidR="00752B7E" w:rsidRPr="00F47D8F" w:rsidRDefault="00E83A42" w:rsidP="00E83A42">
      <w:pPr>
        <w:pStyle w:val="Heading1"/>
        <w:rPr>
          <w:rFonts w:eastAsia="SimSun"/>
          <w:lang w:eastAsia="en-GB" w:bidi="en-US"/>
        </w:rPr>
      </w:pPr>
      <w:r w:rsidRPr="00F47D8F">
        <w:rPr>
          <w:rFonts w:eastAsia="SimSun"/>
          <w:lang w:eastAsia="en-GB" w:bidi="en-US"/>
        </w:rPr>
        <w:t>6</w:t>
      </w:r>
      <w:r w:rsidRPr="00F47D8F">
        <w:rPr>
          <w:rFonts w:eastAsia="SimSun"/>
          <w:lang w:eastAsia="en-GB" w:bidi="en-US"/>
        </w:rPr>
        <w:tab/>
      </w:r>
      <w:r w:rsidR="00752B7E" w:rsidRPr="00F47D8F">
        <w:rPr>
          <w:rFonts w:eastAsia="SimSun"/>
          <w:lang w:eastAsia="en-GB" w:bidi="en-US"/>
        </w:rPr>
        <w:t>Cumplimiento y gestión del riesgo de fraude y elaboración de un proyecto de directrices de investigación</w:t>
      </w:r>
    </w:p>
    <w:p w:rsidR="00752B7E" w:rsidRPr="00F47D8F" w:rsidRDefault="00E83A42" w:rsidP="00E83A42">
      <w:r w:rsidRPr="00F47D8F">
        <w:rPr>
          <w:rFonts w:eastAsia="SimSun"/>
          <w:lang w:eastAsia="en-GB" w:bidi="en-US"/>
        </w:rPr>
        <w:t>6.1</w:t>
      </w:r>
      <w:r w:rsidRPr="00F47D8F">
        <w:rPr>
          <w:rFonts w:eastAsia="SimSun"/>
          <w:lang w:eastAsia="en-GB" w:bidi="en-US"/>
        </w:rPr>
        <w:tab/>
      </w:r>
      <w:r w:rsidR="00752B7E" w:rsidRPr="00F47D8F">
        <w:rPr>
          <w:rFonts w:eastAsia="SimSun"/>
          <w:lang w:eastAsia="en-GB" w:bidi="en-US"/>
        </w:rPr>
        <w:t xml:space="preserve">Como se menciona en el séptimo Informe Anual, el CAIG procedió al examen del proyecto de directrices de investigación para la </w:t>
      </w:r>
      <w:r w:rsidR="00752B7E" w:rsidRPr="00F47D8F">
        <w:t>UIT. Asimismo, la Secretaría solicitó el asesoramiento del Comité sobre las disposiciones que convendría aplicar en caso de que se formularan acusaciones en relación con el Secretario General, que deberían notificarse al Presidente del Consejo</w:t>
      </w:r>
      <w:r w:rsidR="00752B7E" w:rsidRPr="00F47D8F">
        <w:rPr>
          <w:rFonts w:eastAsia="SimSun"/>
          <w:lang w:eastAsia="en-GB" w:bidi="en-US"/>
        </w:rPr>
        <w:t>.</w:t>
      </w:r>
    </w:p>
    <w:p w:rsidR="00C63FA5" w:rsidRPr="00F47D8F" w:rsidRDefault="00E83A42" w:rsidP="00A173CF">
      <w:r w:rsidRPr="00F47D8F">
        <w:rPr>
          <w:rFonts w:eastAsia="SimSun"/>
          <w:lang w:eastAsia="en-GB" w:bidi="en-US"/>
        </w:rPr>
        <w:lastRenderedPageBreak/>
        <w:t>6.2</w:t>
      </w:r>
      <w:r w:rsidRPr="00F47D8F">
        <w:rPr>
          <w:rFonts w:eastAsia="SimSun"/>
          <w:lang w:eastAsia="en-GB" w:bidi="en-US"/>
        </w:rPr>
        <w:tab/>
      </w:r>
      <w:r w:rsidR="00752B7E" w:rsidRPr="00F47D8F">
        <w:rPr>
          <w:rFonts w:eastAsia="SimSun"/>
          <w:lang w:eastAsia="en-GB" w:bidi="en-US"/>
        </w:rPr>
        <w:t xml:space="preserve">Tras diversas consultas celebradas con todas las partes pertinentes y con arreglo a las buenas prácticas de gobernanza, el CAIG recomendó que la parte que debería encargarse de notificar al Presidente del Consejo en esos casos podría ser el Presidente del </w:t>
      </w:r>
      <w:r w:rsidR="00752B7E" w:rsidRPr="00F47D8F">
        <w:t>CAIG (que es completamente independiente de la Dirección y ha sido nombrado por el Consejo).</w:t>
      </w:r>
    </w:p>
    <w:p w:rsidR="00A173CF" w:rsidRPr="00F47D8F" w:rsidRDefault="00A173CF" w:rsidP="0032202E">
      <w:pPr>
        <w:pStyle w:val="Reasons"/>
      </w:pPr>
    </w:p>
    <w:p w:rsidR="00A173CF" w:rsidRPr="00F47D8F" w:rsidRDefault="00A173CF">
      <w:pPr>
        <w:jc w:val="center"/>
      </w:pPr>
      <w:r w:rsidRPr="00F47D8F">
        <w:t>______________</w:t>
      </w:r>
    </w:p>
    <w:p w:rsidR="00A173CF" w:rsidRPr="00F47D8F" w:rsidRDefault="00A173CF" w:rsidP="00A173CF"/>
    <w:sectPr w:rsidR="00A173CF" w:rsidRPr="00F47D8F" w:rsidSect="006710F6">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3D" w:rsidRDefault="003E733D">
      <w:r>
        <w:separator/>
      </w:r>
    </w:p>
  </w:endnote>
  <w:endnote w:type="continuationSeparator" w:id="0">
    <w:p w:rsidR="003E733D" w:rsidRDefault="003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9" w:rsidRDefault="002B6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GoBack"/>
  <w:p w:rsidR="00C63FA5" w:rsidRPr="002B6449" w:rsidRDefault="0066641D" w:rsidP="00504204">
    <w:pPr>
      <w:pStyle w:val="Footer"/>
      <w:rPr>
        <w:color w:val="BFBFBF" w:themeColor="background1" w:themeShade="BF"/>
      </w:rPr>
    </w:pPr>
    <w:r w:rsidRPr="002B6449">
      <w:rPr>
        <w:color w:val="BFBFBF" w:themeColor="background1" w:themeShade="BF"/>
      </w:rPr>
      <w:fldChar w:fldCharType="begin"/>
    </w:r>
    <w:r w:rsidRPr="002B6449">
      <w:rPr>
        <w:color w:val="BFBFBF" w:themeColor="background1" w:themeShade="BF"/>
      </w:rPr>
      <w:instrText xml:space="preserve"> FILENAME \p  \* MERGEFORMAT </w:instrText>
    </w:r>
    <w:r w:rsidRPr="002B6449">
      <w:rPr>
        <w:color w:val="BFBFBF" w:themeColor="background1" w:themeShade="BF"/>
      </w:rPr>
      <w:fldChar w:fldCharType="separate"/>
    </w:r>
    <w:r w:rsidR="00990FD5" w:rsidRPr="002B6449">
      <w:rPr>
        <w:color w:val="BFBFBF" w:themeColor="background1" w:themeShade="BF"/>
      </w:rPr>
      <w:t>P:\ESP\SG\CONSEIL\C18\000\022ADD01S.docx</w:t>
    </w:r>
    <w:r w:rsidRPr="002B6449">
      <w:rPr>
        <w:color w:val="BFBFBF" w:themeColor="background1" w:themeShade="BF"/>
      </w:rPr>
      <w:fldChar w:fldCharType="end"/>
    </w:r>
    <w:r w:rsidR="00C63FA5" w:rsidRPr="002B6449">
      <w:rPr>
        <w:color w:val="BFBFBF" w:themeColor="background1" w:themeShade="BF"/>
      </w:rPr>
      <w:t xml:space="preserve"> (</w:t>
    </w:r>
    <w:r w:rsidR="00504204" w:rsidRPr="002B6449">
      <w:rPr>
        <w:color w:val="BFBFBF" w:themeColor="background1" w:themeShade="BF"/>
      </w:rPr>
      <w:t>444028</w:t>
    </w:r>
    <w:r w:rsidR="00C63FA5" w:rsidRPr="002B6449">
      <w:rPr>
        <w:color w:val="BFBFBF" w:themeColor="background1" w:themeShade="BF"/>
      </w:rPr>
      <w:t>)</w:t>
    </w:r>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3D" w:rsidRDefault="003E733D">
      <w:r>
        <w:t>____________________</w:t>
      </w:r>
    </w:p>
  </w:footnote>
  <w:footnote w:type="continuationSeparator" w:id="0">
    <w:p w:rsidR="003E733D" w:rsidRDefault="003E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9" w:rsidRDefault="002B6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B6449">
      <w:rPr>
        <w:noProof/>
      </w:rPr>
      <w:t>2</w:t>
    </w:r>
    <w:r>
      <w:rPr>
        <w:noProof/>
      </w:rPr>
      <w:fldChar w:fldCharType="end"/>
    </w:r>
    <w:r w:rsidR="00B0102C">
      <w:rPr>
        <w:noProof/>
      </w:rPr>
      <w:t>/</w:t>
    </w:r>
    <w:r w:rsidR="00B0102C">
      <w:rPr>
        <w:noProof/>
      </w:rPr>
      <w:fldChar w:fldCharType="begin"/>
    </w:r>
    <w:r w:rsidR="00B0102C">
      <w:rPr>
        <w:noProof/>
      </w:rPr>
      <w:instrText xml:space="preserve"> NUMPAGES   \* MERGEFORMAT </w:instrText>
    </w:r>
    <w:r w:rsidR="00B0102C">
      <w:rPr>
        <w:noProof/>
      </w:rPr>
      <w:fldChar w:fldCharType="separate"/>
    </w:r>
    <w:r w:rsidR="002B6449">
      <w:rPr>
        <w:noProof/>
      </w:rPr>
      <w:t>5</w:t>
    </w:r>
    <w:r w:rsidR="00B0102C">
      <w:rPr>
        <w:noProof/>
      </w:rPr>
      <w:fldChar w:fldCharType="end"/>
    </w:r>
    <w:r w:rsidR="00504204">
      <w:rPr>
        <w:noProof/>
      </w:rPr>
      <w:br/>
      <w:t>C18</w:t>
    </w:r>
    <w:r w:rsidR="00B0102C">
      <w:rPr>
        <w:noProof/>
      </w:rPr>
      <w:t>/22(Add.1)-S</w:t>
    </w:r>
  </w:p>
  <w:p w:rsidR="00760F1C" w:rsidRPr="00B0102C" w:rsidRDefault="00760F1C" w:rsidP="00146BFB">
    <w:pPr>
      <w:pStyle w:val="Header"/>
      <w:rPr>
        <w:color w:val="FFFFFF" w:themeColor="background1"/>
      </w:rPr>
    </w:pPr>
    <w:r w:rsidRPr="00B0102C">
      <w:rPr>
        <w:color w:val="FFFFFF" w:themeColor="background1"/>
      </w:rPr>
      <w:t>C</w:t>
    </w:r>
    <w:r w:rsidR="007F350B" w:rsidRPr="00B0102C">
      <w:rPr>
        <w:color w:val="FFFFFF" w:themeColor="background1"/>
      </w:rPr>
      <w:t>1</w:t>
    </w:r>
    <w:r w:rsidR="00146BFB" w:rsidRPr="00B0102C">
      <w:rPr>
        <w:color w:val="FFFFFF" w:themeColor="background1"/>
      </w:rPr>
      <w:t>4</w:t>
    </w:r>
    <w:r w:rsidR="00C63FA5" w:rsidRPr="00B0102C">
      <w:rPr>
        <w:color w:val="FFFFFF" w:themeColor="background1"/>
      </w:rPr>
      <w:t>/22(Add.1)</w:t>
    </w:r>
    <w:r w:rsidRPr="00B0102C">
      <w:rPr>
        <w:color w:val="FFFFFF" w:themeColor="background1"/>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9" w:rsidRDefault="002B6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22D8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5C8B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857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70F2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0CB9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EA1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241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6C54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A46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CE6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7C1935"/>
    <w:multiLevelType w:val="hybridMultilevel"/>
    <w:tmpl w:val="E7DA1848"/>
    <w:lvl w:ilvl="0" w:tplc="D0DAE69E">
      <w:start w:val="1"/>
      <w:numFmt w:val="lowerRoman"/>
      <w:lvlText w:val="%1."/>
      <w:lvlJc w:val="left"/>
      <w:pPr>
        <w:tabs>
          <w:tab w:val="num" w:pos="1440"/>
        </w:tabs>
        <w:ind w:left="1440" w:hanging="360"/>
      </w:pPr>
      <w:rPr>
        <w:rFonts w:ascii="Calibri" w:eastAsia="SimSun" w:hAnsi="Calibri" w:cs="SimSun"/>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1"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395337"/>
    <w:multiLevelType w:val="hybridMultilevel"/>
    <w:tmpl w:val="5DD07356"/>
    <w:lvl w:ilvl="0" w:tplc="00010809">
      <w:start w:val="1"/>
      <w:numFmt w:val="bullet"/>
      <w:lvlText w:val=""/>
      <w:lvlJc w:val="left"/>
      <w:pPr>
        <w:ind w:left="780" w:hanging="360"/>
      </w:pPr>
      <w:rPr>
        <w:rFonts w:ascii="Symbol" w:hAnsi="Symbol" w:hint="default"/>
      </w:rPr>
    </w:lvl>
    <w:lvl w:ilvl="1" w:tplc="00030809" w:tentative="1">
      <w:start w:val="1"/>
      <w:numFmt w:val="bullet"/>
      <w:lvlText w:val="o"/>
      <w:lvlJc w:val="left"/>
      <w:pPr>
        <w:ind w:left="1500" w:hanging="360"/>
      </w:pPr>
      <w:rPr>
        <w:rFonts w:ascii="Courier New" w:hAnsi="Courier New" w:hint="default"/>
      </w:rPr>
    </w:lvl>
    <w:lvl w:ilvl="2" w:tplc="00050809" w:tentative="1">
      <w:start w:val="1"/>
      <w:numFmt w:val="bullet"/>
      <w:lvlText w:val=""/>
      <w:lvlJc w:val="left"/>
      <w:pPr>
        <w:ind w:left="2220" w:hanging="360"/>
      </w:pPr>
      <w:rPr>
        <w:rFonts w:ascii="Wingdings" w:hAnsi="Wingdings" w:hint="default"/>
      </w:rPr>
    </w:lvl>
    <w:lvl w:ilvl="3" w:tplc="00010809" w:tentative="1">
      <w:start w:val="1"/>
      <w:numFmt w:val="bullet"/>
      <w:lvlText w:val=""/>
      <w:lvlJc w:val="left"/>
      <w:pPr>
        <w:ind w:left="2940" w:hanging="360"/>
      </w:pPr>
      <w:rPr>
        <w:rFonts w:ascii="Symbol" w:hAnsi="Symbol" w:hint="default"/>
      </w:rPr>
    </w:lvl>
    <w:lvl w:ilvl="4" w:tplc="00030809" w:tentative="1">
      <w:start w:val="1"/>
      <w:numFmt w:val="bullet"/>
      <w:lvlText w:val="o"/>
      <w:lvlJc w:val="left"/>
      <w:pPr>
        <w:ind w:left="3660" w:hanging="360"/>
      </w:pPr>
      <w:rPr>
        <w:rFonts w:ascii="Courier New" w:hAnsi="Courier New" w:hint="default"/>
      </w:rPr>
    </w:lvl>
    <w:lvl w:ilvl="5" w:tplc="00050809" w:tentative="1">
      <w:start w:val="1"/>
      <w:numFmt w:val="bullet"/>
      <w:lvlText w:val=""/>
      <w:lvlJc w:val="left"/>
      <w:pPr>
        <w:ind w:left="4380" w:hanging="360"/>
      </w:pPr>
      <w:rPr>
        <w:rFonts w:ascii="Wingdings" w:hAnsi="Wingdings" w:hint="default"/>
      </w:rPr>
    </w:lvl>
    <w:lvl w:ilvl="6" w:tplc="00010809" w:tentative="1">
      <w:start w:val="1"/>
      <w:numFmt w:val="bullet"/>
      <w:lvlText w:val=""/>
      <w:lvlJc w:val="left"/>
      <w:pPr>
        <w:ind w:left="5100" w:hanging="360"/>
      </w:pPr>
      <w:rPr>
        <w:rFonts w:ascii="Symbol" w:hAnsi="Symbol" w:hint="default"/>
      </w:rPr>
    </w:lvl>
    <w:lvl w:ilvl="7" w:tplc="00030809" w:tentative="1">
      <w:start w:val="1"/>
      <w:numFmt w:val="bullet"/>
      <w:lvlText w:val="o"/>
      <w:lvlJc w:val="left"/>
      <w:pPr>
        <w:ind w:left="5820" w:hanging="360"/>
      </w:pPr>
      <w:rPr>
        <w:rFonts w:ascii="Courier New" w:hAnsi="Courier New" w:hint="default"/>
      </w:rPr>
    </w:lvl>
    <w:lvl w:ilvl="8" w:tplc="00050809" w:tentative="1">
      <w:start w:val="1"/>
      <w:numFmt w:val="bullet"/>
      <w:lvlText w:val=""/>
      <w:lvlJc w:val="left"/>
      <w:pPr>
        <w:ind w:left="6540" w:hanging="360"/>
      </w:pPr>
      <w:rPr>
        <w:rFonts w:ascii="Wingdings" w:hAnsi="Wingdings" w:hint="default"/>
      </w:rPr>
    </w:lvl>
  </w:abstractNum>
  <w:abstractNum w:abstractNumId="13" w15:restartNumberingAfterBreak="0">
    <w:nsid w:val="4B0B1C9E"/>
    <w:multiLevelType w:val="hybridMultilevel"/>
    <w:tmpl w:val="1FAED53E"/>
    <w:lvl w:ilvl="0" w:tplc="0809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4" w15:restartNumberingAfterBreak="0">
    <w:nsid w:val="5F7A146A"/>
    <w:multiLevelType w:val="hybridMultilevel"/>
    <w:tmpl w:val="9F9EE318"/>
    <w:lvl w:ilvl="0" w:tplc="00010809">
      <w:start w:val="1"/>
      <w:numFmt w:val="bullet"/>
      <w:lvlText w:val=""/>
      <w:lvlJc w:val="left"/>
      <w:pPr>
        <w:ind w:left="852" w:hanging="360"/>
      </w:pPr>
      <w:rPr>
        <w:rFonts w:ascii="Symbol" w:hAnsi="Symbol" w:hint="default"/>
      </w:rPr>
    </w:lvl>
    <w:lvl w:ilvl="1" w:tplc="00030809" w:tentative="1">
      <w:start w:val="1"/>
      <w:numFmt w:val="bullet"/>
      <w:lvlText w:val="o"/>
      <w:lvlJc w:val="left"/>
      <w:pPr>
        <w:ind w:left="1572" w:hanging="360"/>
      </w:pPr>
      <w:rPr>
        <w:rFonts w:ascii="Courier New" w:hAnsi="Courier New" w:hint="default"/>
      </w:rPr>
    </w:lvl>
    <w:lvl w:ilvl="2" w:tplc="00050809" w:tentative="1">
      <w:start w:val="1"/>
      <w:numFmt w:val="bullet"/>
      <w:lvlText w:val=""/>
      <w:lvlJc w:val="left"/>
      <w:pPr>
        <w:ind w:left="2292" w:hanging="360"/>
      </w:pPr>
      <w:rPr>
        <w:rFonts w:ascii="Wingdings" w:hAnsi="Wingdings" w:hint="default"/>
      </w:rPr>
    </w:lvl>
    <w:lvl w:ilvl="3" w:tplc="00010809" w:tentative="1">
      <w:start w:val="1"/>
      <w:numFmt w:val="bullet"/>
      <w:lvlText w:val=""/>
      <w:lvlJc w:val="left"/>
      <w:pPr>
        <w:ind w:left="3012" w:hanging="360"/>
      </w:pPr>
      <w:rPr>
        <w:rFonts w:ascii="Symbol" w:hAnsi="Symbol" w:hint="default"/>
      </w:rPr>
    </w:lvl>
    <w:lvl w:ilvl="4" w:tplc="00030809" w:tentative="1">
      <w:start w:val="1"/>
      <w:numFmt w:val="bullet"/>
      <w:lvlText w:val="o"/>
      <w:lvlJc w:val="left"/>
      <w:pPr>
        <w:ind w:left="3732" w:hanging="360"/>
      </w:pPr>
      <w:rPr>
        <w:rFonts w:ascii="Courier New" w:hAnsi="Courier New" w:hint="default"/>
      </w:rPr>
    </w:lvl>
    <w:lvl w:ilvl="5" w:tplc="00050809" w:tentative="1">
      <w:start w:val="1"/>
      <w:numFmt w:val="bullet"/>
      <w:lvlText w:val=""/>
      <w:lvlJc w:val="left"/>
      <w:pPr>
        <w:ind w:left="4452" w:hanging="360"/>
      </w:pPr>
      <w:rPr>
        <w:rFonts w:ascii="Wingdings" w:hAnsi="Wingdings" w:hint="default"/>
      </w:rPr>
    </w:lvl>
    <w:lvl w:ilvl="6" w:tplc="00010809" w:tentative="1">
      <w:start w:val="1"/>
      <w:numFmt w:val="bullet"/>
      <w:lvlText w:val=""/>
      <w:lvlJc w:val="left"/>
      <w:pPr>
        <w:ind w:left="5172" w:hanging="360"/>
      </w:pPr>
      <w:rPr>
        <w:rFonts w:ascii="Symbol" w:hAnsi="Symbol" w:hint="default"/>
      </w:rPr>
    </w:lvl>
    <w:lvl w:ilvl="7" w:tplc="00030809" w:tentative="1">
      <w:start w:val="1"/>
      <w:numFmt w:val="bullet"/>
      <w:lvlText w:val="o"/>
      <w:lvlJc w:val="left"/>
      <w:pPr>
        <w:ind w:left="5892" w:hanging="360"/>
      </w:pPr>
      <w:rPr>
        <w:rFonts w:ascii="Courier New" w:hAnsi="Courier New" w:hint="default"/>
      </w:rPr>
    </w:lvl>
    <w:lvl w:ilvl="8" w:tplc="00050809" w:tentative="1">
      <w:start w:val="1"/>
      <w:numFmt w:val="bullet"/>
      <w:lvlText w:val=""/>
      <w:lvlJc w:val="left"/>
      <w:pPr>
        <w:ind w:left="6612" w:hanging="360"/>
      </w:pPr>
      <w:rPr>
        <w:rFonts w:ascii="Wingdings" w:hAnsi="Wingdings" w:hint="default"/>
      </w:rPr>
    </w:lvl>
  </w:abstractNum>
  <w:abstractNum w:abstractNumId="15" w15:restartNumberingAfterBreak="0">
    <w:nsid w:val="6DF22439"/>
    <w:multiLevelType w:val="hybridMultilevel"/>
    <w:tmpl w:val="A9D86BD2"/>
    <w:lvl w:ilvl="0" w:tplc="00010809">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1"/>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3D"/>
    <w:rsid w:val="000B0D00"/>
    <w:rsid w:val="000B7C15"/>
    <w:rsid w:val="000D1D0F"/>
    <w:rsid w:val="0010165C"/>
    <w:rsid w:val="00146BFB"/>
    <w:rsid w:val="001D4E2D"/>
    <w:rsid w:val="001E6B15"/>
    <w:rsid w:val="001F14A2"/>
    <w:rsid w:val="002801AA"/>
    <w:rsid w:val="002B6449"/>
    <w:rsid w:val="00374DC7"/>
    <w:rsid w:val="003E733D"/>
    <w:rsid w:val="00410AF5"/>
    <w:rsid w:val="004F5D52"/>
    <w:rsid w:val="00504204"/>
    <w:rsid w:val="00560125"/>
    <w:rsid w:val="00585553"/>
    <w:rsid w:val="005B34D9"/>
    <w:rsid w:val="005D0CCF"/>
    <w:rsid w:val="005F410F"/>
    <w:rsid w:val="00601924"/>
    <w:rsid w:val="0064731F"/>
    <w:rsid w:val="0066641D"/>
    <w:rsid w:val="006710F6"/>
    <w:rsid w:val="006C1B56"/>
    <w:rsid w:val="006D4761"/>
    <w:rsid w:val="00752B7E"/>
    <w:rsid w:val="00760F1C"/>
    <w:rsid w:val="007657F0"/>
    <w:rsid w:val="007E5DD3"/>
    <w:rsid w:val="007F350B"/>
    <w:rsid w:val="00820BE4"/>
    <w:rsid w:val="008451E8"/>
    <w:rsid w:val="00867A1E"/>
    <w:rsid w:val="008879CF"/>
    <w:rsid w:val="008D6E21"/>
    <w:rsid w:val="00913B9C"/>
    <w:rsid w:val="00956E77"/>
    <w:rsid w:val="00990FD5"/>
    <w:rsid w:val="00A173CF"/>
    <w:rsid w:val="00A44660"/>
    <w:rsid w:val="00AA390C"/>
    <w:rsid w:val="00B0102C"/>
    <w:rsid w:val="00B574DB"/>
    <w:rsid w:val="00B826C2"/>
    <w:rsid w:val="00BD0723"/>
    <w:rsid w:val="00C20C59"/>
    <w:rsid w:val="00C55B1F"/>
    <w:rsid w:val="00C63FA5"/>
    <w:rsid w:val="00CF1A67"/>
    <w:rsid w:val="00D403F5"/>
    <w:rsid w:val="00D5707B"/>
    <w:rsid w:val="00D62446"/>
    <w:rsid w:val="00DA4EA2"/>
    <w:rsid w:val="00DE1A9C"/>
    <w:rsid w:val="00DE2C90"/>
    <w:rsid w:val="00E3592D"/>
    <w:rsid w:val="00E83A42"/>
    <w:rsid w:val="00E92DE8"/>
    <w:rsid w:val="00E95142"/>
    <w:rsid w:val="00EB5D54"/>
    <w:rsid w:val="00ED65AB"/>
    <w:rsid w:val="00F12850"/>
    <w:rsid w:val="00F33BF4"/>
    <w:rsid w:val="00F47D8F"/>
    <w:rsid w:val="00F7105E"/>
    <w:rsid w:val="00F729B3"/>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7879115-179B-4F97-B1B9-C92294F1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4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2B6449"/>
    <w:pPr>
      <w:keepNext/>
      <w:keepLines/>
      <w:spacing w:before="480"/>
      <w:ind w:left="567" w:hanging="567"/>
      <w:outlineLvl w:val="0"/>
    </w:pPr>
    <w:rPr>
      <w:b/>
      <w:sz w:val="28"/>
    </w:rPr>
  </w:style>
  <w:style w:type="paragraph" w:styleId="Heading2">
    <w:name w:val="heading 2"/>
    <w:basedOn w:val="Heading1"/>
    <w:next w:val="Normal"/>
    <w:qFormat/>
    <w:rsid w:val="002B6449"/>
    <w:pPr>
      <w:spacing w:before="320"/>
      <w:outlineLvl w:val="1"/>
    </w:pPr>
    <w:rPr>
      <w:sz w:val="24"/>
    </w:rPr>
  </w:style>
  <w:style w:type="paragraph" w:styleId="Heading3">
    <w:name w:val="heading 3"/>
    <w:basedOn w:val="Heading1"/>
    <w:next w:val="Normal"/>
    <w:qFormat/>
    <w:rsid w:val="002B6449"/>
    <w:pPr>
      <w:spacing w:before="200"/>
      <w:outlineLvl w:val="2"/>
    </w:pPr>
    <w:rPr>
      <w:sz w:val="24"/>
    </w:rPr>
  </w:style>
  <w:style w:type="paragraph" w:styleId="Heading4">
    <w:name w:val="heading 4"/>
    <w:basedOn w:val="Heading3"/>
    <w:next w:val="Normal"/>
    <w:qFormat/>
    <w:rsid w:val="002B6449"/>
    <w:pPr>
      <w:ind w:left="1134" w:hanging="1134"/>
      <w:outlineLvl w:val="3"/>
    </w:pPr>
  </w:style>
  <w:style w:type="paragraph" w:styleId="Heading5">
    <w:name w:val="heading 5"/>
    <w:basedOn w:val="Heading4"/>
    <w:next w:val="Normal"/>
    <w:qFormat/>
    <w:rsid w:val="002B6449"/>
    <w:pPr>
      <w:outlineLvl w:val="4"/>
    </w:pPr>
  </w:style>
  <w:style w:type="paragraph" w:styleId="Heading6">
    <w:name w:val="heading 6"/>
    <w:basedOn w:val="Heading4"/>
    <w:next w:val="Normal"/>
    <w:qFormat/>
    <w:rsid w:val="002B6449"/>
    <w:pPr>
      <w:outlineLvl w:val="5"/>
    </w:pPr>
  </w:style>
  <w:style w:type="paragraph" w:styleId="Heading7">
    <w:name w:val="heading 7"/>
    <w:basedOn w:val="Heading4"/>
    <w:next w:val="Normal"/>
    <w:qFormat/>
    <w:rsid w:val="002B6449"/>
    <w:pPr>
      <w:ind w:left="1701" w:hanging="1701"/>
      <w:outlineLvl w:val="6"/>
    </w:pPr>
  </w:style>
  <w:style w:type="paragraph" w:styleId="Heading8">
    <w:name w:val="heading 8"/>
    <w:basedOn w:val="Heading4"/>
    <w:next w:val="Normal"/>
    <w:qFormat/>
    <w:rsid w:val="002B6449"/>
    <w:pPr>
      <w:ind w:left="1701" w:hanging="1701"/>
      <w:outlineLvl w:val="7"/>
    </w:pPr>
  </w:style>
  <w:style w:type="paragraph" w:styleId="Heading9">
    <w:name w:val="heading 9"/>
    <w:basedOn w:val="Heading4"/>
    <w:next w:val="Normal"/>
    <w:qFormat/>
    <w:rsid w:val="002B6449"/>
    <w:pPr>
      <w:ind w:left="1701" w:hanging="1701"/>
      <w:outlineLvl w:val="8"/>
    </w:pPr>
  </w:style>
  <w:style w:type="character" w:default="1" w:styleId="DefaultParagraphFont">
    <w:name w:val="Default Paragraph Font"/>
    <w:uiPriority w:val="1"/>
    <w:semiHidden/>
    <w:unhideWhenUsed/>
    <w:rsid w:val="002B64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6449"/>
  </w:style>
  <w:style w:type="paragraph" w:styleId="TOC8">
    <w:name w:val="toc 8"/>
    <w:basedOn w:val="TOC4"/>
    <w:rsid w:val="002B6449"/>
  </w:style>
  <w:style w:type="paragraph" w:styleId="TOC4">
    <w:name w:val="toc 4"/>
    <w:basedOn w:val="Normal"/>
    <w:next w:val="Normal"/>
    <w:rsid w:val="002B6449"/>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2B64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B64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B6449"/>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B64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B64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B64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2B6449"/>
    <w:pPr>
      <w:ind w:left="1698"/>
    </w:pPr>
  </w:style>
  <w:style w:type="paragraph" w:styleId="Index6">
    <w:name w:val="index 6"/>
    <w:basedOn w:val="Normal"/>
    <w:next w:val="Normal"/>
    <w:rsid w:val="002B6449"/>
    <w:pPr>
      <w:ind w:left="1415"/>
    </w:pPr>
  </w:style>
  <w:style w:type="paragraph" w:styleId="Index5">
    <w:name w:val="index 5"/>
    <w:basedOn w:val="Normal"/>
    <w:next w:val="Normal"/>
    <w:rsid w:val="002B6449"/>
    <w:pPr>
      <w:ind w:left="1132"/>
    </w:pPr>
  </w:style>
  <w:style w:type="paragraph" w:styleId="Index4">
    <w:name w:val="index 4"/>
    <w:basedOn w:val="Normal"/>
    <w:next w:val="Normal"/>
    <w:rsid w:val="002B6449"/>
    <w:pPr>
      <w:ind w:left="849"/>
    </w:pPr>
  </w:style>
  <w:style w:type="paragraph" w:styleId="Index3">
    <w:name w:val="index 3"/>
    <w:basedOn w:val="Normal"/>
    <w:next w:val="Normal"/>
    <w:rsid w:val="002B6449"/>
    <w:pPr>
      <w:ind w:left="566"/>
    </w:pPr>
  </w:style>
  <w:style w:type="paragraph" w:styleId="Index2">
    <w:name w:val="index 2"/>
    <w:basedOn w:val="Normal"/>
    <w:next w:val="Normal"/>
    <w:rsid w:val="002B6449"/>
    <w:pPr>
      <w:ind w:left="283"/>
    </w:pPr>
  </w:style>
  <w:style w:type="paragraph" w:styleId="Index1">
    <w:name w:val="index 1"/>
    <w:basedOn w:val="Normal"/>
    <w:next w:val="Normal"/>
    <w:rsid w:val="002B6449"/>
  </w:style>
  <w:style w:type="character" w:styleId="LineNumber">
    <w:name w:val="line number"/>
    <w:basedOn w:val="DefaultParagraphFont"/>
    <w:rsid w:val="002B6449"/>
  </w:style>
  <w:style w:type="paragraph" w:styleId="IndexHeading">
    <w:name w:val="index heading"/>
    <w:basedOn w:val="Normal"/>
    <w:next w:val="Index1"/>
    <w:rsid w:val="002B6449"/>
  </w:style>
  <w:style w:type="paragraph" w:styleId="Footer">
    <w:name w:val="footer"/>
    <w:basedOn w:val="Normal"/>
    <w:rsid w:val="002B6449"/>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2B644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B6449"/>
    <w:rPr>
      <w:position w:val="6"/>
      <w:sz w:val="16"/>
    </w:rPr>
  </w:style>
  <w:style w:type="paragraph" w:styleId="FootnoteText">
    <w:name w:val="footnote text"/>
    <w:basedOn w:val="Normal"/>
    <w:rsid w:val="002B6449"/>
    <w:pPr>
      <w:keepLines/>
      <w:tabs>
        <w:tab w:val="left" w:pos="256"/>
      </w:tabs>
      <w:ind w:left="256" w:hanging="256"/>
    </w:pPr>
  </w:style>
  <w:style w:type="paragraph" w:styleId="NormalIndent">
    <w:name w:val="Normal Indent"/>
    <w:basedOn w:val="Normal"/>
    <w:rsid w:val="002B6449"/>
    <w:pPr>
      <w:ind w:left="567"/>
    </w:pPr>
  </w:style>
  <w:style w:type="paragraph" w:customStyle="1" w:styleId="AnnexNo">
    <w:name w:val="Annex_No"/>
    <w:basedOn w:val="Normal"/>
    <w:next w:val="Annexref"/>
    <w:rsid w:val="002B6449"/>
    <w:pPr>
      <w:spacing w:before="720"/>
      <w:jc w:val="center"/>
    </w:pPr>
    <w:rPr>
      <w:caps/>
      <w:sz w:val="28"/>
    </w:rPr>
  </w:style>
  <w:style w:type="paragraph" w:customStyle="1" w:styleId="Annextitle">
    <w:name w:val="Annex_title"/>
    <w:basedOn w:val="Normal"/>
    <w:next w:val="Normal"/>
    <w:rsid w:val="002B6449"/>
    <w:pPr>
      <w:spacing w:before="240" w:after="240"/>
      <w:jc w:val="center"/>
    </w:pPr>
    <w:rPr>
      <w:b/>
      <w:sz w:val="28"/>
    </w:rPr>
  </w:style>
  <w:style w:type="paragraph" w:customStyle="1" w:styleId="Annexref">
    <w:name w:val="Annex_ref"/>
    <w:basedOn w:val="Normal"/>
    <w:next w:val="Annextitle"/>
    <w:rsid w:val="002B6449"/>
    <w:pPr>
      <w:jc w:val="center"/>
    </w:pPr>
    <w:rPr>
      <w:sz w:val="28"/>
    </w:rPr>
  </w:style>
  <w:style w:type="paragraph" w:customStyle="1" w:styleId="Normalaftertitle">
    <w:name w:val="Normal after title"/>
    <w:basedOn w:val="Normal"/>
    <w:next w:val="Normal"/>
    <w:rsid w:val="002B6449"/>
    <w:pPr>
      <w:spacing w:before="240"/>
    </w:pPr>
  </w:style>
  <w:style w:type="paragraph" w:customStyle="1" w:styleId="AppendixNo">
    <w:name w:val="Appendix_No"/>
    <w:basedOn w:val="AnnexNo"/>
    <w:next w:val="Appendixref"/>
    <w:rsid w:val="002B6449"/>
  </w:style>
  <w:style w:type="paragraph" w:customStyle="1" w:styleId="Appendixtitle">
    <w:name w:val="Appendix_title"/>
    <w:basedOn w:val="Annextitle"/>
    <w:next w:val="Normal"/>
    <w:rsid w:val="002B6449"/>
  </w:style>
  <w:style w:type="paragraph" w:customStyle="1" w:styleId="Appendixref">
    <w:name w:val="Appendix_ref"/>
    <w:basedOn w:val="Annexref"/>
    <w:next w:val="Appendixtitle"/>
    <w:rsid w:val="002B6449"/>
  </w:style>
  <w:style w:type="paragraph" w:customStyle="1" w:styleId="enumlev1">
    <w:name w:val="enumlev1"/>
    <w:basedOn w:val="Normal"/>
    <w:rsid w:val="002B6449"/>
    <w:pPr>
      <w:spacing w:before="86"/>
      <w:ind w:left="567" w:hanging="567"/>
    </w:pPr>
  </w:style>
  <w:style w:type="paragraph" w:customStyle="1" w:styleId="enumlev2">
    <w:name w:val="enumlev2"/>
    <w:basedOn w:val="enumlev1"/>
    <w:rsid w:val="002B6449"/>
    <w:pPr>
      <w:ind w:left="1134"/>
    </w:pPr>
  </w:style>
  <w:style w:type="paragraph" w:customStyle="1" w:styleId="enumlev3">
    <w:name w:val="enumlev3"/>
    <w:basedOn w:val="enumlev2"/>
    <w:rsid w:val="002B6449"/>
    <w:pPr>
      <w:ind w:left="1701"/>
    </w:pPr>
  </w:style>
  <w:style w:type="paragraph" w:customStyle="1" w:styleId="Artheading">
    <w:name w:val="Art_heading"/>
    <w:basedOn w:val="Normal"/>
    <w:next w:val="Normalaftertitle"/>
    <w:rsid w:val="002B6449"/>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B6449"/>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B6449"/>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2B6449"/>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2B6449"/>
  </w:style>
  <w:style w:type="paragraph" w:customStyle="1" w:styleId="Chaptitle">
    <w:name w:val="Chap_title"/>
    <w:basedOn w:val="Arttitle"/>
    <w:next w:val="Normal"/>
    <w:rsid w:val="002B6449"/>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2B6449"/>
    <w:pPr>
      <w:tabs>
        <w:tab w:val="right" w:pos="1531"/>
      </w:tabs>
      <w:spacing w:before="80"/>
      <w:ind w:left="1701" w:hanging="1701"/>
    </w:pPr>
  </w:style>
  <w:style w:type="paragraph" w:customStyle="1" w:styleId="Figure">
    <w:name w:val="Figure"/>
    <w:basedOn w:val="Normal"/>
    <w:next w:val="Figuretitle"/>
    <w:rsid w:val="002B6449"/>
    <w:pPr>
      <w:keepNext/>
      <w:keepLines/>
      <w:spacing w:after="120"/>
      <w:jc w:val="center"/>
    </w:pPr>
  </w:style>
  <w:style w:type="paragraph" w:customStyle="1" w:styleId="Figuretitle">
    <w:name w:val="Figure_title"/>
    <w:basedOn w:val="Tabletitle"/>
    <w:next w:val="Normalaftertitle"/>
    <w:rsid w:val="002B6449"/>
    <w:pPr>
      <w:spacing w:before="240" w:after="480"/>
    </w:pPr>
  </w:style>
  <w:style w:type="paragraph" w:customStyle="1" w:styleId="Tabletitle">
    <w:name w:val="Table_title"/>
    <w:basedOn w:val="TableNo"/>
    <w:next w:val="Tabletext"/>
    <w:rsid w:val="002B644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B6449"/>
    <w:pPr>
      <w:keepNext/>
      <w:spacing w:before="560" w:after="120"/>
      <w:jc w:val="center"/>
    </w:pPr>
    <w:rPr>
      <w:caps/>
    </w:rPr>
  </w:style>
  <w:style w:type="paragraph" w:customStyle="1" w:styleId="Tabletext">
    <w:name w:val="Table_text"/>
    <w:basedOn w:val="Normal"/>
    <w:rsid w:val="002B6449"/>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B6449"/>
    <w:pPr>
      <w:keepNext/>
      <w:keepLines/>
      <w:spacing w:before="20" w:after="20"/>
    </w:pPr>
    <w:rPr>
      <w:sz w:val="18"/>
    </w:rPr>
  </w:style>
  <w:style w:type="paragraph" w:customStyle="1" w:styleId="Equation">
    <w:name w:val="Equation"/>
    <w:basedOn w:val="Normal"/>
    <w:rsid w:val="002B6449"/>
    <w:pPr>
      <w:tabs>
        <w:tab w:val="center" w:pos="4820"/>
        <w:tab w:val="right" w:pos="9639"/>
      </w:tabs>
    </w:pPr>
  </w:style>
  <w:style w:type="paragraph" w:customStyle="1" w:styleId="Head">
    <w:name w:val="Head"/>
    <w:basedOn w:val="Normal"/>
    <w:rsid w:val="002B6449"/>
    <w:pPr>
      <w:tabs>
        <w:tab w:val="left" w:pos="6663"/>
      </w:tabs>
      <w:overflowPunct/>
      <w:autoSpaceDE/>
      <w:autoSpaceDN/>
      <w:adjustRightInd/>
      <w:spacing w:before="0"/>
      <w:textAlignment w:val="auto"/>
    </w:pPr>
  </w:style>
  <w:style w:type="paragraph" w:customStyle="1" w:styleId="toc0">
    <w:name w:val="toc 0"/>
    <w:basedOn w:val="Normal"/>
    <w:next w:val="TOC1"/>
    <w:rsid w:val="002B6449"/>
    <w:pPr>
      <w:tabs>
        <w:tab w:val="clear" w:pos="567"/>
        <w:tab w:val="clear" w:pos="1134"/>
        <w:tab w:val="clear" w:pos="1701"/>
        <w:tab w:val="clear" w:pos="2268"/>
        <w:tab w:val="clear" w:pos="2835"/>
        <w:tab w:val="right" w:pos="9781"/>
      </w:tabs>
    </w:pPr>
    <w:rPr>
      <w:b/>
    </w:rPr>
  </w:style>
  <w:style w:type="paragraph" w:styleId="List">
    <w:name w:val="List"/>
    <w:basedOn w:val="Normal"/>
    <w:rsid w:val="002B6449"/>
    <w:pPr>
      <w:tabs>
        <w:tab w:val="left" w:pos="2127"/>
      </w:tabs>
      <w:ind w:left="2127" w:hanging="2127"/>
    </w:pPr>
  </w:style>
  <w:style w:type="paragraph" w:customStyle="1" w:styleId="Part">
    <w:name w:val="Part"/>
    <w:basedOn w:val="Normal"/>
    <w:rsid w:val="002B6449"/>
    <w:pPr>
      <w:tabs>
        <w:tab w:val="left" w:pos="1276"/>
      </w:tabs>
      <w:spacing w:before="199"/>
      <w:ind w:left="1701" w:hanging="1701"/>
    </w:pPr>
    <w:rPr>
      <w:caps/>
    </w:rPr>
  </w:style>
  <w:style w:type="paragraph" w:customStyle="1" w:styleId="Figurewithouttitle">
    <w:name w:val="Figure_without_title"/>
    <w:basedOn w:val="Figure"/>
    <w:next w:val="Normalaftertitle"/>
    <w:rsid w:val="002B6449"/>
    <w:pPr>
      <w:keepNext w:val="0"/>
      <w:spacing w:after="240"/>
    </w:pPr>
  </w:style>
  <w:style w:type="character" w:styleId="PageNumber">
    <w:name w:val="page number"/>
    <w:basedOn w:val="DefaultParagraphFont"/>
    <w:rsid w:val="002B6449"/>
    <w:rPr>
      <w:rFonts w:ascii="Calibri" w:hAnsi="Calibri"/>
    </w:rPr>
  </w:style>
  <w:style w:type="paragraph" w:customStyle="1" w:styleId="meeting">
    <w:name w:val="meeting"/>
    <w:basedOn w:val="Head"/>
    <w:next w:val="Head"/>
    <w:rsid w:val="002B6449"/>
    <w:pPr>
      <w:tabs>
        <w:tab w:val="left" w:pos="7371"/>
      </w:tabs>
      <w:spacing w:after="567"/>
    </w:pPr>
  </w:style>
  <w:style w:type="paragraph" w:customStyle="1" w:styleId="PartNo">
    <w:name w:val="Part_No"/>
    <w:basedOn w:val="AnnexNo"/>
    <w:next w:val="Parttitle"/>
    <w:rsid w:val="002B6449"/>
  </w:style>
  <w:style w:type="paragraph" w:customStyle="1" w:styleId="Parttitle">
    <w:name w:val="Part_title"/>
    <w:basedOn w:val="Annextitle"/>
    <w:next w:val="Partref"/>
    <w:rsid w:val="002B6449"/>
  </w:style>
  <w:style w:type="paragraph" w:customStyle="1" w:styleId="Partref">
    <w:name w:val="Part_ref"/>
    <w:basedOn w:val="Annexref"/>
    <w:next w:val="Normalaftertitle"/>
    <w:rsid w:val="002B6449"/>
  </w:style>
  <w:style w:type="paragraph" w:customStyle="1" w:styleId="Headingb">
    <w:name w:val="Heading_b"/>
    <w:basedOn w:val="Heading3"/>
    <w:next w:val="Normal"/>
    <w:rsid w:val="002B6449"/>
    <w:pPr>
      <w:spacing w:before="160"/>
      <w:outlineLvl w:val="0"/>
    </w:pPr>
  </w:style>
  <w:style w:type="paragraph" w:customStyle="1" w:styleId="Subject">
    <w:name w:val="Subject"/>
    <w:basedOn w:val="Normal"/>
    <w:next w:val="Source"/>
    <w:rsid w:val="002B6449"/>
    <w:pPr>
      <w:tabs>
        <w:tab w:val="left" w:pos="709"/>
      </w:tabs>
      <w:spacing w:before="0"/>
      <w:ind w:left="709" w:hanging="709"/>
    </w:pPr>
  </w:style>
  <w:style w:type="paragraph" w:customStyle="1" w:styleId="Source">
    <w:name w:val="Source"/>
    <w:basedOn w:val="Normal"/>
    <w:next w:val="Title1"/>
    <w:rsid w:val="002B6449"/>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2B6449"/>
  </w:style>
  <w:style w:type="character" w:styleId="Hyperlink">
    <w:name w:val="Hyperlink"/>
    <w:basedOn w:val="DefaultParagraphFont"/>
    <w:rsid w:val="002B6449"/>
    <w:rPr>
      <w:color w:val="0000FF"/>
      <w:u w:val="single"/>
    </w:rPr>
  </w:style>
  <w:style w:type="character" w:styleId="FollowedHyperlink">
    <w:name w:val="FollowedHyperlink"/>
    <w:basedOn w:val="DefaultParagraphFont"/>
    <w:rsid w:val="002B6449"/>
    <w:rPr>
      <w:color w:val="800080"/>
      <w:u w:val="single"/>
    </w:rPr>
  </w:style>
  <w:style w:type="paragraph" w:customStyle="1" w:styleId="FirstFooter">
    <w:name w:val="FirstFooter"/>
    <w:basedOn w:val="Footer"/>
    <w:rsid w:val="002B6449"/>
    <w:rPr>
      <w:caps w:val="0"/>
    </w:rPr>
  </w:style>
  <w:style w:type="paragraph" w:customStyle="1" w:styleId="Note">
    <w:name w:val="Note"/>
    <w:basedOn w:val="Normal"/>
    <w:rsid w:val="002B6449"/>
    <w:pPr>
      <w:tabs>
        <w:tab w:val="clear" w:pos="567"/>
        <w:tab w:val="left" w:pos="851"/>
      </w:tabs>
    </w:pPr>
  </w:style>
  <w:style w:type="paragraph" w:styleId="TOC9">
    <w:name w:val="toc 9"/>
    <w:basedOn w:val="TOC4"/>
    <w:rsid w:val="002B6449"/>
  </w:style>
  <w:style w:type="paragraph" w:customStyle="1" w:styleId="Headingi">
    <w:name w:val="Heading_i"/>
    <w:basedOn w:val="Heading3"/>
    <w:next w:val="Normal"/>
    <w:rsid w:val="002B6449"/>
    <w:pPr>
      <w:spacing w:before="160"/>
      <w:outlineLvl w:val="0"/>
    </w:pPr>
    <w:rPr>
      <w:b w:val="0"/>
      <w:i/>
    </w:rPr>
  </w:style>
  <w:style w:type="paragraph" w:customStyle="1" w:styleId="Title1">
    <w:name w:val="Title 1"/>
    <w:basedOn w:val="Source"/>
    <w:next w:val="Title2"/>
    <w:rsid w:val="002B6449"/>
    <w:pPr>
      <w:spacing w:before="240"/>
    </w:pPr>
    <w:rPr>
      <w:b w:val="0"/>
      <w:caps/>
    </w:rPr>
  </w:style>
  <w:style w:type="paragraph" w:customStyle="1" w:styleId="Title2">
    <w:name w:val="Title 2"/>
    <w:basedOn w:val="Source"/>
    <w:next w:val="Title3"/>
    <w:rsid w:val="002B6449"/>
    <w:pPr>
      <w:spacing w:before="240"/>
    </w:pPr>
    <w:rPr>
      <w:b w:val="0"/>
      <w:caps/>
    </w:rPr>
  </w:style>
  <w:style w:type="paragraph" w:customStyle="1" w:styleId="Title3">
    <w:name w:val="Title 3"/>
    <w:basedOn w:val="Title2"/>
    <w:next w:val="Normalaftertitle"/>
    <w:rsid w:val="002B6449"/>
    <w:rPr>
      <w:caps w:val="0"/>
    </w:rPr>
  </w:style>
  <w:style w:type="paragraph" w:customStyle="1" w:styleId="Title4">
    <w:name w:val="Title 4"/>
    <w:basedOn w:val="Title3"/>
    <w:next w:val="Heading1"/>
    <w:rsid w:val="002B6449"/>
    <w:rPr>
      <w:b/>
    </w:rPr>
  </w:style>
  <w:style w:type="paragraph" w:customStyle="1" w:styleId="dnum">
    <w:name w:val="dnum"/>
    <w:basedOn w:val="Normal"/>
    <w:rsid w:val="002B6449"/>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2B6449"/>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B6449"/>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2B6449"/>
    <w:pPr>
      <w:spacing w:before="720"/>
      <w:jc w:val="center"/>
    </w:pPr>
    <w:rPr>
      <w:caps/>
      <w:sz w:val="28"/>
    </w:rPr>
  </w:style>
  <w:style w:type="paragraph" w:customStyle="1" w:styleId="Rectitle">
    <w:name w:val="Rec_title"/>
    <w:basedOn w:val="Normal"/>
    <w:next w:val="Heading1"/>
    <w:rsid w:val="002B6449"/>
    <w:pPr>
      <w:spacing w:before="240"/>
      <w:jc w:val="center"/>
    </w:pPr>
    <w:rPr>
      <w:b/>
      <w:sz w:val="28"/>
    </w:rPr>
  </w:style>
  <w:style w:type="paragraph" w:customStyle="1" w:styleId="Recref">
    <w:name w:val="Rec_ref"/>
    <w:basedOn w:val="Rectitle"/>
    <w:next w:val="Recdate"/>
    <w:rsid w:val="002B6449"/>
    <w:pPr>
      <w:spacing w:before="120"/>
    </w:pPr>
    <w:rPr>
      <w:rFonts w:ascii="Times New Roman" w:hAnsi="Times New Roman"/>
      <w:b w:val="0"/>
      <w:sz w:val="24"/>
    </w:rPr>
  </w:style>
  <w:style w:type="paragraph" w:customStyle="1" w:styleId="Recdate">
    <w:name w:val="Rec_date"/>
    <w:basedOn w:val="Recref"/>
    <w:next w:val="Normalaftertitle"/>
    <w:rsid w:val="002B6449"/>
    <w:pPr>
      <w:jc w:val="right"/>
    </w:pPr>
    <w:rPr>
      <w:sz w:val="22"/>
    </w:rPr>
  </w:style>
  <w:style w:type="paragraph" w:customStyle="1" w:styleId="Questiondate">
    <w:name w:val="Question_date"/>
    <w:basedOn w:val="Recdate"/>
    <w:next w:val="Normalaftertitle"/>
    <w:rsid w:val="002B6449"/>
  </w:style>
  <w:style w:type="paragraph" w:customStyle="1" w:styleId="QuestionNo">
    <w:name w:val="Question_No"/>
    <w:basedOn w:val="RecNo"/>
    <w:next w:val="Questiontitle"/>
    <w:rsid w:val="002B6449"/>
  </w:style>
  <w:style w:type="paragraph" w:customStyle="1" w:styleId="Questiontitle">
    <w:name w:val="Question_title"/>
    <w:basedOn w:val="Rectitle"/>
    <w:next w:val="Questionref"/>
    <w:rsid w:val="002B6449"/>
  </w:style>
  <w:style w:type="paragraph" w:customStyle="1" w:styleId="Questionref">
    <w:name w:val="Question_ref"/>
    <w:basedOn w:val="Recref"/>
    <w:next w:val="Questiondate"/>
    <w:rsid w:val="002B6449"/>
  </w:style>
  <w:style w:type="paragraph" w:customStyle="1" w:styleId="Reftext">
    <w:name w:val="Ref_text"/>
    <w:basedOn w:val="Normal"/>
    <w:rsid w:val="002B6449"/>
    <w:pPr>
      <w:ind w:left="567" w:hanging="567"/>
    </w:pPr>
  </w:style>
  <w:style w:type="paragraph" w:customStyle="1" w:styleId="Reftitle">
    <w:name w:val="Ref_title"/>
    <w:basedOn w:val="Normal"/>
    <w:next w:val="Reftext"/>
    <w:rsid w:val="002B6449"/>
    <w:pPr>
      <w:spacing w:before="480"/>
      <w:jc w:val="center"/>
    </w:pPr>
    <w:rPr>
      <w:caps/>
      <w:sz w:val="28"/>
    </w:rPr>
  </w:style>
  <w:style w:type="paragraph" w:customStyle="1" w:styleId="Repdate">
    <w:name w:val="Rep_date"/>
    <w:basedOn w:val="Recdate"/>
    <w:next w:val="Normalaftertitle"/>
    <w:rsid w:val="002B6449"/>
  </w:style>
  <w:style w:type="paragraph" w:customStyle="1" w:styleId="RepNo">
    <w:name w:val="Rep_No"/>
    <w:basedOn w:val="RecNo"/>
    <w:next w:val="Reptitle"/>
    <w:rsid w:val="002B6449"/>
  </w:style>
  <w:style w:type="paragraph" w:customStyle="1" w:styleId="Reptitle">
    <w:name w:val="Rep_title"/>
    <w:basedOn w:val="Rectitle"/>
    <w:next w:val="Repref"/>
    <w:rsid w:val="002B6449"/>
  </w:style>
  <w:style w:type="paragraph" w:customStyle="1" w:styleId="Repref">
    <w:name w:val="Rep_ref"/>
    <w:basedOn w:val="Recref"/>
    <w:next w:val="Repdate"/>
    <w:rsid w:val="002B6449"/>
  </w:style>
  <w:style w:type="paragraph" w:customStyle="1" w:styleId="Resdate">
    <w:name w:val="Res_date"/>
    <w:basedOn w:val="Recdate"/>
    <w:next w:val="Normalaftertitle"/>
    <w:rsid w:val="002B6449"/>
  </w:style>
  <w:style w:type="paragraph" w:customStyle="1" w:styleId="ResNo">
    <w:name w:val="Res_No"/>
    <w:basedOn w:val="AnnexNo"/>
    <w:next w:val="Restitle"/>
    <w:rsid w:val="002B6449"/>
  </w:style>
  <w:style w:type="paragraph" w:customStyle="1" w:styleId="Restitle">
    <w:name w:val="Res_title"/>
    <w:basedOn w:val="Annextitle"/>
    <w:next w:val="Normal"/>
    <w:rsid w:val="002B6449"/>
  </w:style>
  <w:style w:type="paragraph" w:customStyle="1" w:styleId="Resref">
    <w:name w:val="Res_ref"/>
    <w:basedOn w:val="Recref"/>
    <w:next w:val="Resdate"/>
    <w:rsid w:val="002B6449"/>
  </w:style>
  <w:style w:type="paragraph" w:customStyle="1" w:styleId="SectionNo">
    <w:name w:val="Section_No"/>
    <w:basedOn w:val="AnnexNo"/>
    <w:next w:val="Sectiontitle"/>
    <w:rsid w:val="002B6449"/>
  </w:style>
  <w:style w:type="paragraph" w:customStyle="1" w:styleId="Sectiontitle">
    <w:name w:val="Section_title"/>
    <w:basedOn w:val="Normal"/>
    <w:next w:val="Normalaftertitle"/>
    <w:rsid w:val="002B6449"/>
    <w:rPr>
      <w:sz w:val="28"/>
    </w:rPr>
  </w:style>
  <w:style w:type="paragraph" w:customStyle="1" w:styleId="SpecialFooter">
    <w:name w:val="Special Footer"/>
    <w:basedOn w:val="Footer"/>
    <w:rsid w:val="002B644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B6449"/>
    <w:pPr>
      <w:spacing w:before="120" w:after="120"/>
      <w:jc w:val="center"/>
    </w:pPr>
    <w:rPr>
      <w:b/>
    </w:rPr>
  </w:style>
  <w:style w:type="paragraph" w:customStyle="1" w:styleId="Tablelegend">
    <w:name w:val="Table_legend"/>
    <w:basedOn w:val="Tabletext"/>
    <w:rsid w:val="002B6449"/>
    <w:pPr>
      <w:spacing w:before="120"/>
    </w:pPr>
  </w:style>
  <w:style w:type="paragraph" w:customStyle="1" w:styleId="Tableref">
    <w:name w:val="Table_ref"/>
    <w:basedOn w:val="Normal"/>
    <w:next w:val="Tabletitle"/>
    <w:rsid w:val="002B6449"/>
    <w:pPr>
      <w:keepNext/>
      <w:spacing w:before="567"/>
      <w:jc w:val="center"/>
    </w:pPr>
  </w:style>
  <w:style w:type="paragraph" w:customStyle="1" w:styleId="Reasons">
    <w:name w:val="Reasons"/>
    <w:basedOn w:val="Normal"/>
    <w:rsid w:val="002B6449"/>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2B6449"/>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2B6449"/>
    <w:pPr>
      <w:keepNext/>
      <w:keepLines/>
      <w:spacing w:before="240" w:after="120"/>
      <w:jc w:val="center"/>
    </w:pPr>
    <w:rPr>
      <w:caps/>
    </w:rPr>
  </w:style>
  <w:style w:type="paragraph" w:customStyle="1" w:styleId="Normalnumbered">
    <w:name w:val="Normal (numbered)"/>
    <w:basedOn w:val="ListParagraph"/>
    <w:link w:val="NormalnumberedChar"/>
    <w:qFormat/>
    <w:rsid w:val="00752B7E"/>
    <w:pPr>
      <w:numPr>
        <w:ilvl w:val="1"/>
        <w:numId w:val="4"/>
      </w:numPr>
      <w:tabs>
        <w:tab w:val="clear" w:pos="567"/>
        <w:tab w:val="clear" w:pos="1134"/>
        <w:tab w:val="clear" w:pos="1701"/>
        <w:tab w:val="clear" w:pos="2268"/>
        <w:tab w:val="clear" w:pos="2835"/>
      </w:tabs>
      <w:spacing w:before="180" w:after="120"/>
      <w:contextualSpacing w:val="0"/>
      <w:jc w:val="both"/>
    </w:pPr>
    <w:rPr>
      <w:rFonts w:asciiTheme="minorHAnsi" w:hAnsiTheme="minorHAnsi"/>
      <w:szCs w:val="24"/>
      <w:lang w:val="en-GB"/>
    </w:rPr>
  </w:style>
  <w:style w:type="paragraph" w:customStyle="1" w:styleId="NumberedHeading">
    <w:name w:val="Numbered Heading"/>
    <w:basedOn w:val="Normalnumbered"/>
    <w:link w:val="NumberedHeadingChar"/>
    <w:qFormat/>
    <w:rsid w:val="00752B7E"/>
    <w:pPr>
      <w:keepNext/>
      <w:numPr>
        <w:ilvl w:val="0"/>
      </w:numPr>
      <w:spacing w:before="480" w:after="0"/>
      <w:ind w:left="357" w:hanging="357"/>
    </w:pPr>
    <w:rPr>
      <w:b/>
    </w:rPr>
  </w:style>
  <w:style w:type="character" w:customStyle="1" w:styleId="NormalnumberedChar">
    <w:name w:val="Normal (numbered) Char"/>
    <w:basedOn w:val="DefaultParagraphFont"/>
    <w:link w:val="Normalnumbered"/>
    <w:rsid w:val="00752B7E"/>
    <w:rPr>
      <w:rFonts w:asciiTheme="minorHAnsi" w:hAnsiTheme="minorHAnsi"/>
      <w:sz w:val="24"/>
      <w:szCs w:val="24"/>
      <w:lang w:val="en-GB" w:eastAsia="en-US"/>
    </w:rPr>
  </w:style>
  <w:style w:type="character" w:customStyle="1" w:styleId="NumberedHeadingChar">
    <w:name w:val="Numbered Heading Char"/>
    <w:basedOn w:val="NormalnumberedChar"/>
    <w:link w:val="NumberedHeading"/>
    <w:rsid w:val="00752B7E"/>
    <w:rPr>
      <w:rFonts w:asciiTheme="minorHAnsi" w:hAnsiTheme="minorHAnsi"/>
      <w:b/>
      <w:sz w:val="24"/>
      <w:szCs w:val="24"/>
      <w:lang w:val="en-GB" w:eastAsia="en-US"/>
    </w:rPr>
  </w:style>
  <w:style w:type="paragraph" w:styleId="ListParagraph">
    <w:name w:val="List Paragraph"/>
    <w:basedOn w:val="Normal"/>
    <w:uiPriority w:val="34"/>
    <w:qFormat/>
    <w:rsid w:val="00752B7E"/>
    <w:pPr>
      <w:ind w:left="720"/>
      <w:contextualSpacing/>
    </w:pPr>
  </w:style>
  <w:style w:type="paragraph" w:styleId="BalloonText">
    <w:name w:val="Balloon Text"/>
    <w:basedOn w:val="Normal"/>
    <w:link w:val="BalloonTextChar"/>
    <w:semiHidden/>
    <w:unhideWhenUsed/>
    <w:rsid w:val="00990F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0FD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22/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pub/S-CONF-PLEN-2015/es" TargetMode="External"/><Relationship Id="rId4" Type="http://schemas.openxmlformats.org/officeDocument/2006/relationships/webSettings" Target="webSettings.xml"/><Relationship Id="rId9" Type="http://schemas.openxmlformats.org/officeDocument/2006/relationships/hyperlink" Target="https://www.itu.int/md/S18-CL-C-0040/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PS_C18FINAL.dotx</Template>
  <TotalTime>38</TotalTime>
  <Pages>5</Pages>
  <Words>1416</Words>
  <Characters>7797</Characters>
  <Application>Microsoft Office Word</Application>
  <DocSecurity>0</DocSecurity>
  <Lines>64</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SUPLEMENTARIO DEL COMITÉ ASESOR INDEPENDIENTE SOBRE LA GESTIÓN (CAIG)</vt:lpstr>
    </vt:vector>
  </TitlesOfParts>
  <Manager>Secretaría General - Pool</Manager>
  <Company>Unión Internacional de Telecomunicaciones (UIT)</Company>
  <LinksUpToDate>false</LinksUpToDate>
  <CharactersWithSpaces>9195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report of the IMAC</dc:title>
  <dc:subject>Consejo 2010</dc:subject>
  <dc:creator>Nota del Secretario General</dc:creator>
  <cp:keywords>C2018, C18</cp:keywords>
  <dc:description/>
  <cp:lastModifiedBy>Botalla, Sabine</cp:lastModifiedBy>
  <cp:revision>13</cp:revision>
  <cp:lastPrinted>2018-10-01T12:31:00Z</cp:lastPrinted>
  <dcterms:created xsi:type="dcterms:W3CDTF">2014-09-25T12:37:00Z</dcterms:created>
  <dcterms:modified xsi:type="dcterms:W3CDTF">2018-10-05T11:38:00Z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C14/22-S</vt:lpwstr>
  </property>
  <property fmtid="{D5CDD505-2E9C-101B-9397-08002B2CF9AE}" pid="3" name="Docdate">
    <vt:lpwstr>29 de agosto de 2014</vt:lpwstr>
  </property>
  <property fmtid="{D5CDD505-2E9C-101B-9397-08002B2CF9AE}" pid="4" name="Docorlang">
    <vt:lpwstr>Original: inglés</vt:lpwstr>
  </property>
  <property fmtid="{D5CDD505-2E9C-101B-9397-08002B2CF9AE}" pid="5" name="Docbluepink">
    <vt:lpwstr>Consejo 2014 Última sesión, Busán, 18 de octubre de 2014</vt:lpwstr>
  </property>
  <property fmtid="{D5CDD505-2E9C-101B-9397-08002B2CF9AE}" pid="6" name="Docdest">
    <vt:lpwstr/>
  </property>
  <property fmtid="{D5CDD505-2E9C-101B-9397-08002B2CF9AE}" pid="7" name="Docauthor">
    <vt:lpwstr>Nota del Secretario General</vt:lpwstr>
  </property>
</Properties>
</file>