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6911"/>
        <w:gridCol w:w="3120"/>
      </w:tblGrid>
      <w:tr w:rsidR="00C62E7A" w:rsidRPr="004D0D7E" w:rsidTr="00C62E7A">
        <w:trPr>
          <w:cantSplit/>
        </w:trPr>
        <w:tc>
          <w:tcPr>
            <w:tcW w:w="6911" w:type="dxa"/>
          </w:tcPr>
          <w:p w:rsidR="00C62E7A" w:rsidRPr="004D0D7E" w:rsidRDefault="00C62E7A" w:rsidP="00C62E7A">
            <w:pPr>
              <w:spacing w:before="360" w:after="48" w:line="240" w:lineRule="auto"/>
              <w:jc w:val="left"/>
              <w:rPr>
                <w:rFonts w:ascii="Verdana" w:hAnsi="Verdana"/>
                <w:position w:val="6"/>
                <w:sz w:val="24"/>
                <w:szCs w:val="20"/>
                <w:lang w:val="en-GB"/>
              </w:rPr>
            </w:pPr>
            <w:r w:rsidRPr="004D0D7E">
              <w:rPr>
                <w:rFonts w:ascii="SimSun" w:hAnsi="SimSun" w:hint="eastAsia"/>
                <w:b/>
                <w:bCs/>
                <w:sz w:val="26"/>
                <w:szCs w:val="26"/>
              </w:rPr>
              <w:t>理事会</w:t>
            </w:r>
            <w:r w:rsidRPr="004D0D7E">
              <w:rPr>
                <w:rFonts w:cs="Arial"/>
                <w:b/>
                <w:bCs/>
                <w:sz w:val="26"/>
                <w:szCs w:val="26"/>
              </w:rPr>
              <w:t>2018</w:t>
            </w:r>
            <w:r w:rsidRPr="004D0D7E">
              <w:rPr>
                <w:rFonts w:ascii="SimSun" w:hAnsi="SimSun" w:hint="eastAsia"/>
                <w:b/>
                <w:bCs/>
                <w:sz w:val="26"/>
                <w:szCs w:val="26"/>
              </w:rPr>
              <w:t>年</w:t>
            </w:r>
            <w:r>
              <w:rPr>
                <w:rFonts w:ascii="SimSun" w:hAnsi="SimSun" w:hint="eastAsia"/>
                <w:b/>
                <w:bCs/>
                <w:sz w:val="26"/>
                <w:szCs w:val="26"/>
              </w:rPr>
              <w:t>会议最后</w:t>
            </w:r>
            <w:r w:rsidRPr="004D0D7E">
              <w:rPr>
                <w:rFonts w:ascii="SimSun" w:hAnsi="SimSun" w:hint="eastAsia"/>
                <w:b/>
                <w:bCs/>
                <w:sz w:val="26"/>
                <w:szCs w:val="26"/>
              </w:rPr>
              <w:t>会议</w:t>
            </w:r>
            <w:r w:rsidRPr="004D0D7E">
              <w:rPr>
                <w:rFonts w:ascii="Arial" w:hAnsi="Arial" w:cs="Arial"/>
                <w:b/>
                <w:bCs/>
                <w:sz w:val="24"/>
                <w:szCs w:val="24"/>
              </w:rPr>
              <w:br/>
            </w:r>
            <w:r w:rsidRPr="004D0D7E">
              <w:rPr>
                <w:b/>
                <w:bCs/>
                <w:color w:val="000000"/>
                <w:sz w:val="24"/>
                <w:szCs w:val="20"/>
                <w:lang w:val="en-GB"/>
              </w:rPr>
              <w:t>2018</w:t>
            </w:r>
            <w:r w:rsidRPr="004D0D7E">
              <w:rPr>
                <w:rFonts w:ascii="SimSun" w:hAnsi="SimSun" w:hint="eastAsia"/>
                <w:b/>
                <w:bCs/>
                <w:color w:val="000000"/>
                <w:sz w:val="24"/>
                <w:szCs w:val="20"/>
                <w:lang w:val="en-GB"/>
              </w:rPr>
              <w:t>年</w:t>
            </w:r>
            <w:r>
              <w:rPr>
                <w:b/>
                <w:bCs/>
                <w:color w:val="000000"/>
                <w:sz w:val="24"/>
                <w:szCs w:val="20"/>
                <w:lang w:val="en-GB"/>
              </w:rPr>
              <w:t>10</w:t>
            </w:r>
            <w:r>
              <w:rPr>
                <w:rFonts w:hint="eastAsia"/>
                <w:b/>
                <w:bCs/>
                <w:color w:val="000000"/>
                <w:sz w:val="24"/>
                <w:szCs w:val="20"/>
                <w:lang w:val="en-GB"/>
              </w:rPr>
              <w:t>月</w:t>
            </w:r>
            <w:r w:rsidRPr="004D0D7E">
              <w:rPr>
                <w:b/>
                <w:bCs/>
                <w:color w:val="000000"/>
                <w:sz w:val="24"/>
                <w:szCs w:val="20"/>
                <w:lang w:val="en-GB"/>
              </w:rPr>
              <w:t>27</w:t>
            </w:r>
            <w:r w:rsidRPr="004D0D7E">
              <w:rPr>
                <w:rFonts w:ascii="SimSun" w:hAnsi="SimSun" w:hint="eastAsia"/>
                <w:b/>
                <w:bCs/>
                <w:color w:val="000000"/>
                <w:sz w:val="24"/>
                <w:szCs w:val="20"/>
                <w:lang w:val="en-GB"/>
              </w:rPr>
              <w:t>日</w:t>
            </w:r>
            <w:r w:rsidRPr="004D0D7E">
              <w:rPr>
                <w:rFonts w:ascii="SimSun" w:hAnsi="SimSun" w:cs="SimSun" w:hint="eastAsia"/>
                <w:b/>
                <w:bCs/>
                <w:smallCaps/>
                <w:sz w:val="24"/>
                <w:szCs w:val="24"/>
              </w:rPr>
              <w:t>，</w:t>
            </w:r>
            <w:r>
              <w:rPr>
                <w:rFonts w:ascii="SimSun" w:hAnsi="SimSun" w:hint="eastAsia"/>
                <w:b/>
                <w:bCs/>
                <w:sz w:val="24"/>
                <w:szCs w:val="24"/>
                <w:lang w:val="en-GB"/>
              </w:rPr>
              <w:t>迪拜</w:t>
            </w:r>
          </w:p>
        </w:tc>
        <w:tc>
          <w:tcPr>
            <w:tcW w:w="3120" w:type="dxa"/>
          </w:tcPr>
          <w:p w:rsidR="00C62E7A" w:rsidRPr="004D0D7E" w:rsidRDefault="00C62E7A" w:rsidP="00C62E7A">
            <w:pPr>
              <w:spacing w:before="0" w:line="240" w:lineRule="auto"/>
              <w:jc w:val="right"/>
              <w:rPr>
                <w:sz w:val="24"/>
                <w:szCs w:val="20"/>
                <w:lang w:val="en-GB" w:eastAsia="en-US"/>
              </w:rPr>
            </w:pPr>
            <w:bookmarkStart w:id="0" w:name="ditulogo"/>
            <w:bookmarkEnd w:id="0"/>
            <w:r w:rsidRPr="004D0D7E">
              <w:rPr>
                <w:noProof/>
                <w:sz w:val="24"/>
                <w:szCs w:val="20"/>
                <w:lang w:val="en-GB"/>
              </w:rPr>
              <w:drawing>
                <wp:inline distT="0" distB="0" distL="0" distR="0" wp14:anchorId="5A32BC84" wp14:editId="677708FD">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62E7A" w:rsidRPr="004D0D7E" w:rsidTr="00C62E7A">
        <w:trPr>
          <w:cantSplit/>
        </w:trPr>
        <w:tc>
          <w:tcPr>
            <w:tcW w:w="6911" w:type="dxa"/>
            <w:tcBorders>
              <w:bottom w:val="single" w:sz="12" w:space="0" w:color="auto"/>
            </w:tcBorders>
          </w:tcPr>
          <w:p w:rsidR="00C62E7A" w:rsidRPr="004D0D7E" w:rsidRDefault="00C62E7A" w:rsidP="00C62E7A">
            <w:pPr>
              <w:spacing w:before="0" w:after="48" w:line="240" w:lineRule="auto"/>
              <w:jc w:val="left"/>
              <w:rPr>
                <w:b/>
                <w:smallCaps/>
                <w:sz w:val="24"/>
                <w:szCs w:val="24"/>
                <w:lang w:val="en-GB" w:eastAsia="en-US"/>
              </w:rPr>
            </w:pPr>
          </w:p>
        </w:tc>
        <w:tc>
          <w:tcPr>
            <w:tcW w:w="3120" w:type="dxa"/>
            <w:tcBorders>
              <w:bottom w:val="single" w:sz="12" w:space="0" w:color="auto"/>
            </w:tcBorders>
          </w:tcPr>
          <w:p w:rsidR="00C62E7A" w:rsidRPr="004D0D7E" w:rsidRDefault="00C62E7A" w:rsidP="00C62E7A">
            <w:pPr>
              <w:spacing w:before="0" w:line="240" w:lineRule="auto"/>
              <w:jc w:val="left"/>
              <w:rPr>
                <w:rFonts w:ascii="Verdana" w:hAnsi="Verdana"/>
                <w:sz w:val="24"/>
                <w:szCs w:val="24"/>
                <w:lang w:val="en-GB" w:eastAsia="en-US"/>
              </w:rPr>
            </w:pPr>
          </w:p>
        </w:tc>
      </w:tr>
      <w:tr w:rsidR="00C62E7A" w:rsidRPr="004D0D7E" w:rsidTr="00C62E7A">
        <w:trPr>
          <w:cantSplit/>
        </w:trPr>
        <w:tc>
          <w:tcPr>
            <w:tcW w:w="6911" w:type="dxa"/>
            <w:tcBorders>
              <w:top w:val="single" w:sz="12" w:space="0" w:color="auto"/>
            </w:tcBorders>
          </w:tcPr>
          <w:p w:rsidR="00C62E7A" w:rsidRPr="004D0D7E" w:rsidRDefault="00C62E7A" w:rsidP="00C62E7A">
            <w:pPr>
              <w:spacing w:before="0" w:after="48" w:line="240" w:lineRule="auto"/>
              <w:jc w:val="left"/>
              <w:rPr>
                <w:b/>
                <w:smallCaps/>
                <w:sz w:val="24"/>
                <w:szCs w:val="24"/>
                <w:lang w:val="en-GB" w:eastAsia="en-US"/>
              </w:rPr>
            </w:pPr>
          </w:p>
        </w:tc>
        <w:tc>
          <w:tcPr>
            <w:tcW w:w="3120" w:type="dxa"/>
            <w:tcBorders>
              <w:top w:val="single" w:sz="12" w:space="0" w:color="auto"/>
            </w:tcBorders>
          </w:tcPr>
          <w:p w:rsidR="00C62E7A" w:rsidRPr="004D0D7E" w:rsidRDefault="00C62E7A" w:rsidP="00C62E7A">
            <w:pPr>
              <w:spacing w:before="0" w:line="240" w:lineRule="auto"/>
              <w:jc w:val="left"/>
              <w:rPr>
                <w:rFonts w:ascii="Verdana" w:hAnsi="Verdana"/>
                <w:sz w:val="24"/>
                <w:szCs w:val="24"/>
                <w:lang w:val="en-GB" w:eastAsia="en-US"/>
              </w:rPr>
            </w:pPr>
          </w:p>
        </w:tc>
      </w:tr>
      <w:tr w:rsidR="002D4B78" w:rsidRPr="004D0D7E" w:rsidTr="00C62E7A">
        <w:trPr>
          <w:cantSplit/>
          <w:trHeight w:val="23"/>
        </w:trPr>
        <w:tc>
          <w:tcPr>
            <w:tcW w:w="6911" w:type="dxa"/>
            <w:vMerge w:val="restart"/>
          </w:tcPr>
          <w:p w:rsidR="002D4B78" w:rsidRPr="004D0D7E" w:rsidRDefault="002D4B78" w:rsidP="002D4B78">
            <w:pPr>
              <w:tabs>
                <w:tab w:val="left" w:pos="851"/>
              </w:tabs>
              <w:spacing w:before="120" w:line="240" w:lineRule="auto"/>
              <w:jc w:val="left"/>
              <w:rPr>
                <w:b/>
                <w:sz w:val="24"/>
                <w:szCs w:val="24"/>
                <w:lang w:val="en-GB"/>
              </w:rPr>
            </w:pPr>
            <w:bookmarkStart w:id="1" w:name="dmeeting" w:colFirst="0" w:colLast="0"/>
          </w:p>
        </w:tc>
        <w:tc>
          <w:tcPr>
            <w:tcW w:w="3120" w:type="dxa"/>
          </w:tcPr>
          <w:p w:rsidR="002D4B78" w:rsidRPr="00700D1F" w:rsidRDefault="002D4B78" w:rsidP="002D4B78">
            <w:pPr>
              <w:tabs>
                <w:tab w:val="left" w:pos="851"/>
              </w:tabs>
              <w:spacing w:before="0"/>
              <w:rPr>
                <w:b/>
                <w:bCs/>
              </w:rPr>
            </w:pPr>
            <w:r w:rsidRPr="00FC5386">
              <w:rPr>
                <w:rFonts w:hint="eastAsia"/>
                <w:b/>
                <w:bCs/>
                <w:szCs w:val="24"/>
                <w:lang w:val="fr-CH"/>
              </w:rPr>
              <w:t>文件</w:t>
            </w:r>
            <w:r w:rsidRPr="00700D1F">
              <w:rPr>
                <w:b/>
                <w:bCs/>
                <w:sz w:val="20"/>
              </w:rPr>
              <w:t xml:space="preserve"> </w:t>
            </w:r>
            <w:r w:rsidRPr="00FC5386">
              <w:rPr>
                <w:b/>
                <w:bCs/>
                <w:szCs w:val="24"/>
              </w:rPr>
              <w:t>C1</w:t>
            </w:r>
            <w:r>
              <w:rPr>
                <w:b/>
                <w:bCs/>
                <w:szCs w:val="24"/>
              </w:rPr>
              <w:t>8</w:t>
            </w:r>
            <w:r w:rsidRPr="00FC5386">
              <w:rPr>
                <w:b/>
                <w:bCs/>
                <w:szCs w:val="24"/>
              </w:rPr>
              <w:t>/</w:t>
            </w:r>
            <w:r>
              <w:rPr>
                <w:b/>
                <w:bCs/>
                <w:szCs w:val="24"/>
              </w:rPr>
              <w:t>22</w:t>
            </w:r>
            <w:r>
              <w:rPr>
                <w:rFonts w:hint="eastAsia"/>
                <w:b/>
                <w:bCs/>
                <w:szCs w:val="24"/>
              </w:rPr>
              <w:t>(Add.</w:t>
            </w:r>
            <w:r>
              <w:rPr>
                <w:b/>
                <w:bCs/>
                <w:szCs w:val="24"/>
              </w:rPr>
              <w:t>1)</w:t>
            </w:r>
            <w:r w:rsidRPr="00FC5386">
              <w:rPr>
                <w:b/>
                <w:bCs/>
                <w:szCs w:val="24"/>
              </w:rPr>
              <w:t>-C</w:t>
            </w:r>
          </w:p>
        </w:tc>
      </w:tr>
      <w:bookmarkEnd w:id="1"/>
      <w:tr w:rsidR="002D4B78" w:rsidRPr="004D0D7E" w:rsidTr="00C62E7A">
        <w:trPr>
          <w:cantSplit/>
          <w:trHeight w:val="23"/>
        </w:trPr>
        <w:tc>
          <w:tcPr>
            <w:tcW w:w="6911" w:type="dxa"/>
            <w:vMerge/>
          </w:tcPr>
          <w:p w:rsidR="002D4B78" w:rsidRPr="004D0D7E" w:rsidRDefault="002D4B78" w:rsidP="002D4B78">
            <w:pPr>
              <w:tabs>
                <w:tab w:val="left" w:pos="851"/>
              </w:tabs>
              <w:spacing w:before="120" w:line="240" w:lineRule="auto"/>
              <w:jc w:val="left"/>
              <w:rPr>
                <w:b/>
                <w:sz w:val="24"/>
                <w:szCs w:val="20"/>
                <w:lang w:val="en-GB"/>
              </w:rPr>
            </w:pPr>
          </w:p>
        </w:tc>
        <w:tc>
          <w:tcPr>
            <w:tcW w:w="3120" w:type="dxa"/>
          </w:tcPr>
          <w:p w:rsidR="002D4B78" w:rsidRPr="00FC5386" w:rsidRDefault="002D4B78" w:rsidP="002D4B78">
            <w:pPr>
              <w:tabs>
                <w:tab w:val="left" w:pos="993"/>
              </w:tabs>
              <w:spacing w:before="0"/>
              <w:rPr>
                <w:b/>
                <w:bCs/>
                <w:szCs w:val="24"/>
              </w:rPr>
            </w:pPr>
            <w:r w:rsidRPr="00FC5386">
              <w:rPr>
                <w:b/>
                <w:bCs/>
                <w:szCs w:val="24"/>
              </w:rPr>
              <w:t>201</w:t>
            </w:r>
            <w:r>
              <w:rPr>
                <w:b/>
                <w:bCs/>
                <w:szCs w:val="24"/>
              </w:rPr>
              <w:t>8</w:t>
            </w:r>
            <w:r w:rsidRPr="00FC5386">
              <w:rPr>
                <w:rFonts w:hint="eastAsia"/>
                <w:b/>
                <w:bCs/>
                <w:szCs w:val="24"/>
              </w:rPr>
              <w:t>年</w:t>
            </w:r>
            <w:r>
              <w:rPr>
                <w:rFonts w:hint="eastAsia"/>
                <w:b/>
                <w:bCs/>
                <w:szCs w:val="24"/>
              </w:rPr>
              <w:t>9</w:t>
            </w:r>
            <w:r w:rsidRPr="00FC5386">
              <w:rPr>
                <w:rFonts w:hint="eastAsia"/>
                <w:b/>
                <w:bCs/>
                <w:szCs w:val="24"/>
              </w:rPr>
              <w:t>月</w:t>
            </w:r>
            <w:r>
              <w:rPr>
                <w:rFonts w:asciiTheme="minorHAnsi" w:hAnsiTheme="minorHAnsi" w:cstheme="minorHAnsi"/>
                <w:b/>
                <w:bCs/>
                <w:szCs w:val="24"/>
              </w:rPr>
              <w:t>24</w:t>
            </w:r>
            <w:r w:rsidRPr="00FC5386">
              <w:rPr>
                <w:rFonts w:hint="eastAsia"/>
                <w:b/>
                <w:bCs/>
                <w:szCs w:val="24"/>
              </w:rPr>
              <w:t>日</w:t>
            </w:r>
          </w:p>
        </w:tc>
      </w:tr>
      <w:tr w:rsidR="002D4B78" w:rsidRPr="004D0D7E" w:rsidTr="00C62E7A">
        <w:trPr>
          <w:cantSplit/>
          <w:trHeight w:val="23"/>
        </w:trPr>
        <w:tc>
          <w:tcPr>
            <w:tcW w:w="6911" w:type="dxa"/>
            <w:vMerge/>
          </w:tcPr>
          <w:p w:rsidR="002D4B78" w:rsidRPr="004D0D7E" w:rsidRDefault="002D4B78" w:rsidP="002D4B78">
            <w:pPr>
              <w:tabs>
                <w:tab w:val="left" w:pos="851"/>
              </w:tabs>
              <w:spacing w:before="120" w:line="240" w:lineRule="auto"/>
              <w:jc w:val="left"/>
              <w:rPr>
                <w:b/>
                <w:sz w:val="24"/>
                <w:szCs w:val="20"/>
                <w:lang w:val="en-GB"/>
              </w:rPr>
            </w:pPr>
          </w:p>
        </w:tc>
        <w:tc>
          <w:tcPr>
            <w:tcW w:w="3120" w:type="dxa"/>
          </w:tcPr>
          <w:p w:rsidR="002D4B78" w:rsidRPr="00FC5386" w:rsidRDefault="002D4B78" w:rsidP="002D4B78">
            <w:pPr>
              <w:tabs>
                <w:tab w:val="left" w:pos="993"/>
              </w:tabs>
              <w:spacing w:before="0"/>
              <w:rPr>
                <w:rFonts w:ascii="SimSun" w:hAnsi="SimSun"/>
                <w:b/>
                <w:bCs/>
                <w:szCs w:val="24"/>
              </w:rPr>
            </w:pPr>
            <w:r w:rsidRPr="00FC5386">
              <w:rPr>
                <w:rFonts w:hint="eastAsia"/>
                <w:b/>
                <w:bCs/>
                <w:szCs w:val="24"/>
              </w:rPr>
              <w:t>原文：英文</w:t>
            </w:r>
          </w:p>
        </w:tc>
      </w:tr>
      <w:tr w:rsidR="002D4B78" w:rsidRPr="004D0D7E" w:rsidTr="007E5921">
        <w:trPr>
          <w:cantSplit/>
        </w:trPr>
        <w:tc>
          <w:tcPr>
            <w:tcW w:w="10031" w:type="dxa"/>
            <w:gridSpan w:val="2"/>
          </w:tcPr>
          <w:p w:rsidR="002D4B78" w:rsidRDefault="002D4B78" w:rsidP="002D4B78">
            <w:pPr>
              <w:pStyle w:val="Source"/>
              <w:rPr>
                <w:lang w:eastAsia="zh-CN"/>
              </w:rPr>
            </w:pPr>
            <w:r>
              <w:rPr>
                <w:rFonts w:ascii="Times New Roman Bold" w:hAnsi="Times New Roman Bold" w:hint="eastAsia"/>
                <w:lang w:val="fr-CH" w:eastAsia="zh-CN"/>
              </w:rPr>
              <w:t>秘书长的说明</w:t>
            </w:r>
          </w:p>
        </w:tc>
      </w:tr>
      <w:tr w:rsidR="002D4B78" w:rsidRPr="004D0D7E" w:rsidTr="007E5921">
        <w:trPr>
          <w:cantSplit/>
        </w:trPr>
        <w:tc>
          <w:tcPr>
            <w:tcW w:w="10031" w:type="dxa"/>
            <w:gridSpan w:val="2"/>
          </w:tcPr>
          <w:p w:rsidR="002D4B78" w:rsidRDefault="002D4B78" w:rsidP="002D4B78">
            <w:pPr>
              <w:pStyle w:val="Title1"/>
              <w:rPr>
                <w:bCs/>
                <w:lang w:eastAsia="zh-CN"/>
              </w:rPr>
            </w:pPr>
            <w:r w:rsidRPr="00683FB8">
              <w:rPr>
                <w:rFonts w:hint="eastAsia"/>
                <w:lang w:eastAsia="zh-CN"/>
              </w:rPr>
              <w:t>独立管理顾问委员会（</w:t>
            </w:r>
            <w:r w:rsidRPr="00683FB8">
              <w:rPr>
                <w:rFonts w:hint="eastAsia"/>
                <w:lang w:eastAsia="zh-CN"/>
              </w:rPr>
              <w:t>IMAC</w:t>
            </w:r>
            <w:r>
              <w:rPr>
                <w:rFonts w:hint="eastAsia"/>
                <w:lang w:eastAsia="zh-CN"/>
              </w:rPr>
              <w:t>）的补充</w:t>
            </w:r>
            <w:r w:rsidRPr="00683FB8">
              <w:rPr>
                <w:rFonts w:hint="eastAsia"/>
                <w:lang w:eastAsia="zh-CN"/>
              </w:rPr>
              <w:t>报告</w:t>
            </w:r>
          </w:p>
        </w:tc>
      </w:tr>
    </w:tbl>
    <w:p w:rsidR="002D4B78" w:rsidRPr="00966AD2" w:rsidRDefault="002D4B78" w:rsidP="002D4B78">
      <w:pPr>
        <w:pStyle w:val="Normalaftertitle0"/>
        <w:spacing w:before="720"/>
        <w:ind w:firstLineChars="200" w:firstLine="480"/>
        <w:rPr>
          <w:b/>
          <w:bCs/>
          <w:lang w:eastAsia="zh-CN"/>
        </w:rPr>
      </w:pPr>
      <w:bookmarkStart w:id="2" w:name="lt_pId014"/>
      <w:r w:rsidRPr="00D25B2F">
        <w:rPr>
          <w:rFonts w:hint="eastAsia"/>
          <w:lang w:val="en-US" w:eastAsia="zh-CN"/>
        </w:rPr>
        <w:t>我荣幸地向各理事国转呈独立管理顾问委员会（</w:t>
      </w:r>
      <w:r w:rsidRPr="00D25B2F">
        <w:rPr>
          <w:rFonts w:hint="eastAsia"/>
          <w:lang w:val="en-US" w:eastAsia="zh-CN"/>
        </w:rPr>
        <w:t>IMAC</w:t>
      </w:r>
      <w:r w:rsidRPr="00D25B2F">
        <w:rPr>
          <w:rFonts w:hint="eastAsia"/>
          <w:lang w:val="en-US" w:eastAsia="zh-CN"/>
        </w:rPr>
        <w:t>）主席的报告。</w:t>
      </w:r>
    </w:p>
    <w:p w:rsidR="002D4B78" w:rsidRDefault="002D4B78" w:rsidP="002D4B78">
      <w:pPr>
        <w:spacing w:before="1080"/>
        <w:ind w:left="4819"/>
        <w:jc w:val="center"/>
        <w:rPr>
          <w:lang w:val="fr-FR"/>
        </w:rPr>
      </w:pPr>
      <w:r>
        <w:rPr>
          <w:rFonts w:hint="eastAsia"/>
        </w:rPr>
        <w:t>秘书</w:t>
      </w:r>
      <w:r>
        <w:t>长</w:t>
      </w:r>
      <w:bookmarkEnd w:id="2"/>
      <w:r>
        <w:br/>
      </w:r>
      <w:r>
        <w:rPr>
          <w:rFonts w:hint="eastAsia"/>
        </w:rPr>
        <w:t>赵</w:t>
      </w:r>
      <w:r>
        <w:t>厚麟</w:t>
      </w:r>
    </w:p>
    <w:p w:rsidR="002D4B78" w:rsidRDefault="002D4B78" w:rsidP="002D4B78">
      <w:pPr>
        <w:textAlignment w:val="auto"/>
        <w:rPr>
          <w:lang w:val="fr-FR"/>
        </w:rPr>
      </w:pPr>
    </w:p>
    <w:p w:rsidR="002D4B78" w:rsidRDefault="002D4B78" w:rsidP="002D4B78">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rsidR="002D4B78" w:rsidRDefault="002D4B78" w:rsidP="00F92FDE">
      <w:pPr>
        <w:pStyle w:val="Title1"/>
        <w:rPr>
          <w:lang w:val="fr-FR" w:eastAsia="zh-CN"/>
        </w:rPr>
      </w:pPr>
      <w:r w:rsidRPr="00683FB8">
        <w:rPr>
          <w:rFonts w:hint="eastAsia"/>
          <w:lang w:eastAsia="zh-CN"/>
        </w:rPr>
        <w:lastRenderedPageBreak/>
        <w:t>独立管理顾问委员会（</w:t>
      </w:r>
      <w:r w:rsidRPr="00683FB8">
        <w:rPr>
          <w:rFonts w:hint="eastAsia"/>
          <w:lang w:eastAsia="zh-CN"/>
        </w:rPr>
        <w:t>IMAC</w:t>
      </w:r>
      <w:r>
        <w:rPr>
          <w:rFonts w:hint="eastAsia"/>
          <w:lang w:eastAsia="zh-CN"/>
        </w:rPr>
        <w:t>）的补充</w:t>
      </w:r>
      <w:r w:rsidRPr="00683FB8">
        <w:rPr>
          <w:rFonts w:hint="eastAsia"/>
          <w:lang w:eastAsia="zh-CN"/>
        </w:rPr>
        <w:t>报告</w:t>
      </w:r>
    </w:p>
    <w:p w:rsidR="002D4B78" w:rsidRPr="000B0248" w:rsidRDefault="002D4B78" w:rsidP="002D4B78">
      <w:pPr>
        <w:textAlignment w:val="auto"/>
        <w:rPr>
          <w:lang w:val="fr-FR"/>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2D4B78" w:rsidRPr="000B0248" w:rsidTr="00EC1D12">
        <w:trPr>
          <w:trHeight w:val="3372"/>
        </w:trPr>
        <w:tc>
          <w:tcPr>
            <w:tcW w:w="8080" w:type="dxa"/>
            <w:tcBorders>
              <w:top w:val="single" w:sz="12" w:space="0" w:color="auto"/>
              <w:left w:val="single" w:sz="12" w:space="0" w:color="auto"/>
              <w:bottom w:val="single" w:sz="12" w:space="0" w:color="auto"/>
              <w:right w:val="single" w:sz="12" w:space="0" w:color="auto"/>
            </w:tcBorders>
          </w:tcPr>
          <w:p w:rsidR="002D4B78" w:rsidRPr="00F92FDE" w:rsidRDefault="002D4B78" w:rsidP="00EC1D12">
            <w:pPr>
              <w:pStyle w:val="Headingb"/>
              <w:spacing w:before="120" w:after="120"/>
              <w:rPr>
                <w:szCs w:val="24"/>
                <w:lang w:val="fr-FR" w:eastAsia="zh-CN"/>
              </w:rPr>
            </w:pPr>
            <w:r w:rsidRPr="00F92FDE">
              <w:rPr>
                <w:rFonts w:hint="eastAsia"/>
                <w:szCs w:val="24"/>
                <w:lang w:val="fr-FR" w:eastAsia="zh-CN"/>
              </w:rPr>
              <w:t>概</w:t>
            </w:r>
            <w:r w:rsidRPr="00F92FDE">
              <w:rPr>
                <w:rFonts w:hint="eastAsia"/>
                <w:szCs w:val="24"/>
                <w:lang w:eastAsia="zh-CN"/>
              </w:rPr>
              <w:t>要</w:t>
            </w:r>
          </w:p>
          <w:p w:rsidR="002D4B78" w:rsidRPr="00F92FDE" w:rsidRDefault="002D4B78" w:rsidP="00F92FDE">
            <w:pPr>
              <w:spacing w:after="120"/>
              <w:ind w:firstLineChars="200" w:firstLine="480"/>
              <w:rPr>
                <w:sz w:val="24"/>
                <w:szCs w:val="24"/>
                <w:lang w:val="fr-FR"/>
              </w:rPr>
            </w:pPr>
            <w:r w:rsidRPr="00F92FDE">
              <w:rPr>
                <w:rFonts w:hint="eastAsia"/>
                <w:sz w:val="24"/>
                <w:szCs w:val="24"/>
                <w:lang w:val="fr-FR"/>
              </w:rPr>
              <w:t>本文件介绍了</w:t>
            </w:r>
            <w:r w:rsidRPr="00F92FDE">
              <w:rPr>
                <w:rFonts w:hint="eastAsia"/>
                <w:sz w:val="24"/>
                <w:szCs w:val="24"/>
                <w:lang w:val="fr-FR"/>
              </w:rPr>
              <w:t>IMAC</w:t>
            </w:r>
            <w:r w:rsidRPr="00F92FDE">
              <w:rPr>
                <w:rFonts w:hint="eastAsia"/>
                <w:sz w:val="24"/>
                <w:szCs w:val="24"/>
                <w:lang w:val="fr-FR"/>
              </w:rPr>
              <w:t>第七份年度报告的补充内容。将本文件提交国际电联理事会</w:t>
            </w:r>
            <w:r w:rsidRPr="00F92FDE">
              <w:rPr>
                <w:rFonts w:hint="eastAsia"/>
                <w:sz w:val="24"/>
                <w:szCs w:val="24"/>
                <w:lang w:val="fr-FR"/>
              </w:rPr>
              <w:t>2018</w:t>
            </w:r>
            <w:r w:rsidRPr="00F92FDE">
              <w:rPr>
                <w:rFonts w:hint="eastAsia"/>
                <w:sz w:val="24"/>
                <w:szCs w:val="24"/>
                <w:lang w:val="fr-FR"/>
              </w:rPr>
              <w:t>年</w:t>
            </w:r>
            <w:r w:rsidRPr="00F92FDE">
              <w:rPr>
                <w:rFonts w:hint="eastAsia"/>
                <w:sz w:val="24"/>
                <w:szCs w:val="24"/>
                <w:lang w:val="fr-FR"/>
              </w:rPr>
              <w:t>10</w:t>
            </w:r>
            <w:r w:rsidRPr="00F92FDE">
              <w:rPr>
                <w:rFonts w:hint="eastAsia"/>
                <w:sz w:val="24"/>
                <w:szCs w:val="24"/>
                <w:lang w:val="fr-FR"/>
              </w:rPr>
              <w:t>月最后会议是为了履行该委员会的具体职责，即就已审计的国际电联财务报表中出现的问题和外部审计员起草的报告向理事会提供咨询；并对理事会审议</w:t>
            </w:r>
            <w:r w:rsidRPr="00F92FDE">
              <w:rPr>
                <w:rFonts w:hint="eastAsia"/>
                <w:sz w:val="24"/>
                <w:szCs w:val="24"/>
                <w:lang w:val="fr-FR"/>
              </w:rPr>
              <w:t>201</w:t>
            </w:r>
            <w:r w:rsidRPr="00F92FDE">
              <w:rPr>
                <w:sz w:val="24"/>
                <w:szCs w:val="24"/>
                <w:lang w:val="fr-FR"/>
              </w:rPr>
              <w:t>7</w:t>
            </w:r>
            <w:r w:rsidRPr="00F92FDE">
              <w:rPr>
                <w:rFonts w:hint="eastAsia"/>
                <w:sz w:val="24"/>
                <w:szCs w:val="24"/>
                <w:lang w:val="fr-FR"/>
              </w:rPr>
              <w:t>年财务报表和外部审计报告表示支持并</w:t>
            </w:r>
            <w:r w:rsidRPr="00F92FDE">
              <w:rPr>
                <w:sz w:val="24"/>
                <w:szCs w:val="24"/>
                <w:lang w:val="fr-FR"/>
              </w:rPr>
              <w:t>进行</w:t>
            </w:r>
            <w:r w:rsidRPr="00F92FDE">
              <w:rPr>
                <w:rFonts w:hint="eastAsia"/>
                <w:sz w:val="24"/>
                <w:szCs w:val="24"/>
                <w:lang w:val="fr-FR"/>
              </w:rPr>
              <w:t>通报。</w:t>
            </w:r>
          </w:p>
          <w:p w:rsidR="002D4B78" w:rsidRPr="00F92FDE" w:rsidRDefault="002D4B78" w:rsidP="00EC1D12">
            <w:pPr>
              <w:spacing w:after="120"/>
              <w:ind w:firstLineChars="200" w:firstLine="480"/>
              <w:rPr>
                <w:sz w:val="24"/>
                <w:szCs w:val="24"/>
                <w:lang w:val="fr-FR"/>
              </w:rPr>
            </w:pPr>
            <w:r w:rsidRPr="00F92FDE">
              <w:rPr>
                <w:sz w:val="24"/>
                <w:szCs w:val="24"/>
                <w:lang w:val="fr-FR"/>
              </w:rPr>
              <w:t>本补充报告也向理事会提供了针对自完成</w:t>
            </w:r>
            <w:r w:rsidRPr="00F92FDE">
              <w:rPr>
                <w:rFonts w:hint="eastAsia"/>
                <w:sz w:val="24"/>
                <w:szCs w:val="24"/>
                <w:lang w:val="fr-FR"/>
              </w:rPr>
              <w:t>IMAC</w:t>
            </w:r>
            <w:r w:rsidRPr="00F92FDE">
              <w:rPr>
                <w:rFonts w:hint="eastAsia"/>
                <w:sz w:val="24"/>
                <w:szCs w:val="24"/>
                <w:lang w:val="fr-FR"/>
              </w:rPr>
              <w:t>第七份年度报告以来所出现问题的意见和建议。</w:t>
            </w:r>
          </w:p>
          <w:p w:rsidR="002D4B78" w:rsidRPr="00F92FDE" w:rsidRDefault="002D4B78" w:rsidP="00EC1D12">
            <w:pPr>
              <w:spacing w:after="120"/>
              <w:rPr>
                <w:b/>
                <w:bCs/>
                <w:sz w:val="24"/>
                <w:szCs w:val="24"/>
                <w:lang w:val="fr-FR"/>
              </w:rPr>
            </w:pPr>
            <w:r w:rsidRPr="00F92FDE">
              <w:rPr>
                <w:rFonts w:hint="eastAsia"/>
                <w:b/>
                <w:bCs/>
                <w:sz w:val="24"/>
                <w:szCs w:val="24"/>
              </w:rPr>
              <w:t>需采取的行动</w:t>
            </w:r>
          </w:p>
          <w:p w:rsidR="002D4B78" w:rsidRPr="00F92FDE" w:rsidRDefault="002D4B78" w:rsidP="00EC1D12">
            <w:pPr>
              <w:spacing w:after="120"/>
              <w:ind w:firstLineChars="200" w:firstLine="480"/>
              <w:rPr>
                <w:sz w:val="24"/>
                <w:szCs w:val="24"/>
                <w:lang w:val="fr-FR"/>
              </w:rPr>
            </w:pPr>
            <w:r w:rsidRPr="00F92FDE">
              <w:rPr>
                <w:rFonts w:hint="eastAsia"/>
                <w:sz w:val="24"/>
                <w:szCs w:val="24"/>
                <w:lang w:val="fr-FR"/>
              </w:rPr>
              <w:t>请理事会</w:t>
            </w:r>
            <w:r w:rsidRPr="00F92FDE">
              <w:rPr>
                <w:rFonts w:hint="eastAsia"/>
                <w:b/>
                <w:bCs/>
                <w:sz w:val="24"/>
                <w:szCs w:val="24"/>
                <w:lang w:val="fr-FR"/>
              </w:rPr>
              <w:t>赞同</w:t>
            </w:r>
            <w:r w:rsidRPr="00F92FDE">
              <w:rPr>
                <w:rFonts w:hint="eastAsia"/>
                <w:sz w:val="24"/>
                <w:szCs w:val="24"/>
                <w:lang w:val="fr-FR"/>
              </w:rPr>
              <w:t>本</w:t>
            </w:r>
            <w:r w:rsidRPr="00F92FDE">
              <w:rPr>
                <w:rFonts w:hint="eastAsia"/>
                <w:sz w:val="24"/>
                <w:szCs w:val="24"/>
                <w:lang w:val="fr-FR"/>
              </w:rPr>
              <w:t>IMAC</w:t>
            </w:r>
            <w:r w:rsidRPr="00F92FDE">
              <w:rPr>
                <w:rFonts w:hint="eastAsia"/>
                <w:sz w:val="24"/>
                <w:szCs w:val="24"/>
                <w:lang w:val="fr-FR"/>
              </w:rPr>
              <w:t>补充报告。</w:t>
            </w:r>
          </w:p>
          <w:p w:rsidR="002D4B78" w:rsidRPr="00F92FDE" w:rsidRDefault="002D4B78" w:rsidP="00EC1D12">
            <w:pPr>
              <w:spacing w:after="120"/>
              <w:jc w:val="center"/>
              <w:rPr>
                <w:sz w:val="24"/>
                <w:szCs w:val="24"/>
              </w:rPr>
            </w:pPr>
            <w:r w:rsidRPr="00F92FDE">
              <w:rPr>
                <w:sz w:val="24"/>
                <w:szCs w:val="24"/>
              </w:rPr>
              <w:t>______________</w:t>
            </w:r>
          </w:p>
          <w:p w:rsidR="002D4B78" w:rsidRPr="00F92FDE" w:rsidRDefault="002D4B78" w:rsidP="00EC1D12">
            <w:pPr>
              <w:tabs>
                <w:tab w:val="center" w:pos="8789"/>
              </w:tabs>
              <w:spacing w:after="120"/>
              <w:rPr>
                <w:b/>
                <w:sz w:val="24"/>
                <w:szCs w:val="24"/>
                <w:lang w:val="fr-FR"/>
              </w:rPr>
            </w:pPr>
            <w:r w:rsidRPr="00F92FDE">
              <w:rPr>
                <w:rFonts w:hint="eastAsia"/>
                <w:b/>
                <w:sz w:val="24"/>
                <w:szCs w:val="24"/>
              </w:rPr>
              <w:t>参考文件</w:t>
            </w:r>
          </w:p>
          <w:p w:rsidR="002D4B78" w:rsidRPr="00F92FDE" w:rsidRDefault="00D04F1F" w:rsidP="00EC1D12">
            <w:pPr>
              <w:tabs>
                <w:tab w:val="clear" w:pos="794"/>
                <w:tab w:val="clear" w:pos="1191"/>
                <w:tab w:val="clear" w:pos="1588"/>
                <w:tab w:val="clear" w:pos="1985"/>
                <w:tab w:val="left" w:leader="dot" w:pos="7938"/>
                <w:tab w:val="center" w:pos="8789"/>
              </w:tabs>
              <w:spacing w:after="120"/>
              <w:rPr>
                <w:rFonts w:eastAsia="STKaiti" w:cs="SimSun"/>
                <w:sz w:val="24"/>
                <w:szCs w:val="24"/>
                <w:lang w:bidi="en-US"/>
              </w:rPr>
            </w:pPr>
            <w:hyperlink r:id="rId8" w:history="1">
              <w:r w:rsidR="002D4B78" w:rsidRPr="00F92FDE">
                <w:rPr>
                  <w:rStyle w:val="Hyperlink"/>
                  <w:sz w:val="24"/>
                  <w:szCs w:val="24"/>
                  <w:lang w:bidi="en-US"/>
                </w:rPr>
                <w:t>C18/22</w:t>
              </w:r>
            </w:hyperlink>
            <w:r w:rsidR="002D4B78" w:rsidRPr="00F92FDE">
              <w:rPr>
                <w:rFonts w:eastAsia="STKaiti" w:cs="SimSun"/>
                <w:sz w:val="24"/>
                <w:szCs w:val="24"/>
                <w:lang w:bidi="en-US"/>
              </w:rPr>
              <w:t>号文件：</w:t>
            </w:r>
            <w:r w:rsidR="002D4B78" w:rsidRPr="00F92FDE">
              <w:rPr>
                <w:rFonts w:eastAsia="STKaiti" w:cs="SimSun"/>
                <w:sz w:val="24"/>
                <w:szCs w:val="24"/>
                <w:lang w:bidi="en-US"/>
              </w:rPr>
              <w:t>IMAC</w:t>
            </w:r>
            <w:r w:rsidR="002D4B78" w:rsidRPr="00F92FDE">
              <w:rPr>
                <w:rFonts w:eastAsia="STKaiti" w:cs="SimSun"/>
                <w:sz w:val="24"/>
                <w:szCs w:val="24"/>
                <w:lang w:bidi="en-US"/>
              </w:rPr>
              <w:t>提交理事会的第七份年度报告；</w:t>
            </w:r>
            <w:r w:rsidR="002D4B78" w:rsidRPr="00F92FDE">
              <w:rPr>
                <w:rFonts w:eastAsia="STKaiti" w:cs="SimSun"/>
                <w:sz w:val="24"/>
                <w:szCs w:val="24"/>
                <w:lang w:bidi="en-US"/>
              </w:rPr>
              <w:br/>
            </w:r>
            <w:hyperlink r:id="rId9" w:history="1">
              <w:r w:rsidR="002D4B78" w:rsidRPr="00F92FDE">
                <w:rPr>
                  <w:rStyle w:val="Hyperlink"/>
                  <w:sz w:val="24"/>
                  <w:szCs w:val="24"/>
                  <w:lang w:bidi="en-US"/>
                </w:rPr>
                <w:t>C18/40</w:t>
              </w:r>
            </w:hyperlink>
            <w:r w:rsidR="002D4B78" w:rsidRPr="00F92FDE">
              <w:rPr>
                <w:rFonts w:eastAsia="STKaiti" w:cs="SimSun"/>
                <w:sz w:val="24"/>
                <w:szCs w:val="24"/>
                <w:lang w:bidi="en-US"/>
              </w:rPr>
              <w:t>号文件：外部审计员报告</w:t>
            </w:r>
          </w:p>
          <w:p w:rsidR="002D4B78" w:rsidRPr="000B0248" w:rsidRDefault="00D04F1F" w:rsidP="00EC1D12">
            <w:pPr>
              <w:tabs>
                <w:tab w:val="clear" w:pos="794"/>
                <w:tab w:val="clear" w:pos="1191"/>
                <w:tab w:val="clear" w:pos="1588"/>
                <w:tab w:val="clear" w:pos="1985"/>
                <w:tab w:val="left" w:leader="dot" w:pos="7938"/>
                <w:tab w:val="center" w:pos="8789"/>
              </w:tabs>
              <w:spacing w:after="120"/>
              <w:rPr>
                <w:i/>
                <w:iCs/>
                <w:lang w:val="fr-FR"/>
              </w:rPr>
            </w:pPr>
            <w:hyperlink r:id="rId10" w:history="1">
              <w:r w:rsidR="002D4B78" w:rsidRPr="00F92FDE">
                <w:rPr>
                  <w:rStyle w:val="Hyperlink"/>
                  <w:rFonts w:asciiTheme="minorHAnsi" w:hAnsiTheme="minorHAnsi"/>
                  <w:sz w:val="24"/>
                  <w:szCs w:val="24"/>
                </w:rPr>
                <w:t>第</w:t>
              </w:r>
              <w:r w:rsidR="002D4B78" w:rsidRPr="00F92FDE">
                <w:rPr>
                  <w:rStyle w:val="Hyperlink"/>
                  <w:rFonts w:asciiTheme="minorHAnsi" w:hAnsiTheme="minorHAnsi"/>
                  <w:sz w:val="24"/>
                  <w:szCs w:val="24"/>
                </w:rPr>
                <w:t>162</w:t>
              </w:r>
              <w:r w:rsidR="002D4B78" w:rsidRPr="00F92FDE">
                <w:rPr>
                  <w:rStyle w:val="Hyperlink"/>
                  <w:rFonts w:asciiTheme="minorHAnsi" w:hAnsiTheme="minorHAnsi"/>
                  <w:sz w:val="24"/>
                  <w:szCs w:val="24"/>
                </w:rPr>
                <w:t>号决议</w:t>
              </w:r>
            </w:hyperlink>
            <w:r w:rsidR="002D4B78" w:rsidRPr="00F92FDE">
              <w:rPr>
                <w:rFonts w:eastAsia="STKaiti" w:cs="SimSun" w:hint="eastAsia"/>
                <w:sz w:val="24"/>
                <w:szCs w:val="24"/>
                <w:lang w:bidi="en-US"/>
              </w:rPr>
              <w:t>（</w:t>
            </w:r>
            <w:r w:rsidR="002D4B78" w:rsidRPr="00F92FDE">
              <w:rPr>
                <w:rFonts w:eastAsia="STKaiti" w:cs="SimSun" w:hint="eastAsia"/>
                <w:sz w:val="24"/>
                <w:szCs w:val="24"/>
                <w:lang w:bidi="en-US"/>
              </w:rPr>
              <w:t>2014</w:t>
            </w:r>
            <w:r w:rsidR="002D4B78" w:rsidRPr="00F92FDE">
              <w:rPr>
                <w:rFonts w:eastAsia="STKaiti" w:cs="SimSun" w:hint="eastAsia"/>
                <w:sz w:val="24"/>
                <w:szCs w:val="24"/>
                <w:lang w:bidi="en-US"/>
              </w:rPr>
              <w:t>年，釜山，修订版）</w:t>
            </w:r>
          </w:p>
        </w:tc>
      </w:tr>
    </w:tbl>
    <w:p w:rsidR="002D4B78" w:rsidRDefault="002D4B78" w:rsidP="002D4B78">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rsidR="002D4B78" w:rsidRPr="000B0248" w:rsidRDefault="002D4B78" w:rsidP="002D4B78">
      <w:pPr>
        <w:pStyle w:val="Heading1"/>
        <w:rPr>
          <w:lang w:eastAsia="zh-CN"/>
        </w:rPr>
      </w:pPr>
      <w:r w:rsidRPr="000B0248">
        <w:rPr>
          <w:rFonts w:hint="eastAsia"/>
          <w:lang w:eastAsia="zh-CN"/>
        </w:rPr>
        <w:lastRenderedPageBreak/>
        <w:t>1</w:t>
      </w:r>
      <w:r w:rsidRPr="000B0248">
        <w:rPr>
          <w:rFonts w:hint="eastAsia"/>
          <w:lang w:eastAsia="zh-CN"/>
        </w:rPr>
        <w:tab/>
      </w:r>
      <w:r w:rsidRPr="000B0248">
        <w:rPr>
          <w:rFonts w:hint="eastAsia"/>
          <w:lang w:eastAsia="zh-CN"/>
        </w:rPr>
        <w:t>本补遗的目的</w:t>
      </w:r>
    </w:p>
    <w:p w:rsidR="002D4B78" w:rsidRPr="00996499" w:rsidRDefault="002D4B78" w:rsidP="00F92FDE">
      <w:pPr>
        <w:rPr>
          <w:sz w:val="24"/>
          <w:szCs w:val="24"/>
        </w:rPr>
      </w:pPr>
      <w:r w:rsidRPr="00996499">
        <w:rPr>
          <w:rFonts w:hint="eastAsia"/>
          <w:sz w:val="24"/>
          <w:szCs w:val="24"/>
        </w:rPr>
        <w:t>1.1</w:t>
      </w:r>
      <w:r w:rsidRPr="00996499">
        <w:rPr>
          <w:rFonts w:hint="eastAsia"/>
          <w:sz w:val="24"/>
          <w:szCs w:val="24"/>
        </w:rPr>
        <w:tab/>
        <w:t>IMAC</w:t>
      </w:r>
      <w:r w:rsidRPr="00996499">
        <w:rPr>
          <w:rFonts w:hint="eastAsia"/>
          <w:sz w:val="24"/>
          <w:szCs w:val="24"/>
        </w:rPr>
        <w:t>在第七份年度报告中</w:t>
      </w:r>
      <w:r w:rsidR="00F92FDE" w:rsidRPr="00996499">
        <w:rPr>
          <w:rFonts w:hint="eastAsia"/>
          <w:sz w:val="24"/>
          <w:szCs w:val="24"/>
        </w:rPr>
        <w:t>指出</w:t>
      </w:r>
      <w:r w:rsidRPr="00996499">
        <w:rPr>
          <w:rFonts w:hint="eastAsia"/>
          <w:sz w:val="24"/>
          <w:szCs w:val="24"/>
        </w:rPr>
        <w:t>，该委员会对外部审计员报告的看法将在收到该</w:t>
      </w:r>
      <w:r w:rsidRPr="00996499">
        <w:rPr>
          <w:sz w:val="24"/>
          <w:szCs w:val="24"/>
        </w:rPr>
        <w:t>报告</w:t>
      </w:r>
      <w:r w:rsidRPr="00996499">
        <w:rPr>
          <w:rFonts w:hint="eastAsia"/>
          <w:sz w:val="24"/>
          <w:szCs w:val="24"/>
        </w:rPr>
        <w:t>并</w:t>
      </w:r>
      <w:r w:rsidRPr="00996499">
        <w:rPr>
          <w:sz w:val="24"/>
          <w:szCs w:val="24"/>
        </w:rPr>
        <w:t>对其</w:t>
      </w:r>
      <w:r w:rsidRPr="00996499">
        <w:rPr>
          <w:rFonts w:hint="eastAsia"/>
          <w:sz w:val="24"/>
          <w:szCs w:val="24"/>
        </w:rPr>
        <w:t>审议之后，</w:t>
      </w:r>
      <w:r w:rsidRPr="00996499">
        <w:rPr>
          <w:sz w:val="24"/>
          <w:szCs w:val="24"/>
        </w:rPr>
        <w:t>纳入</w:t>
      </w:r>
      <w:r w:rsidRPr="00996499">
        <w:rPr>
          <w:rFonts w:hint="eastAsia"/>
          <w:sz w:val="24"/>
          <w:szCs w:val="24"/>
        </w:rPr>
        <w:t>IMAC</w:t>
      </w:r>
      <w:r w:rsidRPr="00996499">
        <w:rPr>
          <w:rFonts w:hint="eastAsia"/>
          <w:sz w:val="24"/>
          <w:szCs w:val="24"/>
        </w:rPr>
        <w:t>报告</w:t>
      </w:r>
      <w:r w:rsidRPr="00996499">
        <w:rPr>
          <w:sz w:val="24"/>
          <w:szCs w:val="24"/>
        </w:rPr>
        <w:t>的补遗中</w:t>
      </w:r>
      <w:r w:rsidRPr="00996499">
        <w:rPr>
          <w:rFonts w:hint="eastAsia"/>
          <w:sz w:val="24"/>
          <w:szCs w:val="24"/>
        </w:rPr>
        <w:t>。</w:t>
      </w:r>
    </w:p>
    <w:p w:rsidR="002D4B78" w:rsidRDefault="002D4B78" w:rsidP="002D4B78">
      <w:r w:rsidRPr="00996499">
        <w:rPr>
          <w:rFonts w:hint="eastAsia"/>
          <w:sz w:val="24"/>
          <w:szCs w:val="24"/>
        </w:rPr>
        <w:t>1.2</w:t>
      </w:r>
      <w:r w:rsidRPr="00996499">
        <w:rPr>
          <w:rFonts w:hint="eastAsia"/>
          <w:sz w:val="24"/>
          <w:szCs w:val="24"/>
        </w:rPr>
        <w:tab/>
      </w:r>
      <w:r w:rsidRPr="00996499">
        <w:rPr>
          <w:rFonts w:hint="eastAsia"/>
          <w:sz w:val="24"/>
          <w:szCs w:val="24"/>
        </w:rPr>
        <w:t>因此，为就外部审计员报告中有关国际电联财务报告审计中出现的主要问题向理事会提供咨询，现将此</w:t>
      </w:r>
      <w:r w:rsidRPr="00996499">
        <w:rPr>
          <w:rFonts w:hint="eastAsia"/>
          <w:sz w:val="24"/>
          <w:szCs w:val="24"/>
        </w:rPr>
        <w:t>IMAC</w:t>
      </w:r>
      <w:r w:rsidRPr="00996499">
        <w:rPr>
          <w:rFonts w:hint="eastAsia"/>
          <w:sz w:val="24"/>
          <w:szCs w:val="24"/>
        </w:rPr>
        <w:t>第七份年度报告的补遗提交理事会；并通报理事会对</w:t>
      </w:r>
      <w:r w:rsidRPr="00996499">
        <w:rPr>
          <w:rFonts w:hint="eastAsia"/>
          <w:sz w:val="24"/>
          <w:szCs w:val="24"/>
        </w:rPr>
        <w:t>201</w:t>
      </w:r>
      <w:r w:rsidRPr="00996499">
        <w:rPr>
          <w:sz w:val="24"/>
          <w:szCs w:val="24"/>
        </w:rPr>
        <w:t>7</w:t>
      </w:r>
      <w:r w:rsidRPr="00996499">
        <w:rPr>
          <w:rFonts w:hint="eastAsia"/>
          <w:sz w:val="24"/>
          <w:szCs w:val="24"/>
        </w:rPr>
        <w:t>年财务报表和外部审计报告的审议情况。</w:t>
      </w:r>
    </w:p>
    <w:p w:rsidR="00F92FDE" w:rsidRPr="00F92FDE" w:rsidRDefault="00996499" w:rsidP="00996499">
      <w:pPr>
        <w:pStyle w:val="Normalnumbered"/>
        <w:numPr>
          <w:ilvl w:val="0"/>
          <w:numId w:val="0"/>
        </w:numPr>
        <w:snapToGrid w:val="0"/>
        <w:spacing w:before="120"/>
        <w:rPr>
          <w:rFonts w:eastAsia="SimSun"/>
          <w:lang w:eastAsia="zh-CN" w:bidi="en-US"/>
        </w:rPr>
      </w:pPr>
      <w:r>
        <w:rPr>
          <w:rFonts w:ascii="Calibri" w:eastAsia="SimSun" w:hAnsi="Calibri" w:hint="eastAsia"/>
          <w:szCs w:val="20"/>
          <w:lang w:eastAsia="zh-CN"/>
        </w:rPr>
        <w:t>1.</w:t>
      </w:r>
      <w:r>
        <w:rPr>
          <w:rFonts w:ascii="Calibri" w:eastAsia="SimSun" w:hAnsi="Calibri"/>
          <w:szCs w:val="20"/>
          <w:lang w:eastAsia="zh-CN"/>
        </w:rPr>
        <w:t>3</w:t>
      </w:r>
      <w:r>
        <w:rPr>
          <w:rFonts w:ascii="Calibri" w:eastAsia="SimSun" w:hAnsi="Calibri"/>
          <w:szCs w:val="20"/>
          <w:lang w:eastAsia="zh-CN"/>
        </w:rPr>
        <w:tab/>
      </w:r>
      <w:r w:rsidR="002D4B78" w:rsidRPr="00456FB4">
        <w:rPr>
          <w:rFonts w:ascii="Calibri" w:eastAsia="SimSun" w:hAnsi="Calibri"/>
          <w:szCs w:val="20"/>
          <w:lang w:eastAsia="zh-CN"/>
        </w:rPr>
        <w:t>本补充报告也</w:t>
      </w:r>
      <w:r w:rsidR="002D4B78">
        <w:rPr>
          <w:rFonts w:ascii="Calibri" w:eastAsia="SimSun" w:hAnsi="Calibri"/>
          <w:szCs w:val="20"/>
          <w:lang w:eastAsia="zh-CN"/>
        </w:rPr>
        <w:t>为理事会提供了针对以下</w:t>
      </w:r>
      <w:r w:rsidR="002D4B78" w:rsidRPr="00456FB4">
        <w:rPr>
          <w:rFonts w:ascii="Calibri" w:eastAsia="SimSun" w:hAnsi="Calibri" w:hint="eastAsia"/>
          <w:szCs w:val="20"/>
          <w:lang w:eastAsia="zh-CN"/>
        </w:rPr>
        <w:t>问题的意见和建议</w:t>
      </w:r>
      <w:r w:rsidR="002D4B78">
        <w:rPr>
          <w:rFonts w:ascii="Calibri" w:eastAsia="SimSun" w:hAnsi="Calibri" w:hint="eastAsia"/>
          <w:szCs w:val="20"/>
          <w:lang w:eastAsia="zh-CN"/>
        </w:rPr>
        <w:t>：</w:t>
      </w:r>
    </w:p>
    <w:p w:rsidR="002D4B78" w:rsidRPr="00F92FDE" w:rsidRDefault="00F92FDE" w:rsidP="00F92FDE">
      <w:pPr>
        <w:pStyle w:val="enumlev1"/>
        <w:rPr>
          <w:rFonts w:eastAsia="SimSun"/>
          <w:lang w:eastAsia="zh-CN" w:bidi="en-US"/>
        </w:rPr>
      </w:pPr>
      <w:r>
        <w:rPr>
          <w:rFonts w:eastAsiaTheme="minorEastAsia" w:hint="eastAsia"/>
          <w:lang w:eastAsia="zh-CN"/>
        </w:rPr>
        <w:t>i</w:t>
      </w:r>
      <w:r w:rsidRPr="00F92FDE">
        <w:rPr>
          <w:rFonts w:eastAsiaTheme="minorEastAsia" w:hint="eastAsia"/>
          <w:lang w:eastAsia="zh-CN"/>
        </w:rPr>
        <w:t>)</w:t>
      </w:r>
      <w:r>
        <w:rPr>
          <w:rFonts w:eastAsiaTheme="minorEastAsia"/>
          <w:lang w:eastAsia="zh-CN"/>
        </w:rPr>
        <w:tab/>
      </w:r>
      <w:r w:rsidR="002D4B78" w:rsidRPr="00F92FDE">
        <w:rPr>
          <w:rFonts w:eastAsiaTheme="minorEastAsia"/>
          <w:lang w:eastAsia="zh-CN" w:bidi="en-US"/>
        </w:rPr>
        <w:t>国际电联总部建设项目；</w:t>
      </w:r>
    </w:p>
    <w:p w:rsidR="002D4B78" w:rsidRPr="00F92FDE" w:rsidRDefault="00F92FDE" w:rsidP="00F92FDE">
      <w:pPr>
        <w:pStyle w:val="enumlev1"/>
        <w:rPr>
          <w:rFonts w:eastAsiaTheme="minorEastAsia"/>
          <w:lang w:eastAsia="zh-CN"/>
        </w:rPr>
      </w:pPr>
      <w:r w:rsidRPr="00F92FDE">
        <w:rPr>
          <w:rFonts w:eastAsiaTheme="minorEastAsia" w:hint="eastAsia"/>
          <w:lang w:eastAsia="zh-CN"/>
        </w:rPr>
        <w:t>ii)</w:t>
      </w:r>
      <w:r>
        <w:rPr>
          <w:rFonts w:eastAsiaTheme="minorEastAsia"/>
          <w:lang w:eastAsia="zh-CN"/>
        </w:rPr>
        <w:tab/>
      </w:r>
      <w:r w:rsidR="002D4B78" w:rsidRPr="00F92FDE">
        <w:rPr>
          <w:rFonts w:eastAsiaTheme="minorEastAsia"/>
          <w:lang w:eastAsia="zh-CN"/>
        </w:rPr>
        <w:t>某个区域代表处可疑的欺诈活动。</w:t>
      </w:r>
    </w:p>
    <w:p w:rsidR="002D4B78" w:rsidRPr="000B0248" w:rsidRDefault="002D4B78" w:rsidP="002D4B78">
      <w:pPr>
        <w:pStyle w:val="Heading1"/>
        <w:rPr>
          <w:lang w:eastAsia="zh-CN"/>
        </w:rPr>
      </w:pPr>
      <w:r>
        <w:rPr>
          <w:rFonts w:hint="eastAsia"/>
          <w:lang w:eastAsia="zh-CN"/>
        </w:rPr>
        <w:t>2</w:t>
      </w:r>
      <w:r>
        <w:rPr>
          <w:rFonts w:hint="eastAsia"/>
          <w:lang w:eastAsia="zh-CN"/>
        </w:rPr>
        <w:tab/>
        <w:t>201</w:t>
      </w:r>
      <w:r>
        <w:rPr>
          <w:lang w:eastAsia="zh-CN"/>
        </w:rPr>
        <w:t>7</w:t>
      </w:r>
      <w:r w:rsidRPr="000B0248">
        <w:rPr>
          <w:rFonts w:hint="eastAsia"/>
          <w:lang w:eastAsia="zh-CN"/>
        </w:rPr>
        <w:t>年外部审计员报告：无</w:t>
      </w:r>
      <w:r w:rsidRPr="000B0248">
        <w:rPr>
          <w:lang w:eastAsia="zh-CN"/>
        </w:rPr>
        <w:t>保留</w:t>
      </w:r>
      <w:r w:rsidRPr="000B0248">
        <w:rPr>
          <w:rFonts w:hint="eastAsia"/>
          <w:lang w:eastAsia="zh-CN"/>
        </w:rPr>
        <w:t>的审计意见</w:t>
      </w:r>
    </w:p>
    <w:p w:rsidR="002D4B78" w:rsidRPr="00996499" w:rsidRDefault="002D4B78" w:rsidP="00F92FDE">
      <w:pPr>
        <w:rPr>
          <w:sz w:val="24"/>
          <w:szCs w:val="24"/>
        </w:rPr>
      </w:pPr>
      <w:r w:rsidRPr="00996499">
        <w:rPr>
          <w:rFonts w:hint="eastAsia"/>
          <w:sz w:val="24"/>
          <w:szCs w:val="24"/>
        </w:rPr>
        <w:t>2.1</w:t>
      </w:r>
      <w:r w:rsidRPr="00996499">
        <w:rPr>
          <w:rFonts w:hint="eastAsia"/>
          <w:sz w:val="24"/>
          <w:szCs w:val="24"/>
        </w:rPr>
        <w:tab/>
      </w:r>
      <w:r w:rsidRPr="00996499">
        <w:rPr>
          <w:rFonts w:hint="eastAsia"/>
          <w:sz w:val="24"/>
          <w:szCs w:val="24"/>
        </w:rPr>
        <w:t>外部审计员已就</w:t>
      </w:r>
      <w:r w:rsidRPr="00996499">
        <w:rPr>
          <w:rFonts w:hint="eastAsia"/>
          <w:sz w:val="24"/>
          <w:szCs w:val="24"/>
        </w:rPr>
        <w:t>201</w:t>
      </w:r>
      <w:r w:rsidRPr="00996499">
        <w:rPr>
          <w:sz w:val="24"/>
          <w:szCs w:val="24"/>
        </w:rPr>
        <w:t>7</w:t>
      </w:r>
      <w:r w:rsidRPr="00996499">
        <w:rPr>
          <w:rFonts w:hint="eastAsia"/>
          <w:sz w:val="24"/>
          <w:szCs w:val="24"/>
        </w:rPr>
        <w:t>年的国际电联财务报表再次提供了一份无保留的审计意见，强调了主要因对长期职员福利的精算而产生的负</w:t>
      </w:r>
      <w:r w:rsidRPr="00996499">
        <w:rPr>
          <w:rFonts w:hint="eastAsia"/>
          <w:sz w:val="24"/>
          <w:szCs w:val="24"/>
        </w:rPr>
        <w:t>4</w:t>
      </w:r>
      <w:r w:rsidRPr="00996499">
        <w:rPr>
          <w:sz w:val="24"/>
          <w:szCs w:val="24"/>
        </w:rPr>
        <w:t>.82524</w:t>
      </w:r>
      <w:r w:rsidRPr="00996499">
        <w:rPr>
          <w:rFonts w:hint="eastAsia"/>
          <w:sz w:val="24"/>
          <w:szCs w:val="24"/>
        </w:rPr>
        <w:t>亿（</w:t>
      </w:r>
      <w:r w:rsidRPr="00996499">
        <w:rPr>
          <w:rFonts w:hint="eastAsia"/>
          <w:sz w:val="24"/>
          <w:szCs w:val="24"/>
        </w:rPr>
        <w:t>2016</w:t>
      </w:r>
      <w:r w:rsidRPr="00996499">
        <w:rPr>
          <w:rFonts w:hint="eastAsia"/>
          <w:sz w:val="24"/>
          <w:szCs w:val="24"/>
        </w:rPr>
        <w:t>年为</w:t>
      </w:r>
      <w:r w:rsidR="00F92FDE" w:rsidRPr="00996499">
        <w:rPr>
          <w:rFonts w:hint="eastAsia"/>
          <w:sz w:val="24"/>
          <w:szCs w:val="24"/>
        </w:rPr>
        <w:t>负</w:t>
      </w:r>
      <w:r w:rsidRPr="00996499">
        <w:rPr>
          <w:rFonts w:hint="eastAsia"/>
          <w:sz w:val="24"/>
          <w:szCs w:val="24"/>
        </w:rPr>
        <w:t>4.</w:t>
      </w:r>
      <w:r w:rsidRPr="00996499">
        <w:rPr>
          <w:sz w:val="24"/>
          <w:szCs w:val="24"/>
        </w:rPr>
        <w:t>19155</w:t>
      </w:r>
      <w:r w:rsidRPr="00996499">
        <w:rPr>
          <w:sz w:val="24"/>
          <w:szCs w:val="24"/>
        </w:rPr>
        <w:t>亿</w:t>
      </w:r>
      <w:r w:rsidRPr="00996499">
        <w:rPr>
          <w:rFonts w:hint="eastAsia"/>
          <w:sz w:val="24"/>
          <w:szCs w:val="24"/>
        </w:rPr>
        <w:t>）净资产财务</w:t>
      </w:r>
      <w:r w:rsidRPr="00996499">
        <w:rPr>
          <w:sz w:val="24"/>
          <w:szCs w:val="24"/>
        </w:rPr>
        <w:t>状况</w:t>
      </w:r>
      <w:r w:rsidRPr="00996499">
        <w:rPr>
          <w:rFonts w:hint="eastAsia"/>
          <w:sz w:val="24"/>
          <w:szCs w:val="24"/>
        </w:rPr>
        <w:t>问题。强调此问题不会改变无保留的审计意见，但</w:t>
      </w:r>
      <w:r w:rsidRPr="00996499">
        <w:rPr>
          <w:sz w:val="24"/>
          <w:szCs w:val="24"/>
        </w:rPr>
        <w:t>提</w:t>
      </w:r>
      <w:r w:rsidRPr="00996499">
        <w:rPr>
          <w:rFonts w:hint="eastAsia"/>
          <w:sz w:val="24"/>
          <w:szCs w:val="24"/>
        </w:rPr>
        <w:t>请</w:t>
      </w:r>
      <w:r w:rsidRPr="00996499">
        <w:rPr>
          <w:sz w:val="24"/>
          <w:szCs w:val="24"/>
        </w:rPr>
        <w:t>人们注意，</w:t>
      </w:r>
      <w:r w:rsidRPr="00996499">
        <w:rPr>
          <w:rFonts w:hint="eastAsia"/>
          <w:sz w:val="24"/>
          <w:szCs w:val="24"/>
        </w:rPr>
        <w:t>外部审计员报告判断中的</w:t>
      </w:r>
      <w:r w:rsidRPr="00996499">
        <w:rPr>
          <w:sz w:val="24"/>
          <w:szCs w:val="24"/>
        </w:rPr>
        <w:t>一个事实</w:t>
      </w:r>
      <w:r w:rsidRPr="00996499">
        <w:rPr>
          <w:rFonts w:hint="eastAsia"/>
          <w:sz w:val="24"/>
          <w:szCs w:val="24"/>
        </w:rPr>
        <w:t>对于</w:t>
      </w:r>
      <w:r w:rsidRPr="00996499">
        <w:rPr>
          <w:sz w:val="24"/>
          <w:szCs w:val="24"/>
        </w:rPr>
        <w:t>用户理解财务报表</w:t>
      </w:r>
      <w:r w:rsidRPr="00996499">
        <w:rPr>
          <w:rFonts w:hint="eastAsia"/>
          <w:sz w:val="24"/>
          <w:szCs w:val="24"/>
        </w:rPr>
        <w:t>至关重要。外部审计员的长篇报告提供了对</w:t>
      </w:r>
      <w:r w:rsidRPr="00996499">
        <w:rPr>
          <w:sz w:val="24"/>
          <w:szCs w:val="24"/>
        </w:rPr>
        <w:t>财务状况</w:t>
      </w:r>
      <w:r w:rsidRPr="00996499">
        <w:rPr>
          <w:rFonts w:hint="eastAsia"/>
          <w:sz w:val="24"/>
          <w:szCs w:val="24"/>
        </w:rPr>
        <w:t>有益且全面的财务审核；同时还针对管理行动提出了十（</w:t>
      </w:r>
      <w:r w:rsidRPr="00996499">
        <w:rPr>
          <w:rFonts w:hint="eastAsia"/>
          <w:sz w:val="24"/>
          <w:szCs w:val="24"/>
        </w:rPr>
        <w:t>10</w:t>
      </w:r>
      <w:r w:rsidRPr="00996499">
        <w:rPr>
          <w:sz w:val="24"/>
          <w:szCs w:val="24"/>
        </w:rPr>
        <w:t>）</w:t>
      </w:r>
      <w:r w:rsidRPr="00996499">
        <w:rPr>
          <w:rFonts w:hint="eastAsia"/>
          <w:sz w:val="24"/>
          <w:szCs w:val="24"/>
        </w:rPr>
        <w:t>项建议和一（</w:t>
      </w:r>
      <w:r w:rsidRPr="00996499">
        <w:rPr>
          <w:rFonts w:hint="eastAsia"/>
          <w:sz w:val="24"/>
          <w:szCs w:val="24"/>
        </w:rPr>
        <w:t>1</w:t>
      </w:r>
      <w:r w:rsidRPr="00996499">
        <w:rPr>
          <w:rFonts w:hint="eastAsia"/>
          <w:sz w:val="24"/>
          <w:szCs w:val="24"/>
        </w:rPr>
        <w:t>）项提议。</w:t>
      </w:r>
    </w:p>
    <w:p w:rsidR="002D4B78" w:rsidRPr="00996499" w:rsidRDefault="00996499" w:rsidP="00996499">
      <w:pPr>
        <w:rPr>
          <w:sz w:val="24"/>
          <w:szCs w:val="24"/>
          <w:lang w:bidi="en-US"/>
        </w:rPr>
      </w:pPr>
      <w:r w:rsidRPr="00996499">
        <w:rPr>
          <w:rFonts w:hint="eastAsia"/>
          <w:sz w:val="24"/>
          <w:szCs w:val="24"/>
          <w:lang w:bidi="en-US"/>
        </w:rPr>
        <w:t>2.</w:t>
      </w:r>
      <w:r w:rsidRPr="00996499">
        <w:rPr>
          <w:sz w:val="24"/>
          <w:szCs w:val="24"/>
          <w:lang w:bidi="en-US"/>
        </w:rPr>
        <w:t>2</w:t>
      </w:r>
      <w:r w:rsidRPr="00996499">
        <w:rPr>
          <w:sz w:val="24"/>
          <w:szCs w:val="24"/>
          <w:lang w:bidi="en-US"/>
        </w:rPr>
        <w:tab/>
      </w:r>
      <w:r w:rsidR="002D4B78" w:rsidRPr="00996499">
        <w:rPr>
          <w:sz w:val="24"/>
          <w:szCs w:val="24"/>
          <w:lang w:bidi="en-US"/>
        </w:rPr>
        <w:t>报告提请注意需优先进行重点改进的多个领域。</w:t>
      </w:r>
    </w:p>
    <w:p w:rsidR="002D4B78" w:rsidRPr="000B0248" w:rsidRDefault="002D4B78" w:rsidP="002D4B78">
      <w:pPr>
        <w:pStyle w:val="Heading1"/>
        <w:rPr>
          <w:lang w:eastAsia="zh-CN"/>
        </w:rPr>
      </w:pPr>
      <w:r w:rsidRPr="000B0248">
        <w:rPr>
          <w:rFonts w:hint="eastAsia"/>
          <w:lang w:eastAsia="zh-CN"/>
        </w:rPr>
        <w:t>3</w:t>
      </w:r>
      <w:r w:rsidRPr="000B0248">
        <w:rPr>
          <w:rFonts w:hint="eastAsia"/>
          <w:lang w:eastAsia="zh-CN"/>
        </w:rPr>
        <w:tab/>
      </w:r>
      <w:r w:rsidRPr="000B0248">
        <w:rPr>
          <w:rFonts w:hint="eastAsia"/>
          <w:lang w:eastAsia="zh-CN"/>
        </w:rPr>
        <w:t>外部审计员的建议和提议</w:t>
      </w:r>
    </w:p>
    <w:p w:rsidR="002D4B78" w:rsidRPr="00996499" w:rsidRDefault="002D4B78" w:rsidP="002D4B78">
      <w:pPr>
        <w:rPr>
          <w:sz w:val="24"/>
          <w:szCs w:val="24"/>
        </w:rPr>
      </w:pPr>
      <w:r w:rsidRPr="00996499">
        <w:rPr>
          <w:rFonts w:hint="eastAsia"/>
          <w:sz w:val="24"/>
          <w:szCs w:val="24"/>
        </w:rPr>
        <w:t>3.1</w:t>
      </w:r>
      <w:r w:rsidRPr="00996499">
        <w:rPr>
          <w:rFonts w:hint="eastAsia"/>
          <w:sz w:val="24"/>
          <w:szCs w:val="24"/>
        </w:rPr>
        <w:tab/>
      </w:r>
      <w:r w:rsidRPr="00996499">
        <w:rPr>
          <w:rFonts w:hint="eastAsia"/>
          <w:sz w:val="24"/>
          <w:szCs w:val="24"/>
        </w:rPr>
        <w:t>外部审计员就以下问题提出了建议：</w:t>
      </w:r>
    </w:p>
    <w:p w:rsidR="002D4B78" w:rsidRPr="00F92FDE" w:rsidRDefault="00F92FDE" w:rsidP="00F92FDE">
      <w:pPr>
        <w:pStyle w:val="enumlev1"/>
        <w:rPr>
          <w:rFonts w:asciiTheme="minorHAnsi" w:eastAsiaTheme="minorEastAsia" w:hAnsiTheme="minorHAnsi" w:cs="SimSun"/>
          <w:szCs w:val="24"/>
          <w:lang w:eastAsia="zh-CN" w:bidi="en-US"/>
        </w:rPr>
      </w:pPr>
      <w:r w:rsidRPr="00F92FDE">
        <w:rPr>
          <w:rFonts w:asciiTheme="minorHAnsi" w:eastAsiaTheme="minorEastAsia" w:hAnsiTheme="minorHAnsi" w:cs="Microsoft YaHei"/>
          <w:szCs w:val="24"/>
          <w:lang w:eastAsia="zh-CN" w:bidi="en-US"/>
        </w:rPr>
        <w:t>•</w:t>
      </w:r>
      <w:r>
        <w:rPr>
          <w:rFonts w:asciiTheme="minorHAnsi" w:eastAsiaTheme="minorEastAsia" w:hAnsiTheme="minorHAnsi" w:cs="Microsoft YaHei"/>
          <w:szCs w:val="24"/>
          <w:lang w:eastAsia="zh-CN" w:bidi="en-US"/>
        </w:rPr>
        <w:tab/>
      </w:r>
      <w:r w:rsidR="002D4B78" w:rsidRPr="00F92FDE">
        <w:rPr>
          <w:rFonts w:asciiTheme="minorHAnsi" w:eastAsiaTheme="minorEastAsia" w:hAnsiTheme="minorHAnsi" w:cs="Microsoft YaHei"/>
          <w:szCs w:val="24"/>
          <w:lang w:eastAsia="zh-CN" w:bidi="en-US"/>
        </w:rPr>
        <w:t>总部大楼建设的评估</w:t>
      </w:r>
      <w:r w:rsidR="002D4B78" w:rsidRPr="00F92FDE">
        <w:rPr>
          <w:rFonts w:asciiTheme="minorHAnsi" w:eastAsiaTheme="minorEastAsia" w:hAnsiTheme="minorHAnsi" w:cs="Microsoft YaHei"/>
          <w:lang w:eastAsia="zh-CN"/>
        </w:rPr>
        <w:t>应着眼于满足国际电联的长期需求和人力资源；</w:t>
      </w:r>
    </w:p>
    <w:p w:rsidR="002D4B78" w:rsidRPr="00F92FDE" w:rsidRDefault="00F92FDE" w:rsidP="00F92FDE">
      <w:pPr>
        <w:pStyle w:val="enumlev1"/>
        <w:rPr>
          <w:rFonts w:asciiTheme="minorHAnsi" w:eastAsiaTheme="minorEastAsia" w:hAnsiTheme="minorHAnsi" w:cs="SimSun"/>
          <w:szCs w:val="24"/>
          <w:lang w:eastAsia="zh-CN" w:bidi="en-US"/>
        </w:rPr>
      </w:pPr>
      <w:r w:rsidRPr="00F92FDE">
        <w:rPr>
          <w:rFonts w:asciiTheme="minorHAnsi" w:eastAsiaTheme="minorEastAsia" w:hAnsiTheme="minorHAnsi" w:cs="Microsoft YaHei"/>
          <w:lang w:eastAsia="zh-CN"/>
        </w:rPr>
        <w:t>•</w:t>
      </w:r>
      <w:r>
        <w:rPr>
          <w:rFonts w:asciiTheme="minorHAnsi" w:eastAsiaTheme="minorEastAsia" w:hAnsiTheme="minorHAnsi" w:cs="Microsoft YaHei"/>
          <w:lang w:eastAsia="zh-CN"/>
        </w:rPr>
        <w:tab/>
      </w:r>
      <w:r w:rsidR="002D4B78" w:rsidRPr="00F92FDE">
        <w:rPr>
          <w:rFonts w:asciiTheme="minorHAnsi" w:eastAsiaTheme="minorEastAsia" w:hAnsiTheme="minorHAnsi" w:cs="Microsoft YaHei"/>
          <w:lang w:eastAsia="zh-CN"/>
        </w:rPr>
        <w:t>需要合理化和非常措施来改进人力资源部门的支付功能；</w:t>
      </w:r>
    </w:p>
    <w:p w:rsidR="002D4B78" w:rsidRPr="00F92FDE" w:rsidRDefault="00F92FDE" w:rsidP="00F92FDE">
      <w:pPr>
        <w:pStyle w:val="enumlev1"/>
        <w:rPr>
          <w:rFonts w:asciiTheme="minorHAnsi" w:eastAsiaTheme="minorEastAsia" w:hAnsiTheme="minorHAnsi" w:cs="SimSun"/>
          <w:szCs w:val="24"/>
          <w:lang w:eastAsia="zh-CN" w:bidi="en-US"/>
        </w:rPr>
      </w:pPr>
      <w:r w:rsidRPr="00F92FDE">
        <w:rPr>
          <w:rFonts w:asciiTheme="minorHAnsi" w:eastAsiaTheme="minorEastAsia" w:hAnsiTheme="minorHAnsi" w:cs="Microsoft YaHei"/>
          <w:lang w:eastAsia="zh-CN"/>
        </w:rPr>
        <w:t>•</w:t>
      </w:r>
      <w:r>
        <w:rPr>
          <w:rFonts w:asciiTheme="minorHAnsi" w:eastAsiaTheme="minorEastAsia" w:hAnsiTheme="minorHAnsi" w:cs="Microsoft YaHei"/>
          <w:lang w:eastAsia="zh-CN"/>
        </w:rPr>
        <w:tab/>
      </w:r>
      <w:r w:rsidR="002D4B78" w:rsidRPr="00F92FDE">
        <w:rPr>
          <w:rFonts w:asciiTheme="minorHAnsi" w:eastAsiaTheme="minorEastAsia" w:hAnsiTheme="minorHAnsi" w:cs="Microsoft YaHei"/>
          <w:lang w:eastAsia="zh-CN"/>
        </w:rPr>
        <w:t>迫切需要采取行动，制定员工队伍规划战略，以满足国际电联不断变化的需求，并确保国际电联继续契合其宗旨。</w:t>
      </w:r>
      <w:r w:rsidR="002D4B78" w:rsidRPr="00F92FDE">
        <w:rPr>
          <w:rFonts w:asciiTheme="minorHAnsi" w:eastAsiaTheme="minorEastAsia" w:hAnsiTheme="minorHAnsi"/>
          <w:lang w:eastAsia="zh-CN"/>
        </w:rPr>
        <w:t>IMAC</w:t>
      </w:r>
      <w:r w:rsidR="002D4B78" w:rsidRPr="00F92FDE">
        <w:rPr>
          <w:rFonts w:asciiTheme="minorHAnsi" w:eastAsiaTheme="minorEastAsia" w:hAnsiTheme="minorHAnsi" w:cs="Microsoft YaHei"/>
          <w:lang w:eastAsia="zh-CN"/>
        </w:rPr>
        <w:t>重申，国际电联需要努力使其运作模式、人员战略和重点领域与国际电联的战略愿景保持一致。</w:t>
      </w:r>
      <w:r w:rsidR="002D4B78" w:rsidRPr="00F92FDE">
        <w:rPr>
          <w:rFonts w:asciiTheme="minorHAnsi" w:eastAsiaTheme="minorEastAsia" w:hAnsiTheme="minorHAnsi" w:cs="Microsoft YaHei"/>
          <w:szCs w:val="24"/>
          <w:lang w:val="en-US" w:eastAsia="zh-CN"/>
        </w:rPr>
        <w:t>在数字化和信息社会迅猛发展的今天，</w:t>
      </w:r>
      <w:r w:rsidR="002D4B78" w:rsidRPr="00F92FDE">
        <w:rPr>
          <w:rFonts w:asciiTheme="minorHAnsi" w:eastAsiaTheme="minorEastAsia" w:hAnsiTheme="minorHAnsi" w:cs="Microsoft YaHei"/>
          <w:lang w:eastAsia="zh-CN"/>
        </w:rPr>
        <w:t>这将确保国际电联</w:t>
      </w:r>
      <w:r w:rsidR="002D4B78" w:rsidRPr="00F92FDE">
        <w:rPr>
          <w:rFonts w:asciiTheme="minorHAnsi" w:eastAsiaTheme="minorEastAsia" w:hAnsiTheme="minorHAnsi" w:cs="Microsoft YaHei"/>
          <w:szCs w:val="24"/>
          <w:lang w:val="en-US" w:eastAsia="zh-CN"/>
        </w:rPr>
        <w:t>是一个胜任其职的组织</w:t>
      </w:r>
      <w:r w:rsidR="002D4B78" w:rsidRPr="00F92FDE">
        <w:rPr>
          <w:rFonts w:asciiTheme="minorHAnsi" w:eastAsiaTheme="minorEastAsia" w:hAnsiTheme="minorHAnsi" w:cs="Microsoft YaHei"/>
          <w:lang w:eastAsia="zh-CN"/>
        </w:rPr>
        <w:t>。</w:t>
      </w:r>
    </w:p>
    <w:p w:rsidR="002D4B78" w:rsidRPr="00F92FDE" w:rsidRDefault="00F92FDE" w:rsidP="00F92FDE">
      <w:pPr>
        <w:pStyle w:val="enumlev1"/>
        <w:rPr>
          <w:rFonts w:asciiTheme="minorHAnsi" w:eastAsiaTheme="minorEastAsia" w:hAnsiTheme="minorHAnsi" w:cs="SimSun"/>
          <w:szCs w:val="24"/>
          <w:lang w:eastAsia="zh-CN" w:bidi="en-US"/>
        </w:rPr>
      </w:pPr>
      <w:r w:rsidRPr="00F92FDE">
        <w:rPr>
          <w:rFonts w:asciiTheme="minorHAnsi" w:eastAsiaTheme="minorEastAsia" w:hAnsiTheme="minorHAnsi" w:cs="Microsoft YaHei"/>
          <w:lang w:eastAsia="zh-CN"/>
        </w:rPr>
        <w:t>•</w:t>
      </w:r>
      <w:r>
        <w:rPr>
          <w:rFonts w:asciiTheme="minorHAnsi" w:eastAsiaTheme="minorEastAsia" w:hAnsiTheme="minorHAnsi" w:cs="Microsoft YaHei"/>
          <w:lang w:eastAsia="zh-CN"/>
        </w:rPr>
        <w:tab/>
      </w:r>
      <w:r w:rsidR="002D4B78" w:rsidRPr="00F92FDE">
        <w:rPr>
          <w:rFonts w:asciiTheme="minorHAnsi" w:eastAsiaTheme="minorEastAsia" w:hAnsiTheme="minorHAnsi" w:cs="Microsoft YaHei"/>
          <w:lang w:eastAsia="zh-CN"/>
        </w:rPr>
        <w:t>越来越迫切地需要一项关于采购所有方面的政策和准则，在这种情况下，需要更全面和更有效的程序来实现适当程度的控制和合规；</w:t>
      </w:r>
    </w:p>
    <w:p w:rsidR="002D4B78" w:rsidRPr="00F92FDE" w:rsidRDefault="00F92FDE" w:rsidP="00F92FDE">
      <w:pPr>
        <w:pStyle w:val="enumlev1"/>
        <w:rPr>
          <w:rFonts w:asciiTheme="minorHAnsi" w:eastAsiaTheme="minorEastAsia" w:hAnsiTheme="minorHAnsi"/>
          <w:lang w:eastAsia="zh-CN"/>
        </w:rPr>
      </w:pPr>
      <w:r w:rsidRPr="00F92FDE">
        <w:rPr>
          <w:rFonts w:asciiTheme="minorHAnsi" w:eastAsiaTheme="minorEastAsia" w:hAnsiTheme="minorHAnsi" w:cs="Microsoft YaHei"/>
          <w:lang w:eastAsia="zh-CN"/>
        </w:rPr>
        <w:t>•</w:t>
      </w:r>
      <w:r>
        <w:rPr>
          <w:rFonts w:asciiTheme="minorHAnsi" w:eastAsiaTheme="minorEastAsia" w:hAnsiTheme="minorHAnsi" w:cs="Microsoft YaHei"/>
          <w:lang w:eastAsia="zh-CN"/>
        </w:rPr>
        <w:tab/>
      </w:r>
      <w:r w:rsidR="002D4B78" w:rsidRPr="00F92FDE">
        <w:rPr>
          <w:rFonts w:asciiTheme="minorHAnsi" w:eastAsiaTheme="minorEastAsia" w:hAnsiTheme="minorHAnsi" w:cs="Microsoft YaHei"/>
          <w:lang w:eastAsia="zh-CN"/>
        </w:rPr>
        <w:t>道德操守框架，道德操守干事职位再次空缺，国际电联秘书处应大力填补这一非常重要的职位。</w:t>
      </w:r>
    </w:p>
    <w:p w:rsidR="002D4B78" w:rsidRPr="00990066" w:rsidRDefault="002D4B78" w:rsidP="002D4B78">
      <w:pPr>
        <w:pStyle w:val="Heading1"/>
        <w:rPr>
          <w:lang w:eastAsia="zh-CN"/>
        </w:rPr>
      </w:pPr>
      <w:r>
        <w:rPr>
          <w:rFonts w:hint="eastAsia"/>
          <w:lang w:eastAsia="zh-CN"/>
        </w:rPr>
        <w:t>4</w:t>
      </w:r>
      <w:r>
        <w:rPr>
          <w:rFonts w:hint="eastAsia"/>
          <w:lang w:eastAsia="zh-CN"/>
        </w:rPr>
        <w:tab/>
      </w:r>
      <w:r>
        <w:rPr>
          <w:lang w:eastAsia="zh-CN"/>
        </w:rPr>
        <w:t>国际电联总部建设项目</w:t>
      </w:r>
    </w:p>
    <w:p w:rsidR="002D4B78" w:rsidRPr="00996499" w:rsidRDefault="002D4B78" w:rsidP="00996499">
      <w:pPr>
        <w:rPr>
          <w:sz w:val="24"/>
          <w:szCs w:val="24"/>
        </w:rPr>
      </w:pPr>
      <w:r w:rsidRPr="00996499">
        <w:rPr>
          <w:sz w:val="24"/>
          <w:szCs w:val="24"/>
        </w:rPr>
        <w:t>4.1</w:t>
      </w:r>
      <w:r w:rsidRPr="00996499">
        <w:rPr>
          <w:sz w:val="24"/>
          <w:szCs w:val="24"/>
        </w:rPr>
        <w:tab/>
      </w:r>
      <w:r w:rsidRPr="00996499">
        <w:rPr>
          <w:rFonts w:hint="eastAsia"/>
          <w:sz w:val="24"/>
          <w:szCs w:val="24"/>
        </w:rPr>
        <w:t>最近任命的高级建设项目顾问已经确定，需要根据优秀做法组建一个合格的项目管理团队，为整个建设项目提供足够的风险管理和监督。这一先前未确定的需求将需要超过</w:t>
      </w:r>
      <w:r w:rsidRPr="00996499">
        <w:rPr>
          <w:rFonts w:hint="eastAsia"/>
          <w:sz w:val="24"/>
          <w:szCs w:val="24"/>
        </w:rPr>
        <w:t>1100</w:t>
      </w:r>
      <w:r w:rsidRPr="00996499">
        <w:rPr>
          <w:rFonts w:hint="eastAsia"/>
          <w:sz w:val="24"/>
          <w:szCs w:val="24"/>
        </w:rPr>
        <w:t>万瑞士法郎的额外资金。已做出决定，这些附加项目管理费用将不通过现有贷款安排融资，以保持建设规模不变。</w:t>
      </w:r>
    </w:p>
    <w:p w:rsidR="002D4B78" w:rsidRDefault="002D4B78" w:rsidP="00996499">
      <w:pPr>
        <w:rPr>
          <w:lang w:bidi="en-US"/>
        </w:rPr>
      </w:pPr>
      <w:r w:rsidRPr="00996499">
        <w:rPr>
          <w:sz w:val="24"/>
          <w:szCs w:val="24"/>
        </w:rPr>
        <w:t>4.2</w:t>
      </w:r>
      <w:r w:rsidRPr="00996499">
        <w:rPr>
          <w:sz w:val="24"/>
          <w:szCs w:val="24"/>
        </w:rPr>
        <w:tab/>
      </w:r>
      <w:r w:rsidRPr="00996499">
        <w:rPr>
          <w:rFonts w:hint="eastAsia"/>
          <w:sz w:val="24"/>
          <w:szCs w:val="24"/>
        </w:rPr>
        <w:t>项目融资中有</w:t>
      </w:r>
      <w:r w:rsidRPr="00996499">
        <w:rPr>
          <w:rFonts w:hint="eastAsia"/>
          <w:sz w:val="24"/>
          <w:szCs w:val="24"/>
        </w:rPr>
        <w:t>5%</w:t>
      </w:r>
      <w:r w:rsidRPr="00996499">
        <w:rPr>
          <w:rFonts w:hint="eastAsia"/>
          <w:sz w:val="24"/>
          <w:szCs w:val="24"/>
        </w:rPr>
        <w:t>的意外开支准备金。但是，</w:t>
      </w:r>
      <w:r w:rsidRPr="00996499">
        <w:rPr>
          <w:rFonts w:hint="eastAsia"/>
          <w:sz w:val="24"/>
          <w:szCs w:val="24"/>
        </w:rPr>
        <w:t>IMAC</w:t>
      </w:r>
      <w:r w:rsidRPr="00996499">
        <w:rPr>
          <w:rFonts w:hint="eastAsia"/>
          <w:sz w:val="24"/>
          <w:szCs w:val="24"/>
        </w:rPr>
        <w:t>担心，即使假设组建了足够的项目管理团队，与其他大型建设项目的经验相比，这一准备金显然不够。</w:t>
      </w:r>
    </w:p>
    <w:p w:rsidR="002D4B78" w:rsidRPr="00996499" w:rsidRDefault="002D4B78" w:rsidP="00996499">
      <w:pPr>
        <w:rPr>
          <w:sz w:val="24"/>
          <w:szCs w:val="24"/>
        </w:rPr>
      </w:pPr>
      <w:r w:rsidRPr="00996499">
        <w:rPr>
          <w:sz w:val="24"/>
          <w:szCs w:val="24"/>
        </w:rPr>
        <w:lastRenderedPageBreak/>
        <w:t>4.3</w:t>
      </w:r>
      <w:r w:rsidRPr="00996499">
        <w:rPr>
          <w:sz w:val="24"/>
          <w:szCs w:val="24"/>
        </w:rPr>
        <w:tab/>
      </w:r>
      <w:r w:rsidRPr="00996499">
        <w:rPr>
          <w:rFonts w:hint="eastAsia"/>
          <w:sz w:val="24"/>
          <w:szCs w:val="24"/>
        </w:rPr>
        <w:t>此外，在</w:t>
      </w:r>
      <w:r w:rsidRPr="00996499">
        <w:rPr>
          <w:rFonts w:hint="eastAsia"/>
          <w:sz w:val="24"/>
          <w:szCs w:val="24"/>
        </w:rPr>
        <w:t>13/2016</w:t>
      </w:r>
      <w:r w:rsidRPr="00996499">
        <w:rPr>
          <w:rFonts w:hint="eastAsia"/>
          <w:sz w:val="24"/>
          <w:szCs w:val="24"/>
        </w:rPr>
        <w:t>号建议中，</w:t>
      </w:r>
      <w:r w:rsidRPr="00996499">
        <w:rPr>
          <w:rFonts w:hint="eastAsia"/>
          <w:sz w:val="24"/>
          <w:szCs w:val="24"/>
        </w:rPr>
        <w:t>IMAC</w:t>
      </w:r>
      <w:r w:rsidRPr="00996499">
        <w:rPr>
          <w:rFonts w:hint="eastAsia"/>
          <w:sz w:val="24"/>
          <w:szCs w:val="24"/>
        </w:rPr>
        <w:t>建议国际电联考虑为该项目组建专门的内部和外部项目和风险管理专业队伍的好处。随着项目的进展，应该设立一个指导委员会来监督项目，该委员会应具有广泛的职权范围和适当的管理架构，包括独立的技术专家。</w:t>
      </w:r>
    </w:p>
    <w:p w:rsidR="002D4B78" w:rsidRDefault="002D4B78" w:rsidP="00996499">
      <w:pPr>
        <w:pStyle w:val="Normalnumbered"/>
        <w:numPr>
          <w:ilvl w:val="0"/>
          <w:numId w:val="0"/>
        </w:numPr>
        <w:pBdr>
          <w:top w:val="single" w:sz="4" w:space="1" w:color="auto"/>
          <w:left w:val="single" w:sz="4" w:space="0" w:color="auto"/>
          <w:bottom w:val="single" w:sz="4" w:space="1" w:color="auto"/>
          <w:right w:val="single" w:sz="4" w:space="4" w:color="auto"/>
        </w:pBdr>
        <w:snapToGrid w:val="0"/>
        <w:spacing w:before="120"/>
        <w:rPr>
          <w:rFonts w:eastAsia="SimSun"/>
          <w:lang w:eastAsia="zh-CN" w:bidi="en-US"/>
        </w:rPr>
      </w:pPr>
      <w:r w:rsidRPr="0065607D">
        <w:rPr>
          <w:rFonts w:eastAsia="SimSun"/>
          <w:b/>
          <w:bCs/>
          <w:lang w:eastAsia="zh-CN" w:bidi="en-US"/>
        </w:rPr>
        <w:t>4</w:t>
      </w:r>
      <w:r>
        <w:rPr>
          <w:rFonts w:eastAsia="SimSun"/>
          <w:b/>
          <w:bCs/>
          <w:lang w:eastAsia="zh-CN" w:bidi="en-US"/>
        </w:rPr>
        <w:t>/</w:t>
      </w:r>
      <w:r w:rsidRPr="0065607D">
        <w:rPr>
          <w:rFonts w:eastAsia="SimSun"/>
          <w:b/>
          <w:bCs/>
          <w:lang w:eastAsia="zh-CN" w:bidi="en-US"/>
        </w:rPr>
        <w:t>2018</w:t>
      </w:r>
      <w:r>
        <w:rPr>
          <w:rFonts w:eastAsia="SimSun"/>
          <w:b/>
          <w:bCs/>
          <w:lang w:eastAsia="zh-CN" w:bidi="en-US"/>
        </w:rPr>
        <w:t>号建议：</w:t>
      </w:r>
      <w:r w:rsidRPr="00961D3F">
        <w:rPr>
          <w:rFonts w:eastAsia="SimSun"/>
          <w:lang w:eastAsia="zh-CN" w:bidi="en-US"/>
        </w:rPr>
        <w:t>因此，</w:t>
      </w:r>
      <w:r w:rsidRPr="0065607D">
        <w:rPr>
          <w:rFonts w:eastAsia="SimSun"/>
          <w:lang w:eastAsia="zh-CN" w:bidi="en-US"/>
        </w:rPr>
        <w:t>IMAC</w:t>
      </w:r>
      <w:r>
        <w:rPr>
          <w:rFonts w:eastAsia="SimSun"/>
          <w:lang w:eastAsia="zh-CN" w:bidi="en-US"/>
        </w:rPr>
        <w:t>建议组建一个监督项目的正式管理架构，且国际电联重新研究所需的资金需求，以确保对国际电联总部建设项目进行适当的财务规划。</w:t>
      </w:r>
    </w:p>
    <w:p w:rsidR="002D4B78" w:rsidRPr="007F6444" w:rsidRDefault="002D4B78" w:rsidP="002D4B78">
      <w:pPr>
        <w:pStyle w:val="Heading1"/>
        <w:rPr>
          <w:lang w:eastAsia="zh-CN"/>
        </w:rPr>
      </w:pPr>
      <w:r>
        <w:rPr>
          <w:lang w:eastAsia="zh-CN"/>
        </w:rPr>
        <w:t>5</w:t>
      </w:r>
      <w:r>
        <w:rPr>
          <w:lang w:eastAsia="zh-CN"/>
        </w:rPr>
        <w:tab/>
      </w:r>
      <w:r>
        <w:rPr>
          <w:lang w:eastAsia="zh-CN"/>
        </w:rPr>
        <w:t>某个区域代表处的可疑欺诈活动</w:t>
      </w:r>
    </w:p>
    <w:p w:rsidR="002D4B78" w:rsidRDefault="002D4B78" w:rsidP="002D4B78">
      <w:pPr>
        <w:pStyle w:val="Normalnumbered"/>
        <w:numPr>
          <w:ilvl w:val="0"/>
          <w:numId w:val="0"/>
        </w:numPr>
        <w:snapToGrid w:val="0"/>
        <w:spacing w:before="120"/>
        <w:rPr>
          <w:rFonts w:eastAsia="SimSun"/>
          <w:lang w:eastAsia="zh-CN" w:bidi="en-US"/>
        </w:rPr>
      </w:pPr>
      <w:r>
        <w:rPr>
          <w:rFonts w:eastAsia="SimSun" w:hint="eastAsia"/>
          <w:lang w:eastAsia="zh-CN" w:bidi="en-US"/>
        </w:rPr>
        <w:t>5.</w:t>
      </w:r>
      <w:r>
        <w:rPr>
          <w:rFonts w:eastAsia="SimSun"/>
          <w:lang w:eastAsia="zh-CN" w:bidi="en-US"/>
        </w:rPr>
        <w:t>1</w:t>
      </w:r>
      <w:r>
        <w:rPr>
          <w:rFonts w:eastAsia="SimSun"/>
          <w:lang w:eastAsia="zh-CN" w:bidi="en-US"/>
        </w:rPr>
        <w:tab/>
      </w:r>
      <w:r>
        <w:rPr>
          <w:rFonts w:eastAsia="SimSun"/>
          <w:lang w:eastAsia="zh-CN" w:bidi="en-US"/>
        </w:rPr>
        <w:t>外部</w:t>
      </w:r>
      <w:r w:rsidRPr="00622D07">
        <w:rPr>
          <w:rFonts w:eastAsia="SimSun" w:hint="eastAsia"/>
          <w:lang w:eastAsia="zh-CN" w:bidi="en-US"/>
        </w:rPr>
        <w:t>审计员的报告</w:t>
      </w:r>
      <w:r>
        <w:rPr>
          <w:rFonts w:eastAsia="SimSun" w:hint="eastAsia"/>
          <w:lang w:eastAsia="zh-CN" w:bidi="en-US"/>
        </w:rPr>
        <w:t>提到</w:t>
      </w:r>
      <w:r w:rsidRPr="00622D07">
        <w:rPr>
          <w:rFonts w:eastAsia="SimSun" w:hint="eastAsia"/>
          <w:lang w:eastAsia="zh-CN" w:bidi="en-US"/>
        </w:rPr>
        <w:t>在</w:t>
      </w:r>
      <w:r>
        <w:rPr>
          <w:rFonts w:eastAsia="SimSun" w:hint="eastAsia"/>
          <w:lang w:eastAsia="zh-CN" w:bidi="en-US"/>
        </w:rPr>
        <w:t>某</w:t>
      </w:r>
      <w:r w:rsidRPr="00622D07">
        <w:rPr>
          <w:rFonts w:eastAsia="SimSun" w:hint="eastAsia"/>
          <w:lang w:eastAsia="zh-CN" w:bidi="en-US"/>
        </w:rPr>
        <w:t>个区域</w:t>
      </w:r>
      <w:r>
        <w:rPr>
          <w:rFonts w:eastAsia="SimSun" w:hint="eastAsia"/>
          <w:lang w:eastAsia="zh-CN" w:bidi="en-US"/>
        </w:rPr>
        <w:t>代表处</w:t>
      </w:r>
      <w:r w:rsidRPr="00622D07">
        <w:rPr>
          <w:rFonts w:eastAsia="SimSun" w:hint="eastAsia"/>
          <w:lang w:eastAsia="zh-CN" w:bidi="en-US"/>
        </w:rPr>
        <w:t>发现一</w:t>
      </w:r>
      <w:r>
        <w:rPr>
          <w:rFonts w:eastAsia="SimSun" w:hint="eastAsia"/>
          <w:lang w:eastAsia="zh-CN" w:bidi="en-US"/>
        </w:rPr>
        <w:t>件持续</w:t>
      </w:r>
      <w:r w:rsidRPr="00622D07">
        <w:rPr>
          <w:rFonts w:eastAsia="SimSun" w:hint="eastAsia"/>
          <w:lang w:eastAsia="zh-CN" w:bidi="en-US"/>
        </w:rPr>
        <w:t>多年的</w:t>
      </w:r>
      <w:r>
        <w:rPr>
          <w:rFonts w:eastAsia="SimSun" w:hint="eastAsia"/>
          <w:lang w:eastAsia="zh-CN" w:bidi="en-US"/>
        </w:rPr>
        <w:t>可疑</w:t>
      </w:r>
      <w:r w:rsidRPr="00622D07">
        <w:rPr>
          <w:rFonts w:eastAsia="SimSun" w:hint="eastAsia"/>
          <w:lang w:eastAsia="zh-CN" w:bidi="en-US"/>
        </w:rPr>
        <w:t>欺诈案件。</w:t>
      </w:r>
      <w:r>
        <w:rPr>
          <w:rFonts w:eastAsia="SimSun" w:hint="eastAsia"/>
          <w:lang w:eastAsia="zh-CN" w:bidi="en-US"/>
        </w:rPr>
        <w:t>外部</w:t>
      </w:r>
      <w:r w:rsidRPr="00622D07">
        <w:rPr>
          <w:rFonts w:eastAsia="SimSun" w:hint="eastAsia"/>
          <w:lang w:eastAsia="zh-CN" w:bidi="en-US"/>
        </w:rPr>
        <w:t>审计员得出结论认为，欺诈活动不会对整个</w:t>
      </w:r>
      <w:r w:rsidRPr="00622D07">
        <w:rPr>
          <w:rFonts w:eastAsia="SimSun" w:hint="eastAsia"/>
          <w:lang w:eastAsia="zh-CN" w:bidi="en-US"/>
        </w:rPr>
        <w:t>2017</w:t>
      </w:r>
      <w:r w:rsidRPr="00622D07">
        <w:rPr>
          <w:rFonts w:eastAsia="SimSun" w:hint="eastAsia"/>
          <w:lang w:eastAsia="zh-CN" w:bidi="en-US"/>
        </w:rPr>
        <w:t>年账户产生重大影响。然而，</w:t>
      </w:r>
      <w:r w:rsidRPr="00622D07">
        <w:rPr>
          <w:rFonts w:eastAsia="SimSun" w:hint="eastAsia"/>
          <w:lang w:eastAsia="zh-CN" w:bidi="en-US"/>
        </w:rPr>
        <w:t>IMAC</w:t>
      </w:r>
      <w:r>
        <w:rPr>
          <w:rFonts w:eastAsia="SimSun" w:hint="eastAsia"/>
          <w:lang w:eastAsia="zh-CN" w:bidi="en-US"/>
        </w:rPr>
        <w:t>注意到</w:t>
      </w:r>
      <w:r w:rsidRPr="00622D07">
        <w:rPr>
          <w:rFonts w:eastAsia="SimSun" w:hint="eastAsia"/>
          <w:lang w:eastAsia="zh-CN" w:bidi="en-US"/>
        </w:rPr>
        <w:t>，所涉及和正在调查的活动</w:t>
      </w:r>
      <w:r>
        <w:rPr>
          <w:rFonts w:eastAsia="SimSun" w:hint="eastAsia"/>
          <w:lang w:eastAsia="zh-CN" w:bidi="en-US"/>
        </w:rPr>
        <w:t>持续</w:t>
      </w:r>
      <w:r w:rsidRPr="00622D07">
        <w:rPr>
          <w:rFonts w:eastAsia="SimSun" w:hint="eastAsia"/>
          <w:lang w:eastAsia="zh-CN" w:bidi="en-US"/>
        </w:rPr>
        <w:t>多年，涉及一系列多方面</w:t>
      </w:r>
      <w:r>
        <w:rPr>
          <w:rFonts w:eastAsia="SimSun" w:hint="eastAsia"/>
          <w:lang w:eastAsia="zh-CN" w:bidi="en-US"/>
        </w:rPr>
        <w:t>违规</w:t>
      </w:r>
      <w:r w:rsidRPr="00622D07">
        <w:rPr>
          <w:rFonts w:eastAsia="SimSun" w:hint="eastAsia"/>
          <w:lang w:eastAsia="zh-CN" w:bidi="en-US"/>
        </w:rPr>
        <w:t>行为，包括但不限于采购和</w:t>
      </w:r>
      <w:r>
        <w:rPr>
          <w:rFonts w:eastAsia="SimSun" w:hint="eastAsia"/>
          <w:lang w:eastAsia="zh-CN" w:bidi="en-US"/>
        </w:rPr>
        <w:t>签订合同</w:t>
      </w:r>
      <w:r w:rsidRPr="00622D07">
        <w:rPr>
          <w:rFonts w:eastAsia="SimSun" w:hint="eastAsia"/>
          <w:lang w:eastAsia="zh-CN" w:bidi="en-US"/>
        </w:rPr>
        <w:t>。</w:t>
      </w:r>
    </w:p>
    <w:p w:rsidR="002D4B78" w:rsidRDefault="002D4B78" w:rsidP="002D4B78">
      <w:pPr>
        <w:pStyle w:val="Normalnumbered"/>
        <w:numPr>
          <w:ilvl w:val="0"/>
          <w:numId w:val="0"/>
        </w:numPr>
        <w:snapToGrid w:val="0"/>
        <w:spacing w:before="120"/>
        <w:rPr>
          <w:rFonts w:eastAsia="SimSun"/>
          <w:lang w:eastAsia="zh-CN" w:bidi="en-US"/>
        </w:rPr>
      </w:pPr>
      <w:r>
        <w:rPr>
          <w:rFonts w:eastAsia="SimSun"/>
          <w:lang w:eastAsia="zh-CN" w:bidi="en-US"/>
        </w:rPr>
        <w:t>5.2</w:t>
      </w:r>
      <w:r>
        <w:rPr>
          <w:rFonts w:eastAsia="SimSun"/>
          <w:lang w:eastAsia="zh-CN" w:bidi="en-US"/>
        </w:rPr>
        <w:tab/>
        <w:t>I</w:t>
      </w:r>
      <w:r w:rsidRPr="00622D07">
        <w:rPr>
          <w:rFonts w:eastAsia="SimSun" w:hint="eastAsia"/>
          <w:lang w:eastAsia="zh-CN" w:bidi="en-US"/>
        </w:rPr>
        <w:t>MAC</w:t>
      </w:r>
      <w:r>
        <w:rPr>
          <w:rFonts w:eastAsia="SimSun" w:hint="eastAsia"/>
          <w:lang w:eastAsia="zh-CN" w:bidi="en-US"/>
        </w:rPr>
        <w:t>先前已</w:t>
      </w:r>
      <w:r w:rsidRPr="00622D07">
        <w:rPr>
          <w:rFonts w:eastAsia="SimSun" w:hint="eastAsia"/>
          <w:lang w:eastAsia="zh-CN" w:bidi="en-US"/>
        </w:rPr>
        <w:t>对区域</w:t>
      </w:r>
      <w:r>
        <w:rPr>
          <w:rFonts w:eastAsia="SimSun" w:hint="eastAsia"/>
          <w:lang w:eastAsia="zh-CN" w:bidi="en-US"/>
        </w:rPr>
        <w:t>代表处</w:t>
      </w:r>
      <w:r w:rsidRPr="00622D07">
        <w:rPr>
          <w:rFonts w:eastAsia="SimSun" w:hint="eastAsia"/>
          <w:lang w:eastAsia="zh-CN" w:bidi="en-US"/>
        </w:rPr>
        <w:t>的控制和治理</w:t>
      </w:r>
      <w:r>
        <w:rPr>
          <w:rFonts w:eastAsia="SimSun" w:hint="eastAsia"/>
          <w:lang w:eastAsia="zh-CN" w:bidi="en-US"/>
        </w:rPr>
        <w:t>表示过关注（</w:t>
      </w:r>
      <w:r w:rsidRPr="00622D07">
        <w:rPr>
          <w:rFonts w:eastAsia="SimSun" w:hint="eastAsia"/>
          <w:lang w:eastAsia="zh-CN" w:bidi="en-US"/>
        </w:rPr>
        <w:t>IMAC</w:t>
      </w:r>
      <w:r>
        <w:rPr>
          <w:rFonts w:eastAsia="SimSun"/>
          <w:lang w:eastAsia="zh-CN" w:bidi="en-US"/>
        </w:rPr>
        <w:t xml:space="preserve"> </w:t>
      </w:r>
      <w:r w:rsidRPr="00622D07">
        <w:rPr>
          <w:rFonts w:eastAsia="SimSun" w:hint="eastAsia"/>
          <w:lang w:eastAsia="zh-CN" w:bidi="en-US"/>
        </w:rPr>
        <w:t>2/2014</w:t>
      </w:r>
      <w:r>
        <w:rPr>
          <w:rFonts w:eastAsia="SimSun" w:hint="eastAsia"/>
          <w:lang w:eastAsia="zh-CN" w:bidi="en-US"/>
        </w:rPr>
        <w:t>号、</w:t>
      </w:r>
      <w:r w:rsidRPr="00622D07">
        <w:rPr>
          <w:rFonts w:eastAsia="SimSun" w:hint="eastAsia"/>
          <w:lang w:eastAsia="zh-CN" w:bidi="en-US"/>
        </w:rPr>
        <w:t>5/2015</w:t>
      </w:r>
      <w:r>
        <w:rPr>
          <w:rFonts w:eastAsia="SimSun" w:hint="eastAsia"/>
          <w:lang w:eastAsia="zh-CN" w:bidi="en-US"/>
        </w:rPr>
        <w:t>号</w:t>
      </w:r>
      <w:r w:rsidRPr="00622D07">
        <w:rPr>
          <w:rFonts w:eastAsia="SimSun" w:hint="eastAsia"/>
          <w:lang w:eastAsia="zh-CN" w:bidi="en-US"/>
        </w:rPr>
        <w:t>建议</w:t>
      </w:r>
      <w:r>
        <w:rPr>
          <w:rFonts w:eastAsia="SimSun" w:hint="eastAsia"/>
          <w:lang w:eastAsia="zh-CN" w:bidi="en-US"/>
        </w:rPr>
        <w:t>）</w:t>
      </w:r>
      <w:r w:rsidRPr="00622D07">
        <w:rPr>
          <w:rFonts w:eastAsia="SimSun" w:hint="eastAsia"/>
          <w:lang w:eastAsia="zh-CN" w:bidi="en-US"/>
        </w:rPr>
        <w:t>，</w:t>
      </w:r>
      <w:r w:rsidRPr="00622D07">
        <w:rPr>
          <w:rFonts w:eastAsia="SimSun" w:hint="eastAsia"/>
          <w:lang w:eastAsia="zh-CN" w:bidi="en-US"/>
        </w:rPr>
        <w:t>IMAC</w:t>
      </w:r>
      <w:r w:rsidRPr="00622D07">
        <w:rPr>
          <w:rFonts w:eastAsia="SimSun" w:hint="eastAsia"/>
          <w:lang w:eastAsia="zh-CN" w:bidi="en-US"/>
        </w:rPr>
        <w:t>仍然严重</w:t>
      </w:r>
      <w:r>
        <w:rPr>
          <w:rFonts w:eastAsia="SimSun" w:hint="eastAsia"/>
          <w:lang w:eastAsia="zh-CN" w:bidi="en-US"/>
        </w:rPr>
        <w:t>关注</w:t>
      </w:r>
      <w:r w:rsidRPr="00622D07">
        <w:rPr>
          <w:rFonts w:eastAsia="SimSun" w:hint="eastAsia"/>
          <w:lang w:eastAsia="zh-CN" w:bidi="en-US"/>
        </w:rPr>
        <w:t>区域</w:t>
      </w:r>
      <w:r>
        <w:rPr>
          <w:rFonts w:eastAsia="SimSun" w:hint="eastAsia"/>
          <w:lang w:eastAsia="zh-CN" w:bidi="en-US"/>
        </w:rPr>
        <w:t>代表处</w:t>
      </w:r>
      <w:r w:rsidRPr="00622D07">
        <w:rPr>
          <w:rFonts w:eastAsia="SimSun" w:hint="eastAsia"/>
          <w:lang w:eastAsia="zh-CN" w:bidi="en-US"/>
        </w:rPr>
        <w:t>的</w:t>
      </w:r>
      <w:r>
        <w:rPr>
          <w:rFonts w:eastAsia="SimSun" w:hint="eastAsia"/>
          <w:lang w:eastAsia="zh-CN" w:bidi="en-US"/>
        </w:rPr>
        <w:t>管理</w:t>
      </w:r>
      <w:r w:rsidRPr="00622D07">
        <w:rPr>
          <w:rFonts w:eastAsia="SimSun" w:hint="eastAsia"/>
          <w:lang w:eastAsia="zh-CN" w:bidi="en-US"/>
        </w:rPr>
        <w:t>和控制</w:t>
      </w:r>
      <w:r>
        <w:rPr>
          <w:rFonts w:eastAsia="SimSun" w:hint="eastAsia"/>
          <w:lang w:eastAsia="zh-CN" w:bidi="en-US"/>
        </w:rPr>
        <w:t>不到位问题</w:t>
      </w:r>
      <w:r w:rsidRPr="00622D07">
        <w:rPr>
          <w:rFonts w:eastAsia="SimSun" w:hint="eastAsia"/>
          <w:lang w:eastAsia="zh-CN" w:bidi="en-US"/>
        </w:rPr>
        <w:t>。</w:t>
      </w:r>
    </w:p>
    <w:p w:rsidR="002D4B78" w:rsidRDefault="002D4B78" w:rsidP="002D4B78">
      <w:pPr>
        <w:pStyle w:val="Normalnumbered"/>
        <w:numPr>
          <w:ilvl w:val="0"/>
          <w:numId w:val="0"/>
        </w:numPr>
        <w:snapToGrid w:val="0"/>
        <w:spacing w:before="120"/>
        <w:rPr>
          <w:rFonts w:eastAsia="SimSun"/>
          <w:lang w:eastAsia="zh-CN" w:bidi="en-US"/>
        </w:rPr>
      </w:pPr>
      <w:r>
        <w:rPr>
          <w:rFonts w:eastAsia="SimSun"/>
          <w:lang w:eastAsia="zh-CN" w:bidi="en-US"/>
        </w:rPr>
        <w:t>5.3</w:t>
      </w:r>
      <w:r>
        <w:rPr>
          <w:rFonts w:eastAsia="SimSun"/>
          <w:lang w:eastAsia="zh-CN" w:bidi="en-US"/>
        </w:rPr>
        <w:tab/>
      </w:r>
      <w:r w:rsidRPr="00622D07">
        <w:rPr>
          <w:rFonts w:eastAsia="SimSun" w:hint="eastAsia"/>
          <w:lang w:eastAsia="zh-CN" w:bidi="en-US"/>
        </w:rPr>
        <w:t>IMAC</w:t>
      </w:r>
      <w:r w:rsidRPr="00622D07">
        <w:rPr>
          <w:rFonts w:eastAsia="SimSun" w:hint="eastAsia"/>
          <w:lang w:eastAsia="zh-CN" w:bidi="en-US"/>
        </w:rPr>
        <w:t>要求提供内部审计</w:t>
      </w:r>
      <w:r>
        <w:rPr>
          <w:rFonts w:eastAsia="SimSun" w:hint="eastAsia"/>
          <w:lang w:eastAsia="zh-CN" w:bidi="en-US"/>
        </w:rPr>
        <w:t>所开展</w:t>
      </w:r>
      <w:r w:rsidRPr="00622D07">
        <w:rPr>
          <w:rFonts w:eastAsia="SimSun" w:hint="eastAsia"/>
          <w:lang w:eastAsia="zh-CN" w:bidi="en-US"/>
        </w:rPr>
        <w:t>调查的全部细节，但只</w:t>
      </w:r>
      <w:r>
        <w:rPr>
          <w:rFonts w:eastAsia="SimSun" w:hint="eastAsia"/>
          <w:lang w:eastAsia="zh-CN" w:bidi="en-US"/>
        </w:rPr>
        <w:t>获得了内容提要</w:t>
      </w:r>
      <w:r w:rsidRPr="00622D07">
        <w:rPr>
          <w:rFonts w:eastAsia="SimSun" w:hint="eastAsia"/>
          <w:lang w:eastAsia="zh-CN" w:bidi="en-US"/>
        </w:rPr>
        <w:t>的摘录</w:t>
      </w:r>
      <w:r>
        <w:rPr>
          <w:rFonts w:eastAsia="SimSun" w:hint="eastAsia"/>
          <w:lang w:eastAsia="zh-CN" w:bidi="en-US"/>
        </w:rPr>
        <w:t>及</w:t>
      </w:r>
      <w:r w:rsidRPr="00622D07">
        <w:rPr>
          <w:rFonts w:eastAsia="SimSun" w:hint="eastAsia"/>
          <w:lang w:eastAsia="zh-CN" w:bidi="en-US"/>
        </w:rPr>
        <w:t>调查报告的附件</w:t>
      </w:r>
      <w:r w:rsidRPr="00622D07">
        <w:rPr>
          <w:rFonts w:eastAsia="SimSun" w:hint="eastAsia"/>
          <w:lang w:eastAsia="zh-CN" w:bidi="en-US"/>
        </w:rPr>
        <w:t>17</w:t>
      </w:r>
      <w:r w:rsidRPr="00622D07">
        <w:rPr>
          <w:rFonts w:eastAsia="SimSun" w:hint="eastAsia"/>
          <w:lang w:eastAsia="zh-CN" w:bidi="en-US"/>
        </w:rPr>
        <w:t>。然而，</w:t>
      </w:r>
      <w:r w:rsidRPr="00622D07">
        <w:rPr>
          <w:rFonts w:eastAsia="SimSun" w:hint="eastAsia"/>
          <w:lang w:eastAsia="zh-CN" w:bidi="en-US"/>
        </w:rPr>
        <w:t>IMAC</w:t>
      </w:r>
      <w:r>
        <w:rPr>
          <w:rFonts w:eastAsia="SimSun" w:hint="eastAsia"/>
          <w:lang w:eastAsia="zh-CN" w:bidi="en-US"/>
        </w:rPr>
        <w:t>注意到</w:t>
      </w:r>
      <w:r w:rsidRPr="00622D07">
        <w:rPr>
          <w:rFonts w:eastAsia="SimSun" w:hint="eastAsia"/>
          <w:lang w:eastAsia="zh-CN" w:bidi="en-US"/>
        </w:rPr>
        <w:t>，报告全文已提供给</w:t>
      </w:r>
      <w:r>
        <w:rPr>
          <w:rFonts w:eastAsia="SimSun" w:hint="eastAsia"/>
          <w:lang w:eastAsia="zh-CN" w:bidi="en-US"/>
        </w:rPr>
        <w:t>外部</w:t>
      </w:r>
      <w:r w:rsidRPr="00622D07">
        <w:rPr>
          <w:rFonts w:eastAsia="SimSun" w:hint="eastAsia"/>
          <w:lang w:eastAsia="zh-CN" w:bidi="en-US"/>
        </w:rPr>
        <w:t>审计员。在没有完整调查报告的情况下，</w:t>
      </w:r>
      <w:r w:rsidRPr="00622D07">
        <w:rPr>
          <w:rFonts w:eastAsia="SimSun" w:hint="eastAsia"/>
          <w:lang w:eastAsia="zh-CN" w:bidi="en-US"/>
        </w:rPr>
        <w:t>IMAC</w:t>
      </w:r>
      <w:r w:rsidRPr="00622D07">
        <w:rPr>
          <w:rFonts w:eastAsia="SimSun" w:hint="eastAsia"/>
          <w:lang w:eastAsia="zh-CN" w:bidi="en-US"/>
        </w:rPr>
        <w:t>无法就此事或其潜在影响提供建议。</w:t>
      </w:r>
    </w:p>
    <w:p w:rsidR="002D4B78" w:rsidRDefault="002D4B78" w:rsidP="002D4B78">
      <w:pPr>
        <w:pStyle w:val="Heading1"/>
        <w:rPr>
          <w:lang w:eastAsia="zh-CN"/>
        </w:rPr>
      </w:pPr>
      <w:r>
        <w:rPr>
          <w:lang w:eastAsia="zh-CN"/>
        </w:rPr>
        <w:t>6</w:t>
      </w:r>
      <w:r>
        <w:rPr>
          <w:lang w:eastAsia="zh-CN"/>
        </w:rPr>
        <w:tab/>
      </w:r>
      <w:r>
        <w:rPr>
          <w:lang w:eastAsia="zh-CN"/>
        </w:rPr>
        <w:t>合规及欺诈风险管理</w:t>
      </w:r>
      <w:r>
        <w:rPr>
          <w:rFonts w:hint="eastAsia"/>
          <w:lang w:eastAsia="zh-CN"/>
        </w:rPr>
        <w:t>/</w:t>
      </w:r>
      <w:r>
        <w:rPr>
          <w:rFonts w:hint="eastAsia"/>
          <w:lang w:eastAsia="zh-CN"/>
        </w:rPr>
        <w:t>制定调查准则草案</w:t>
      </w:r>
    </w:p>
    <w:p w:rsidR="002D4B78" w:rsidRPr="00996499" w:rsidRDefault="002D4B78" w:rsidP="002D4B78">
      <w:pPr>
        <w:numPr>
          <w:ilvl w:val="1"/>
          <w:numId w:val="0"/>
        </w:numPr>
        <w:tabs>
          <w:tab w:val="clear" w:pos="794"/>
          <w:tab w:val="clear" w:pos="1191"/>
          <w:tab w:val="clear" w:pos="1588"/>
          <w:tab w:val="clear" w:pos="1985"/>
        </w:tabs>
        <w:spacing w:before="180" w:after="120"/>
        <w:rPr>
          <w:rFonts w:cs="SimSun"/>
          <w:sz w:val="24"/>
          <w:szCs w:val="24"/>
          <w:lang w:bidi="en-US"/>
        </w:rPr>
      </w:pPr>
      <w:r w:rsidRPr="00996499">
        <w:rPr>
          <w:rFonts w:cs="SimSun"/>
          <w:sz w:val="24"/>
          <w:szCs w:val="24"/>
          <w:lang w:bidi="en-US"/>
        </w:rPr>
        <w:t>6.1</w:t>
      </w:r>
      <w:r w:rsidRPr="00996499">
        <w:rPr>
          <w:rFonts w:cs="SimSun"/>
          <w:sz w:val="24"/>
          <w:szCs w:val="24"/>
          <w:lang w:bidi="en-US"/>
        </w:rPr>
        <w:tab/>
      </w:r>
      <w:r w:rsidRPr="00996499">
        <w:rPr>
          <w:rFonts w:cs="SimSun" w:hint="eastAsia"/>
          <w:sz w:val="24"/>
          <w:szCs w:val="24"/>
          <w:lang w:bidi="en-US"/>
        </w:rPr>
        <w:t>正如在第七次年度报告中已经提到的那样，</w:t>
      </w:r>
      <w:r w:rsidRPr="00996499">
        <w:rPr>
          <w:rFonts w:cs="SimSun" w:hint="eastAsia"/>
          <w:sz w:val="24"/>
          <w:szCs w:val="24"/>
          <w:lang w:bidi="en-US"/>
        </w:rPr>
        <w:t>IMAC</w:t>
      </w:r>
      <w:r w:rsidRPr="00996499">
        <w:rPr>
          <w:rFonts w:cs="SimSun" w:hint="eastAsia"/>
          <w:sz w:val="24"/>
          <w:szCs w:val="24"/>
          <w:lang w:bidi="en-US"/>
        </w:rPr>
        <w:t>审查了国际电联的调查准则草案，并应秘书处的要求，就对秘书长提出的任何指控应适用的适当安排提出建议，这些指控必须向理事会主席报告。</w:t>
      </w:r>
    </w:p>
    <w:p w:rsidR="002D4B78" w:rsidRPr="00996499" w:rsidRDefault="002D4B78" w:rsidP="002D4B78">
      <w:pPr>
        <w:numPr>
          <w:ilvl w:val="1"/>
          <w:numId w:val="0"/>
        </w:numPr>
        <w:tabs>
          <w:tab w:val="clear" w:pos="794"/>
          <w:tab w:val="clear" w:pos="1191"/>
          <w:tab w:val="clear" w:pos="1588"/>
          <w:tab w:val="clear" w:pos="1985"/>
        </w:tabs>
        <w:spacing w:before="180" w:after="120"/>
        <w:rPr>
          <w:rFonts w:cs="SimSun"/>
          <w:sz w:val="24"/>
          <w:szCs w:val="24"/>
          <w:lang w:bidi="en-US"/>
        </w:rPr>
      </w:pPr>
      <w:r w:rsidRPr="00996499">
        <w:rPr>
          <w:rFonts w:cs="SimSun"/>
          <w:sz w:val="24"/>
          <w:szCs w:val="24"/>
          <w:lang w:bidi="en-US"/>
        </w:rPr>
        <w:t>6.2</w:t>
      </w:r>
      <w:r w:rsidRPr="00996499">
        <w:rPr>
          <w:rFonts w:cs="SimSun"/>
          <w:b/>
          <w:sz w:val="24"/>
          <w:szCs w:val="24"/>
          <w:lang w:bidi="en-US"/>
        </w:rPr>
        <w:tab/>
      </w:r>
      <w:r w:rsidRPr="00996499">
        <w:rPr>
          <w:rFonts w:hint="eastAsia"/>
          <w:sz w:val="24"/>
          <w:szCs w:val="24"/>
        </w:rPr>
        <w:t>在与相关各方协商后，根据善治惯例，</w:t>
      </w:r>
      <w:r w:rsidRPr="00996499">
        <w:rPr>
          <w:rFonts w:hint="eastAsia"/>
          <w:sz w:val="24"/>
          <w:szCs w:val="24"/>
        </w:rPr>
        <w:t>IMAC</w:t>
      </w:r>
      <w:r w:rsidRPr="00996499">
        <w:rPr>
          <w:rFonts w:hint="eastAsia"/>
          <w:sz w:val="24"/>
          <w:szCs w:val="24"/>
        </w:rPr>
        <w:t>建议，向理事会主席报告的责任方可以是</w:t>
      </w:r>
      <w:r w:rsidRPr="00996499">
        <w:rPr>
          <w:rFonts w:hint="eastAsia"/>
          <w:sz w:val="24"/>
          <w:szCs w:val="24"/>
        </w:rPr>
        <w:t>IMAC</w:t>
      </w:r>
      <w:r w:rsidRPr="00996499">
        <w:rPr>
          <w:rFonts w:hint="eastAsia"/>
          <w:sz w:val="24"/>
          <w:szCs w:val="24"/>
        </w:rPr>
        <w:t>主席</w:t>
      </w:r>
      <w:r w:rsidRPr="00996499">
        <w:rPr>
          <w:color w:val="000000"/>
          <w:sz w:val="24"/>
          <w:szCs w:val="24"/>
        </w:rPr>
        <w:t>（该主席完全独立于管理层，而且由理事会任命</w:t>
      </w:r>
      <w:r w:rsidRPr="00996499">
        <w:rPr>
          <w:rFonts w:ascii="SimSun" w:hAnsi="SimSun" w:cs="SimSun" w:hint="eastAsia"/>
          <w:color w:val="000000"/>
          <w:sz w:val="24"/>
          <w:szCs w:val="24"/>
        </w:rPr>
        <w:t>）</w:t>
      </w:r>
      <w:r w:rsidRPr="00996499">
        <w:rPr>
          <w:rFonts w:cs="SimSun" w:hint="eastAsia"/>
          <w:sz w:val="24"/>
          <w:szCs w:val="24"/>
          <w:lang w:bidi="en-US"/>
        </w:rPr>
        <w:t>。</w:t>
      </w:r>
    </w:p>
    <w:p w:rsidR="002D4B78" w:rsidRPr="0043724F" w:rsidRDefault="002D4B78" w:rsidP="002D4B78">
      <w:pPr>
        <w:spacing w:before="840"/>
        <w:jc w:val="center"/>
        <w:rPr>
          <w:rFonts w:cs="SimSun"/>
          <w:szCs w:val="24"/>
          <w:lang w:bidi="en-US"/>
        </w:rPr>
      </w:pPr>
      <w:r>
        <w:t>______________</w:t>
      </w:r>
    </w:p>
    <w:p w:rsidR="00572364" w:rsidRDefault="00572364" w:rsidP="002D4B78">
      <w:pPr>
        <w:tabs>
          <w:tab w:val="clear" w:pos="794"/>
          <w:tab w:val="clear" w:pos="1191"/>
          <w:tab w:val="clear" w:pos="1588"/>
          <w:tab w:val="clear" w:pos="1985"/>
        </w:tabs>
        <w:overflowPunct/>
        <w:autoSpaceDE/>
        <w:autoSpaceDN/>
        <w:adjustRightInd/>
        <w:spacing w:before="0" w:line="240" w:lineRule="auto"/>
        <w:textAlignment w:val="auto"/>
      </w:pPr>
    </w:p>
    <w:sectPr w:rsidR="00572364" w:rsidSect="00BB0895">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3C2" w:rsidRDefault="00C13056">
      <w:pPr>
        <w:spacing w:before="0" w:line="240" w:lineRule="auto"/>
      </w:pPr>
      <w:r>
        <w:separator/>
      </w:r>
    </w:p>
  </w:endnote>
  <w:endnote w:type="continuationSeparator" w:id="0">
    <w:p w:rsidR="00D873C2" w:rsidRDefault="00C1305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1F" w:rsidRDefault="00D04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C55" w:rsidRPr="00D04F1F" w:rsidRDefault="00C62E7A" w:rsidP="00186DB2">
    <w:pPr>
      <w:pStyle w:val="Footer"/>
      <w:rPr>
        <w:color w:val="D9D9D9" w:themeColor="background1" w:themeShade="D9"/>
        <w:sz w:val="16"/>
        <w:szCs w:val="16"/>
        <w:lang w:val="fr-CH"/>
      </w:rPr>
    </w:pPr>
    <w:r w:rsidRPr="00D04F1F">
      <w:rPr>
        <w:color w:val="D9D9D9" w:themeColor="background1" w:themeShade="D9"/>
        <w:sz w:val="16"/>
        <w:szCs w:val="16"/>
      </w:rPr>
      <w:fldChar w:fldCharType="begin"/>
    </w:r>
    <w:r w:rsidRPr="00D04F1F">
      <w:rPr>
        <w:color w:val="D9D9D9" w:themeColor="background1" w:themeShade="D9"/>
        <w:sz w:val="16"/>
        <w:szCs w:val="16"/>
        <w:lang w:val="fr-CH"/>
      </w:rPr>
      <w:instrText xml:space="preserve"> FILENAME \p  \* MERGEFORMAT </w:instrText>
    </w:r>
    <w:r w:rsidRPr="00D04F1F">
      <w:rPr>
        <w:color w:val="D9D9D9" w:themeColor="background1" w:themeShade="D9"/>
        <w:sz w:val="16"/>
        <w:szCs w:val="16"/>
      </w:rPr>
      <w:fldChar w:fldCharType="separate"/>
    </w:r>
    <w:r w:rsidR="00186DB2" w:rsidRPr="00D04F1F">
      <w:rPr>
        <w:noProof/>
        <w:color w:val="D9D9D9" w:themeColor="background1" w:themeShade="D9"/>
        <w:sz w:val="16"/>
        <w:szCs w:val="16"/>
        <w:lang w:val="fr-CH"/>
      </w:rPr>
      <w:t>P:\CHI\SG\CONSEIL\</w:t>
    </w:r>
    <w:bookmarkStart w:id="3" w:name="_GoBack"/>
    <w:r w:rsidR="00186DB2" w:rsidRPr="00D04F1F">
      <w:rPr>
        <w:noProof/>
        <w:color w:val="D9D9D9" w:themeColor="background1" w:themeShade="D9"/>
        <w:sz w:val="16"/>
        <w:szCs w:val="16"/>
        <w:lang w:val="fr-CH"/>
      </w:rPr>
      <w:t>C18</w:t>
    </w:r>
    <w:bookmarkEnd w:id="3"/>
    <w:r w:rsidR="00186DB2" w:rsidRPr="00D04F1F">
      <w:rPr>
        <w:noProof/>
        <w:color w:val="D9D9D9" w:themeColor="background1" w:themeShade="D9"/>
        <w:sz w:val="16"/>
        <w:szCs w:val="16"/>
        <w:lang w:val="fr-CH"/>
      </w:rPr>
      <w:t>\000\022ADD01C.docx</w:t>
    </w:r>
    <w:r w:rsidRPr="00D04F1F">
      <w:rPr>
        <w:noProof/>
        <w:color w:val="D9D9D9" w:themeColor="background1" w:themeShade="D9"/>
        <w:sz w:val="16"/>
        <w:szCs w:val="16"/>
      </w:rPr>
      <w:fldChar w:fldCharType="end"/>
    </w:r>
    <w:r w:rsidRPr="00D04F1F">
      <w:rPr>
        <w:noProof/>
        <w:color w:val="D9D9D9" w:themeColor="background1" w:themeShade="D9"/>
        <w:sz w:val="16"/>
        <w:szCs w:val="16"/>
        <w:lang w:val="fr-CH"/>
      </w:rPr>
      <w:t xml:space="preserve"> (4</w:t>
    </w:r>
    <w:r w:rsidR="00186DB2" w:rsidRPr="00D04F1F">
      <w:rPr>
        <w:noProof/>
        <w:color w:val="D9D9D9" w:themeColor="background1" w:themeShade="D9"/>
        <w:sz w:val="16"/>
        <w:szCs w:val="16"/>
        <w:lang w:val="fr-CH"/>
      </w:rPr>
      <w:t>44028</w:t>
    </w:r>
    <w:r w:rsidRPr="00D04F1F">
      <w:rPr>
        <w:noProof/>
        <w:color w:val="D9D9D9" w:themeColor="background1" w:themeShade="D9"/>
        <w:sz w:val="16"/>
        <w:szCs w:val="16"/>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5F" w:rsidRPr="00723258" w:rsidRDefault="0087325F" w:rsidP="0087325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3C2" w:rsidRDefault="00C13056">
      <w:pPr>
        <w:spacing w:before="0" w:line="240" w:lineRule="auto"/>
      </w:pPr>
      <w:r>
        <w:separator/>
      </w:r>
    </w:p>
  </w:footnote>
  <w:footnote w:type="continuationSeparator" w:id="0">
    <w:p w:rsidR="00D873C2" w:rsidRDefault="00C1305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C55" w:rsidRPr="007E77EC" w:rsidRDefault="00C62E7A" w:rsidP="007E77EC">
    <w:pPr>
      <w:pStyle w:val="Header"/>
      <w:jc w:val="center"/>
      <w:rPr>
        <w:sz w:val="18"/>
        <w:szCs w:val="18"/>
      </w:rPr>
    </w:pPr>
    <w:r>
      <w:rPr>
        <w:rStyle w:val="PageNumber"/>
        <w:sz w:val="18"/>
        <w:szCs w:val="18"/>
      </w:rPr>
      <w:t xml:space="preserve">- </w:t>
    </w:r>
    <w:r w:rsidRPr="007E77EC">
      <w:rPr>
        <w:rStyle w:val="PageNumber"/>
        <w:sz w:val="18"/>
        <w:szCs w:val="18"/>
      </w:rPr>
      <w:fldChar w:fldCharType="begin"/>
    </w:r>
    <w:r w:rsidRPr="007E77EC">
      <w:rPr>
        <w:rStyle w:val="PageNumber"/>
        <w:sz w:val="18"/>
        <w:szCs w:val="18"/>
      </w:rPr>
      <w:instrText xml:space="preserve"> PAGE </w:instrText>
    </w:r>
    <w:r w:rsidRPr="007E77EC">
      <w:rPr>
        <w:rStyle w:val="PageNumber"/>
        <w:sz w:val="18"/>
        <w:szCs w:val="18"/>
      </w:rPr>
      <w:fldChar w:fldCharType="separate"/>
    </w:r>
    <w:r>
      <w:rPr>
        <w:rStyle w:val="PageNumber"/>
        <w:noProof/>
        <w:sz w:val="18"/>
        <w:szCs w:val="18"/>
      </w:rPr>
      <w:t>2</w:t>
    </w:r>
    <w:r w:rsidRPr="007E77EC">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C55" w:rsidRPr="007E77EC" w:rsidRDefault="00C62E7A" w:rsidP="007E77EC">
    <w:pPr>
      <w:pStyle w:val="Header"/>
      <w:jc w:val="center"/>
      <w:rPr>
        <w:iCs/>
        <w:sz w:val="18"/>
        <w:szCs w:val="18"/>
      </w:rPr>
    </w:pPr>
    <w:r>
      <w:rPr>
        <w:iCs/>
        <w:sz w:val="18"/>
        <w:szCs w:val="18"/>
      </w:rPr>
      <w:t xml:space="preserve">- </w:t>
    </w:r>
    <w:r w:rsidRPr="007E77EC">
      <w:rPr>
        <w:iCs/>
        <w:sz w:val="18"/>
        <w:szCs w:val="18"/>
      </w:rPr>
      <w:fldChar w:fldCharType="begin"/>
    </w:r>
    <w:r w:rsidRPr="007E77EC">
      <w:rPr>
        <w:iCs/>
        <w:sz w:val="18"/>
        <w:szCs w:val="18"/>
      </w:rPr>
      <w:instrText xml:space="preserve"> PAGE  \* MERGEFORMAT </w:instrText>
    </w:r>
    <w:r w:rsidRPr="007E77EC">
      <w:rPr>
        <w:iCs/>
        <w:sz w:val="18"/>
        <w:szCs w:val="18"/>
      </w:rPr>
      <w:fldChar w:fldCharType="separate"/>
    </w:r>
    <w:r w:rsidR="00D04F1F">
      <w:rPr>
        <w:iCs/>
        <w:noProof/>
        <w:sz w:val="18"/>
        <w:szCs w:val="18"/>
      </w:rPr>
      <w:t>4</w:t>
    </w:r>
    <w:r w:rsidRPr="007E77EC">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1F" w:rsidRDefault="00D04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7FE"/>
    <w:multiLevelType w:val="multilevel"/>
    <w:tmpl w:val="F496BA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7C1935"/>
    <w:multiLevelType w:val="hybridMultilevel"/>
    <w:tmpl w:val="E7DA1848"/>
    <w:lvl w:ilvl="0" w:tplc="D0DAE69E">
      <w:start w:val="1"/>
      <w:numFmt w:val="lowerRoman"/>
      <w:lvlText w:val="%1."/>
      <w:lvlJc w:val="left"/>
      <w:pPr>
        <w:tabs>
          <w:tab w:val="num" w:pos="1440"/>
        </w:tabs>
        <w:ind w:left="1440" w:hanging="360"/>
      </w:pPr>
      <w:rPr>
        <w:rFonts w:ascii="Calibri" w:eastAsia="SimSun" w:hAnsi="Calibri" w:cs="SimSun"/>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0B1C9E"/>
    <w:multiLevelType w:val="hybridMultilevel"/>
    <w:tmpl w:val="1FAED53E"/>
    <w:lvl w:ilvl="0" w:tplc="08090001">
      <w:start w:val="1"/>
      <w:numFmt w:val="bullet"/>
      <w:lvlText w:val=""/>
      <w:lvlJc w:val="left"/>
      <w:pPr>
        <w:tabs>
          <w:tab w:val="num" w:pos="1080"/>
        </w:tabs>
        <w:ind w:left="1080" w:hanging="360"/>
      </w:pPr>
      <w:rPr>
        <w:rFonts w:ascii="Symbol" w:hAnsi="Symbol"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7A"/>
    <w:rsid w:val="00186DB2"/>
    <w:rsid w:val="00216932"/>
    <w:rsid w:val="002631B8"/>
    <w:rsid w:val="002D4B78"/>
    <w:rsid w:val="004E610F"/>
    <w:rsid w:val="00572364"/>
    <w:rsid w:val="005911A8"/>
    <w:rsid w:val="006E6710"/>
    <w:rsid w:val="0087325F"/>
    <w:rsid w:val="00996499"/>
    <w:rsid w:val="00A75102"/>
    <w:rsid w:val="00C13056"/>
    <w:rsid w:val="00C62E7A"/>
    <w:rsid w:val="00D04F1F"/>
    <w:rsid w:val="00D873C2"/>
    <w:rsid w:val="00F92F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FD76-CDD1-4900-9985-C068F52A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7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SimSun" w:hAnsi="Calibri" w:cs="Times New Roman"/>
    </w:rPr>
  </w:style>
  <w:style w:type="paragraph" w:styleId="Heading1">
    <w:name w:val="heading 1"/>
    <w:basedOn w:val="Normal"/>
    <w:next w:val="Normal"/>
    <w:link w:val="Heading1Char"/>
    <w:qFormat/>
    <w:rsid w:val="002D4B78"/>
    <w:pPr>
      <w:keepNext/>
      <w:keepLines/>
      <w:spacing w:before="480" w:line="240" w:lineRule="auto"/>
      <w:ind w:left="794" w:hanging="794"/>
      <w:jc w:val="left"/>
      <w:outlineLvl w:val="0"/>
    </w:pPr>
    <w:rPr>
      <w:b/>
      <w:sz w:val="28"/>
      <w:szCs w:val="20"/>
      <w:lang w:val="en-GB" w:eastAsia="en-US"/>
    </w:rPr>
  </w:style>
  <w:style w:type="paragraph" w:styleId="Heading3">
    <w:name w:val="heading 3"/>
    <w:basedOn w:val="Normal"/>
    <w:next w:val="Normal"/>
    <w:link w:val="Heading3Char"/>
    <w:uiPriority w:val="9"/>
    <w:semiHidden/>
    <w:unhideWhenUsed/>
    <w:qFormat/>
    <w:rsid w:val="002D4B7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2E7A"/>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C62E7A"/>
    <w:rPr>
      <w:rFonts w:ascii="Calibri" w:eastAsia="SimSun" w:hAnsi="Calibri" w:cs="Times New Roman"/>
    </w:rPr>
  </w:style>
  <w:style w:type="paragraph" w:styleId="Header">
    <w:name w:val="header"/>
    <w:basedOn w:val="Normal"/>
    <w:link w:val="HeaderChar"/>
    <w:rsid w:val="00C62E7A"/>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C62E7A"/>
    <w:rPr>
      <w:rFonts w:ascii="Calibri" w:eastAsia="SimSun" w:hAnsi="Calibri" w:cs="Times New Roman"/>
    </w:rPr>
  </w:style>
  <w:style w:type="paragraph" w:customStyle="1" w:styleId="Normalaftertitle">
    <w:name w:val="Normal_after_title"/>
    <w:basedOn w:val="Normal"/>
    <w:next w:val="Normal"/>
    <w:rsid w:val="00C62E7A"/>
    <w:pPr>
      <w:spacing w:before="400"/>
    </w:pPr>
  </w:style>
  <w:style w:type="character" w:styleId="PageNumber">
    <w:name w:val="page number"/>
    <w:basedOn w:val="DefaultParagraphFont"/>
    <w:rsid w:val="00C62E7A"/>
  </w:style>
  <w:style w:type="paragraph" w:customStyle="1" w:styleId="FirstFooter">
    <w:name w:val="FirstFooter"/>
    <w:basedOn w:val="Normal"/>
    <w:rsid w:val="00C62E7A"/>
    <w:pPr>
      <w:tabs>
        <w:tab w:val="clear" w:pos="794"/>
        <w:tab w:val="clear" w:pos="1191"/>
        <w:tab w:val="clear" w:pos="1588"/>
        <w:tab w:val="clear" w:pos="1985"/>
      </w:tabs>
      <w:overflowPunct/>
      <w:autoSpaceDE/>
      <w:autoSpaceDN/>
      <w:adjustRightInd/>
      <w:spacing w:before="40"/>
      <w:jc w:val="left"/>
      <w:textAlignment w:val="auto"/>
    </w:pPr>
    <w:rPr>
      <w:sz w:val="16"/>
    </w:rPr>
  </w:style>
  <w:style w:type="character" w:styleId="Hyperlink">
    <w:name w:val="Hyperlink"/>
    <w:basedOn w:val="DefaultParagraphFont"/>
    <w:rsid w:val="00C62E7A"/>
    <w:rPr>
      <w:color w:val="0000FF"/>
      <w:u w:val="single"/>
    </w:rPr>
  </w:style>
  <w:style w:type="table" w:styleId="TableGrid">
    <w:name w:val="Table Grid"/>
    <w:basedOn w:val="TableNormal"/>
    <w:rsid w:val="00C62E7A"/>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C62E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paragraph" w:styleId="BalloonText">
    <w:name w:val="Balloon Text"/>
    <w:basedOn w:val="Normal"/>
    <w:link w:val="BalloonTextChar"/>
    <w:uiPriority w:val="99"/>
    <w:semiHidden/>
    <w:unhideWhenUsed/>
    <w:rsid w:val="0021693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932"/>
    <w:rPr>
      <w:rFonts w:ascii="Segoe UI" w:eastAsia="SimSun" w:hAnsi="Segoe UI" w:cs="Segoe UI"/>
      <w:sz w:val="18"/>
      <w:szCs w:val="18"/>
    </w:rPr>
  </w:style>
  <w:style w:type="paragraph" w:customStyle="1" w:styleId="Source">
    <w:name w:val="Source"/>
    <w:basedOn w:val="Normal"/>
    <w:next w:val="Normal"/>
    <w:rsid w:val="002D4B78"/>
    <w:pPr>
      <w:spacing w:before="480" w:line="240" w:lineRule="auto"/>
      <w:jc w:val="center"/>
    </w:pPr>
    <w:rPr>
      <w:b/>
      <w:sz w:val="28"/>
      <w:szCs w:val="20"/>
      <w:lang w:val="en-GB" w:eastAsia="en-US"/>
    </w:rPr>
  </w:style>
  <w:style w:type="paragraph" w:customStyle="1" w:styleId="Title1">
    <w:name w:val="Title 1"/>
    <w:basedOn w:val="Source"/>
    <w:next w:val="Normal"/>
    <w:rsid w:val="002D4B78"/>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character" w:customStyle="1" w:styleId="Heading1Char">
    <w:name w:val="Heading 1 Char"/>
    <w:basedOn w:val="DefaultParagraphFont"/>
    <w:link w:val="Heading1"/>
    <w:rsid w:val="002D4B78"/>
    <w:rPr>
      <w:rFonts w:ascii="Calibri" w:eastAsia="SimSun" w:hAnsi="Calibri" w:cs="Times New Roman"/>
      <w:b/>
      <w:sz w:val="28"/>
      <w:szCs w:val="20"/>
      <w:lang w:val="en-GB" w:eastAsia="en-US"/>
    </w:rPr>
  </w:style>
  <w:style w:type="paragraph" w:customStyle="1" w:styleId="Normalaftertitle0">
    <w:name w:val="Normal after title"/>
    <w:basedOn w:val="Normal"/>
    <w:next w:val="Normal"/>
    <w:link w:val="NormalaftertitleChar"/>
    <w:rsid w:val="002D4B78"/>
    <w:pPr>
      <w:spacing w:before="320" w:line="240" w:lineRule="auto"/>
      <w:jc w:val="left"/>
    </w:pPr>
    <w:rPr>
      <w:sz w:val="24"/>
      <w:szCs w:val="20"/>
      <w:lang w:val="en-GB" w:eastAsia="en-US"/>
    </w:rPr>
  </w:style>
  <w:style w:type="paragraph" w:customStyle="1" w:styleId="Headingb">
    <w:name w:val="Heading_b"/>
    <w:basedOn w:val="Heading3"/>
    <w:next w:val="Normal"/>
    <w:rsid w:val="002D4B7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jc w:val="left"/>
      <w:textAlignment w:val="auto"/>
      <w:outlineLvl w:val="9"/>
    </w:pPr>
    <w:rPr>
      <w:rFonts w:ascii="Calibri" w:eastAsia="SimSun" w:hAnsi="Calibri" w:cs="Times New Roman"/>
      <w:b/>
      <w:color w:val="auto"/>
      <w:szCs w:val="20"/>
      <w:lang w:val="en-GB" w:eastAsia="en-US"/>
    </w:rPr>
  </w:style>
  <w:style w:type="character" w:customStyle="1" w:styleId="NormalaftertitleChar">
    <w:name w:val="Normal after title Char"/>
    <w:link w:val="Normalaftertitle0"/>
    <w:locked/>
    <w:rsid w:val="002D4B78"/>
    <w:rPr>
      <w:rFonts w:ascii="Calibri" w:eastAsia="SimSun" w:hAnsi="Calibri" w:cs="Times New Roman"/>
      <w:sz w:val="24"/>
      <w:szCs w:val="20"/>
      <w:lang w:val="en-GB" w:eastAsia="en-US"/>
    </w:rPr>
  </w:style>
  <w:style w:type="paragraph" w:customStyle="1" w:styleId="Normalnumbered">
    <w:name w:val="Normal (numbered)"/>
    <w:basedOn w:val="ListParagraph"/>
    <w:link w:val="NormalnumberedChar"/>
    <w:qFormat/>
    <w:rsid w:val="002D4B78"/>
    <w:pPr>
      <w:numPr>
        <w:ilvl w:val="1"/>
        <w:numId w:val="2"/>
      </w:numPr>
      <w:tabs>
        <w:tab w:val="clear" w:pos="794"/>
        <w:tab w:val="clear" w:pos="1191"/>
        <w:tab w:val="clear" w:pos="1588"/>
        <w:tab w:val="clear" w:pos="1985"/>
      </w:tabs>
      <w:spacing w:before="180" w:after="120" w:line="240" w:lineRule="auto"/>
      <w:contextualSpacing w:val="0"/>
    </w:pPr>
    <w:rPr>
      <w:rFonts w:asciiTheme="minorHAnsi" w:eastAsia="Times New Roman" w:hAnsiTheme="minorHAnsi"/>
      <w:sz w:val="24"/>
      <w:szCs w:val="24"/>
      <w:lang w:val="en-GB" w:eastAsia="en-US"/>
    </w:rPr>
  </w:style>
  <w:style w:type="paragraph" w:customStyle="1" w:styleId="NumberedHeading">
    <w:name w:val="Numbered Heading"/>
    <w:basedOn w:val="Normalnumbered"/>
    <w:qFormat/>
    <w:rsid w:val="002D4B78"/>
    <w:pPr>
      <w:keepNext/>
      <w:numPr>
        <w:ilvl w:val="0"/>
      </w:numPr>
      <w:tabs>
        <w:tab w:val="num" w:pos="360"/>
      </w:tabs>
      <w:spacing w:before="480" w:after="0"/>
      <w:ind w:left="357" w:hanging="357"/>
    </w:pPr>
    <w:rPr>
      <w:b/>
    </w:rPr>
  </w:style>
  <w:style w:type="character" w:customStyle="1" w:styleId="NormalnumberedChar">
    <w:name w:val="Normal (numbered) Char"/>
    <w:basedOn w:val="DefaultParagraphFont"/>
    <w:link w:val="Normalnumbered"/>
    <w:rsid w:val="002D4B78"/>
    <w:rPr>
      <w:rFonts w:eastAsia="Times New Roman" w:cs="Times New Roman"/>
      <w:sz w:val="24"/>
      <w:szCs w:val="24"/>
      <w:lang w:val="en-GB" w:eastAsia="en-US"/>
    </w:rPr>
  </w:style>
  <w:style w:type="character" w:customStyle="1" w:styleId="Heading3Char">
    <w:name w:val="Heading 3 Char"/>
    <w:basedOn w:val="DefaultParagraphFont"/>
    <w:link w:val="Heading3"/>
    <w:uiPriority w:val="9"/>
    <w:semiHidden/>
    <w:rsid w:val="002D4B7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D4B78"/>
    <w:pPr>
      <w:ind w:left="720"/>
      <w:contextualSpacing/>
    </w:pPr>
  </w:style>
  <w:style w:type="paragraph" w:customStyle="1" w:styleId="enumlev1">
    <w:name w:val="enumlev1"/>
    <w:basedOn w:val="Normal"/>
    <w:rsid w:val="00F92FDE"/>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eastAsia="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8-CL-C-0022/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tu.int/pub/S-CONF-PLEN-2015" TargetMode="External"/><Relationship Id="rId4" Type="http://schemas.openxmlformats.org/officeDocument/2006/relationships/webSettings" Target="webSettings.xml"/><Relationship Id="rId9" Type="http://schemas.openxmlformats.org/officeDocument/2006/relationships/hyperlink" Target="https://www.itu.int/md/S18-CL-C-0040/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report of the IMAC</dc:title>
  <dc:subject/>
  <dc:creator>Janin</dc:creator>
  <cp:keywords>C2018, C18</cp:keywords>
  <dc:description/>
  <cp:lastModifiedBy>Botalla, Sabine</cp:lastModifiedBy>
  <cp:revision>5</cp:revision>
  <cp:lastPrinted>2018-09-19T13:14:00Z</cp:lastPrinted>
  <dcterms:created xsi:type="dcterms:W3CDTF">2018-10-03T12:22:00Z</dcterms:created>
  <dcterms:modified xsi:type="dcterms:W3CDTF">2018-10-05T11:32:00Z</dcterms:modified>
</cp:coreProperties>
</file>