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43323F" w:rsidRPr="00813E5E" w14:paraId="0018F6DA" w14:textId="77777777">
        <w:trPr>
          <w:cantSplit/>
        </w:trPr>
        <w:tc>
          <w:tcPr>
            <w:tcW w:w="6911" w:type="dxa"/>
          </w:tcPr>
          <w:p w14:paraId="658A1A46" w14:textId="2854E85B" w:rsidR="0043323F" w:rsidRPr="00813E5E" w:rsidRDefault="0043323F" w:rsidP="00EF47D7">
            <w:pPr>
              <w:spacing w:before="360" w:after="48" w:line="240" w:lineRule="atLeast"/>
              <w:rPr>
                <w:position w:val="6"/>
              </w:rPr>
            </w:pPr>
            <w:bookmarkStart w:id="0" w:name="dc06"/>
            <w:bookmarkStart w:id="1" w:name="_GoBack"/>
            <w:bookmarkEnd w:id="0"/>
            <w:bookmarkEnd w:id="1"/>
            <w:r w:rsidRPr="0043323F">
              <w:rPr>
                <w:b/>
                <w:bCs/>
                <w:position w:val="6"/>
                <w:sz w:val="30"/>
                <w:szCs w:val="30"/>
                <w:lang w:val="fr-CH"/>
              </w:rPr>
              <w:t xml:space="preserve">Council </w:t>
            </w:r>
            <w:r w:rsidR="00EF47D7" w:rsidRPr="0043323F">
              <w:rPr>
                <w:b/>
                <w:bCs/>
                <w:position w:val="6"/>
                <w:sz w:val="30"/>
                <w:szCs w:val="30"/>
                <w:lang w:val="fr-CH"/>
              </w:rPr>
              <w:t>201</w:t>
            </w:r>
            <w:r w:rsidR="00EF47D7">
              <w:rPr>
                <w:b/>
                <w:bCs/>
                <w:position w:val="6"/>
                <w:sz w:val="30"/>
                <w:szCs w:val="30"/>
                <w:lang w:val="fr-CH"/>
              </w:rPr>
              <w:t>8</w:t>
            </w:r>
            <w:r w:rsidRPr="0043323F">
              <w:rPr>
                <w:rFonts w:cs="Times"/>
                <w:b/>
                <w:position w:val="6"/>
                <w:sz w:val="26"/>
                <w:szCs w:val="26"/>
                <w:lang w:val="en-US"/>
              </w:rPr>
              <w:br/>
            </w:r>
            <w:r w:rsidRPr="0043323F">
              <w:rPr>
                <w:b/>
                <w:bCs/>
                <w:position w:val="6"/>
                <w:szCs w:val="24"/>
                <w:lang w:val="fr-CH"/>
              </w:rPr>
              <w:t xml:space="preserve">Geneva, </w:t>
            </w:r>
            <w:r w:rsidR="00EF47D7">
              <w:rPr>
                <w:b/>
                <w:bCs/>
                <w:position w:val="6"/>
                <w:szCs w:val="24"/>
                <w:lang w:val="fr-CH"/>
              </w:rPr>
              <w:t>17-27 April 2018</w:t>
            </w:r>
          </w:p>
        </w:tc>
        <w:tc>
          <w:tcPr>
            <w:tcW w:w="3120" w:type="dxa"/>
          </w:tcPr>
          <w:p w14:paraId="7E1ED687" w14:textId="77777777" w:rsidR="0043323F" w:rsidRPr="00813E5E" w:rsidRDefault="0043323F" w:rsidP="0043323F">
            <w:pPr>
              <w:spacing w:before="0" w:line="240" w:lineRule="atLeast"/>
              <w:jc w:val="right"/>
            </w:pPr>
            <w:bookmarkStart w:id="2" w:name="ditulogo"/>
            <w:bookmarkEnd w:id="2"/>
            <w:r w:rsidRPr="00F21593">
              <w:rPr>
                <w:rFonts w:ascii="Verdana" w:hAnsi="Verdana"/>
                <w:noProof/>
                <w:color w:val="FFFFFF"/>
                <w:sz w:val="26"/>
                <w:szCs w:val="26"/>
                <w:lang w:val="en-US" w:eastAsia="zh-CN"/>
              </w:rPr>
              <w:drawing>
                <wp:inline distT="0" distB="0" distL="0" distR="0" wp14:anchorId="3ED943E6" wp14:editId="300EAB78">
                  <wp:extent cx="1765300" cy="7429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65300" cy="742950"/>
                          </a:xfrm>
                          <a:prstGeom prst="rect">
                            <a:avLst/>
                          </a:prstGeom>
                          <a:noFill/>
                          <a:ln>
                            <a:noFill/>
                          </a:ln>
                        </pic:spPr>
                      </pic:pic>
                    </a:graphicData>
                  </a:graphic>
                </wp:inline>
              </w:drawing>
            </w:r>
          </w:p>
        </w:tc>
      </w:tr>
      <w:tr w:rsidR="0043323F" w:rsidRPr="00813E5E" w14:paraId="410CC2DF" w14:textId="77777777">
        <w:trPr>
          <w:cantSplit/>
        </w:trPr>
        <w:tc>
          <w:tcPr>
            <w:tcW w:w="6911" w:type="dxa"/>
            <w:tcBorders>
              <w:bottom w:val="single" w:sz="12" w:space="0" w:color="auto"/>
            </w:tcBorders>
          </w:tcPr>
          <w:p w14:paraId="58C2BBC5" w14:textId="77777777" w:rsidR="0043323F" w:rsidRPr="00813E5E" w:rsidRDefault="0043323F">
            <w:pPr>
              <w:spacing w:before="0" w:after="48" w:line="240" w:lineRule="atLeast"/>
              <w:rPr>
                <w:b/>
                <w:smallCaps/>
                <w:szCs w:val="24"/>
              </w:rPr>
            </w:pPr>
          </w:p>
        </w:tc>
        <w:tc>
          <w:tcPr>
            <w:tcW w:w="3120" w:type="dxa"/>
            <w:tcBorders>
              <w:bottom w:val="single" w:sz="12" w:space="0" w:color="auto"/>
            </w:tcBorders>
          </w:tcPr>
          <w:p w14:paraId="41AA65B6" w14:textId="77777777" w:rsidR="0043323F" w:rsidRPr="00813E5E" w:rsidRDefault="0043323F">
            <w:pPr>
              <w:spacing w:before="0" w:line="240" w:lineRule="atLeast"/>
              <w:rPr>
                <w:szCs w:val="24"/>
              </w:rPr>
            </w:pPr>
          </w:p>
        </w:tc>
      </w:tr>
      <w:tr w:rsidR="0043323F" w:rsidRPr="00813E5E" w14:paraId="6890D243" w14:textId="77777777">
        <w:trPr>
          <w:cantSplit/>
        </w:trPr>
        <w:tc>
          <w:tcPr>
            <w:tcW w:w="6911" w:type="dxa"/>
            <w:tcBorders>
              <w:top w:val="single" w:sz="12" w:space="0" w:color="auto"/>
            </w:tcBorders>
          </w:tcPr>
          <w:p w14:paraId="219CB0FE" w14:textId="77777777" w:rsidR="0043323F" w:rsidRPr="00813E5E" w:rsidRDefault="0043323F" w:rsidP="00F8784B">
            <w:pPr>
              <w:spacing w:before="0" w:line="240" w:lineRule="atLeast"/>
              <w:rPr>
                <w:b/>
                <w:smallCaps/>
                <w:szCs w:val="24"/>
              </w:rPr>
            </w:pPr>
          </w:p>
        </w:tc>
        <w:tc>
          <w:tcPr>
            <w:tcW w:w="3120" w:type="dxa"/>
            <w:tcBorders>
              <w:top w:val="single" w:sz="12" w:space="0" w:color="auto"/>
            </w:tcBorders>
          </w:tcPr>
          <w:p w14:paraId="133EBACC" w14:textId="77777777" w:rsidR="0043323F" w:rsidRPr="00813E5E" w:rsidRDefault="0043323F" w:rsidP="00F8784B">
            <w:pPr>
              <w:spacing w:before="0" w:line="240" w:lineRule="atLeast"/>
              <w:rPr>
                <w:szCs w:val="24"/>
              </w:rPr>
            </w:pPr>
          </w:p>
        </w:tc>
      </w:tr>
      <w:tr w:rsidR="0043323F" w:rsidRPr="00813E5E" w14:paraId="57E66322" w14:textId="77777777">
        <w:trPr>
          <w:cantSplit/>
          <w:trHeight w:val="23"/>
        </w:trPr>
        <w:tc>
          <w:tcPr>
            <w:tcW w:w="6911" w:type="dxa"/>
            <w:vMerge w:val="restart"/>
          </w:tcPr>
          <w:p w14:paraId="16DF5059" w14:textId="6504D117" w:rsidR="0043323F" w:rsidRPr="0043323F" w:rsidRDefault="0043323F" w:rsidP="00EA3511">
            <w:pPr>
              <w:tabs>
                <w:tab w:val="left" w:pos="851"/>
              </w:tabs>
              <w:spacing w:before="0" w:line="240" w:lineRule="atLeast"/>
              <w:rPr>
                <w:b/>
              </w:rPr>
            </w:pPr>
            <w:bookmarkStart w:id="3" w:name="dmeeting" w:colFirst="0" w:colLast="0"/>
            <w:bookmarkStart w:id="4" w:name="dnum" w:colFirst="1" w:colLast="1"/>
            <w:r>
              <w:rPr>
                <w:b/>
              </w:rPr>
              <w:t xml:space="preserve">Agenda item: </w:t>
            </w:r>
            <w:r w:rsidR="00DA7CE0">
              <w:rPr>
                <w:b/>
              </w:rPr>
              <w:t xml:space="preserve">PL </w:t>
            </w:r>
            <w:r w:rsidR="00EA3511">
              <w:rPr>
                <w:b/>
              </w:rPr>
              <w:t>4.1</w:t>
            </w:r>
          </w:p>
        </w:tc>
        <w:tc>
          <w:tcPr>
            <w:tcW w:w="3120" w:type="dxa"/>
          </w:tcPr>
          <w:p w14:paraId="101A316A" w14:textId="04D658F8" w:rsidR="0043323F" w:rsidRPr="0043323F" w:rsidRDefault="0043323F" w:rsidP="00123A22">
            <w:pPr>
              <w:tabs>
                <w:tab w:val="left" w:pos="851"/>
              </w:tabs>
              <w:spacing w:before="0" w:line="240" w:lineRule="atLeast"/>
              <w:rPr>
                <w:b/>
              </w:rPr>
            </w:pPr>
            <w:r>
              <w:rPr>
                <w:b/>
              </w:rPr>
              <w:t xml:space="preserve">Document </w:t>
            </w:r>
            <w:r w:rsidR="00DA7CE0">
              <w:rPr>
                <w:b/>
              </w:rPr>
              <w:t>C1</w:t>
            </w:r>
            <w:r w:rsidR="00E12426">
              <w:rPr>
                <w:b/>
              </w:rPr>
              <w:t>8</w:t>
            </w:r>
            <w:r w:rsidR="00DA7CE0">
              <w:rPr>
                <w:b/>
              </w:rPr>
              <w:t>/21</w:t>
            </w:r>
            <w:r w:rsidR="00EA3511">
              <w:rPr>
                <w:b/>
              </w:rPr>
              <w:t>-E</w:t>
            </w:r>
          </w:p>
        </w:tc>
      </w:tr>
      <w:tr w:rsidR="0043323F" w:rsidRPr="00813E5E" w14:paraId="774EAAED" w14:textId="77777777">
        <w:trPr>
          <w:cantSplit/>
          <w:trHeight w:val="23"/>
        </w:trPr>
        <w:tc>
          <w:tcPr>
            <w:tcW w:w="6911" w:type="dxa"/>
            <w:vMerge/>
          </w:tcPr>
          <w:p w14:paraId="3C75EEF6" w14:textId="77777777" w:rsidR="0043323F" w:rsidRPr="00813E5E" w:rsidRDefault="0043323F">
            <w:pPr>
              <w:tabs>
                <w:tab w:val="left" w:pos="851"/>
              </w:tabs>
              <w:spacing w:line="240" w:lineRule="atLeast"/>
              <w:rPr>
                <w:b/>
              </w:rPr>
            </w:pPr>
            <w:bookmarkStart w:id="5" w:name="ddate" w:colFirst="1" w:colLast="1"/>
            <w:bookmarkEnd w:id="3"/>
            <w:bookmarkEnd w:id="4"/>
          </w:p>
        </w:tc>
        <w:tc>
          <w:tcPr>
            <w:tcW w:w="3120" w:type="dxa"/>
          </w:tcPr>
          <w:p w14:paraId="135D2485" w14:textId="2FB65BA6" w:rsidR="0043323F" w:rsidRPr="0043323F" w:rsidRDefault="00157B4D" w:rsidP="0043323F">
            <w:pPr>
              <w:tabs>
                <w:tab w:val="left" w:pos="993"/>
              </w:tabs>
              <w:spacing w:before="0"/>
              <w:rPr>
                <w:b/>
              </w:rPr>
            </w:pPr>
            <w:r>
              <w:rPr>
                <w:b/>
              </w:rPr>
              <w:t xml:space="preserve">8 </w:t>
            </w:r>
            <w:r w:rsidR="00DA7CE0">
              <w:rPr>
                <w:b/>
              </w:rPr>
              <w:t>March 2018</w:t>
            </w:r>
          </w:p>
        </w:tc>
      </w:tr>
      <w:tr w:rsidR="0043323F" w:rsidRPr="00813E5E" w14:paraId="24D7D309" w14:textId="77777777">
        <w:trPr>
          <w:cantSplit/>
          <w:trHeight w:val="23"/>
        </w:trPr>
        <w:tc>
          <w:tcPr>
            <w:tcW w:w="6911" w:type="dxa"/>
            <w:vMerge/>
          </w:tcPr>
          <w:p w14:paraId="2000312C" w14:textId="77777777" w:rsidR="0043323F" w:rsidRPr="00813E5E" w:rsidRDefault="0043323F">
            <w:pPr>
              <w:tabs>
                <w:tab w:val="left" w:pos="851"/>
              </w:tabs>
              <w:spacing w:line="240" w:lineRule="atLeast"/>
              <w:rPr>
                <w:b/>
              </w:rPr>
            </w:pPr>
            <w:bookmarkStart w:id="6" w:name="dorlang" w:colFirst="1" w:colLast="1"/>
            <w:bookmarkEnd w:id="5"/>
          </w:p>
        </w:tc>
        <w:tc>
          <w:tcPr>
            <w:tcW w:w="3120" w:type="dxa"/>
          </w:tcPr>
          <w:p w14:paraId="426B2E31" w14:textId="77777777" w:rsidR="0043323F" w:rsidRPr="0043323F" w:rsidRDefault="0043323F" w:rsidP="0043323F">
            <w:pPr>
              <w:tabs>
                <w:tab w:val="left" w:pos="993"/>
              </w:tabs>
              <w:spacing w:before="0"/>
              <w:rPr>
                <w:b/>
              </w:rPr>
            </w:pPr>
            <w:r>
              <w:rPr>
                <w:b/>
              </w:rPr>
              <w:t>Original: English</w:t>
            </w:r>
          </w:p>
        </w:tc>
      </w:tr>
      <w:tr w:rsidR="0043323F" w:rsidRPr="00813E5E" w14:paraId="3B15C0B5" w14:textId="77777777">
        <w:trPr>
          <w:cantSplit/>
        </w:trPr>
        <w:tc>
          <w:tcPr>
            <w:tcW w:w="10031" w:type="dxa"/>
            <w:gridSpan w:val="2"/>
          </w:tcPr>
          <w:p w14:paraId="06C7D3D2" w14:textId="77777777" w:rsidR="0043323F" w:rsidRPr="00813E5E" w:rsidRDefault="0043323F">
            <w:pPr>
              <w:pStyle w:val="Source"/>
            </w:pPr>
            <w:bookmarkStart w:id="7" w:name="dsource" w:colFirst="0" w:colLast="0"/>
            <w:bookmarkEnd w:id="6"/>
            <w:r>
              <w:t>Report by the Secretary-General</w:t>
            </w:r>
          </w:p>
        </w:tc>
      </w:tr>
      <w:tr w:rsidR="0043323F" w:rsidRPr="00813E5E" w14:paraId="1A840D1E" w14:textId="77777777">
        <w:trPr>
          <w:cantSplit/>
        </w:trPr>
        <w:tc>
          <w:tcPr>
            <w:tcW w:w="10031" w:type="dxa"/>
            <w:gridSpan w:val="2"/>
          </w:tcPr>
          <w:p w14:paraId="4C8EBA0B" w14:textId="1F409290" w:rsidR="0043323F" w:rsidRPr="00813E5E" w:rsidRDefault="0043323F">
            <w:pPr>
              <w:pStyle w:val="Title1"/>
            </w:pPr>
            <w:bookmarkStart w:id="8" w:name="dtitle1" w:colFirst="0" w:colLast="0"/>
            <w:bookmarkEnd w:id="7"/>
            <w:r w:rsidRPr="0043323F">
              <w:t>SALES OF</w:t>
            </w:r>
            <w:r w:rsidR="000C2D0E">
              <w:t>,</w:t>
            </w:r>
            <w:r w:rsidRPr="0043323F">
              <w:t xml:space="preserve"> AND FREE ONLINE ACCESS TO</w:t>
            </w:r>
            <w:r w:rsidR="000C2D0E">
              <w:t>,</w:t>
            </w:r>
            <w:r w:rsidRPr="0043323F">
              <w:t xml:space="preserve"> ITU PUBLICATIONS</w:t>
            </w:r>
          </w:p>
        </w:tc>
      </w:tr>
      <w:bookmarkEnd w:id="8"/>
    </w:tbl>
    <w:p w14:paraId="56F7F88F" w14:textId="77777777" w:rsidR="0043323F" w:rsidRPr="00813E5E" w:rsidRDefault="0043323F"/>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43323F" w:rsidRPr="00813E5E" w14:paraId="7F9C3611" w14:textId="77777777">
        <w:trPr>
          <w:trHeight w:val="3372"/>
        </w:trPr>
        <w:tc>
          <w:tcPr>
            <w:tcW w:w="8080" w:type="dxa"/>
            <w:tcBorders>
              <w:top w:val="single" w:sz="12" w:space="0" w:color="auto"/>
              <w:left w:val="single" w:sz="12" w:space="0" w:color="auto"/>
              <w:bottom w:val="single" w:sz="12" w:space="0" w:color="auto"/>
              <w:right w:val="single" w:sz="12" w:space="0" w:color="auto"/>
            </w:tcBorders>
          </w:tcPr>
          <w:p w14:paraId="02077CCA" w14:textId="77777777" w:rsidR="0043323F" w:rsidRPr="00813E5E" w:rsidRDefault="0043323F">
            <w:pPr>
              <w:pStyle w:val="Headingb"/>
            </w:pPr>
            <w:r w:rsidRPr="00813E5E">
              <w:t>Summary</w:t>
            </w:r>
          </w:p>
          <w:p w14:paraId="744B0801" w14:textId="10AA1758" w:rsidR="0043323F" w:rsidRPr="00813E5E" w:rsidRDefault="0043323F" w:rsidP="00866A5D">
            <w:pPr>
              <w:jc w:val="both"/>
            </w:pPr>
            <w:r w:rsidRPr="0043323F">
              <w:t>By Decision 12 (Rev. Busan, 2014), the Plenipotentiary Conference instructed the</w:t>
            </w:r>
            <w:r w:rsidR="005D24EF">
              <w:t xml:space="preserve"> Secretary-General to prepare an annual </w:t>
            </w:r>
            <w:r w:rsidRPr="0043323F">
              <w:t xml:space="preserve">report </w:t>
            </w:r>
            <w:r w:rsidR="005D24EF">
              <w:t xml:space="preserve">to </w:t>
            </w:r>
            <w:r w:rsidR="00A54CEC">
              <w:t xml:space="preserve">the </w:t>
            </w:r>
            <w:r w:rsidR="005D24EF">
              <w:t xml:space="preserve">Council </w:t>
            </w:r>
            <w:r w:rsidRPr="0043323F">
              <w:t>on an ongoing basis on sales and free downloads of ITU publications, software, and databases</w:t>
            </w:r>
            <w:r w:rsidR="00866A5D">
              <w:t>.</w:t>
            </w:r>
          </w:p>
          <w:p w14:paraId="7D7EF829" w14:textId="77777777" w:rsidR="0043323F" w:rsidRPr="00813E5E" w:rsidRDefault="0043323F" w:rsidP="003733E8">
            <w:pPr>
              <w:pStyle w:val="Headingb"/>
              <w:jc w:val="both"/>
            </w:pPr>
            <w:r w:rsidRPr="00813E5E">
              <w:t>Action required</w:t>
            </w:r>
          </w:p>
          <w:p w14:paraId="0B034019" w14:textId="07506997" w:rsidR="0043323F" w:rsidRPr="00813E5E" w:rsidRDefault="0043323F" w:rsidP="00D7078B">
            <w:pPr>
              <w:jc w:val="both"/>
            </w:pPr>
            <w:r w:rsidRPr="0043323F">
              <w:t xml:space="preserve">The Council is invited </w:t>
            </w:r>
            <w:r w:rsidRPr="0043323F">
              <w:rPr>
                <w:b/>
                <w:bCs/>
              </w:rPr>
              <w:t xml:space="preserve">to </w:t>
            </w:r>
            <w:r w:rsidR="00102AF4">
              <w:rPr>
                <w:b/>
                <w:bCs/>
              </w:rPr>
              <w:t xml:space="preserve">take </w:t>
            </w:r>
            <w:r w:rsidRPr="0043323F">
              <w:rPr>
                <w:b/>
                <w:bCs/>
              </w:rPr>
              <w:t>note</w:t>
            </w:r>
            <w:r w:rsidRPr="0043323F">
              <w:t xml:space="preserve"> </w:t>
            </w:r>
            <w:r w:rsidR="00102AF4">
              <w:t xml:space="preserve">of </w:t>
            </w:r>
            <w:r w:rsidR="00123A22" w:rsidRPr="0043323F">
              <w:t>th</w:t>
            </w:r>
            <w:r w:rsidR="00E07793">
              <w:t>is</w:t>
            </w:r>
            <w:r w:rsidRPr="0043323F">
              <w:t xml:space="preserve"> report</w:t>
            </w:r>
            <w:r w:rsidR="005D24EF">
              <w:t>.</w:t>
            </w:r>
            <w:r w:rsidR="00157B4D">
              <w:t xml:space="preserve"> </w:t>
            </w:r>
          </w:p>
          <w:p w14:paraId="16BEB4A9" w14:textId="77777777" w:rsidR="0043323F" w:rsidRPr="00813E5E" w:rsidRDefault="0043323F">
            <w:pPr>
              <w:pStyle w:val="Table"/>
              <w:keepNext w:val="0"/>
              <w:spacing w:before="0" w:after="0"/>
              <w:rPr>
                <w:rFonts w:ascii="Calibri" w:hAnsi="Calibri"/>
                <w:caps w:val="0"/>
                <w:sz w:val="22"/>
              </w:rPr>
            </w:pPr>
            <w:r w:rsidRPr="00813E5E">
              <w:rPr>
                <w:rFonts w:ascii="Calibri" w:hAnsi="Calibri"/>
                <w:caps w:val="0"/>
                <w:sz w:val="22"/>
              </w:rPr>
              <w:t>____________</w:t>
            </w:r>
          </w:p>
          <w:p w14:paraId="2D256600" w14:textId="77777777" w:rsidR="0043323F" w:rsidRPr="00813E5E" w:rsidRDefault="0043323F">
            <w:pPr>
              <w:pStyle w:val="Headingb"/>
            </w:pPr>
            <w:r w:rsidRPr="00813E5E">
              <w:t>References</w:t>
            </w:r>
          </w:p>
          <w:p w14:paraId="0EC6E718" w14:textId="0541EB23" w:rsidR="0043323F" w:rsidRPr="00813E5E" w:rsidRDefault="0043323F" w:rsidP="005D24EF">
            <w:pPr>
              <w:spacing w:after="120"/>
              <w:rPr>
                <w:i/>
                <w:iCs/>
              </w:rPr>
            </w:pPr>
            <w:r w:rsidRPr="0043323F">
              <w:rPr>
                <w:lang w:val="en-US"/>
              </w:rPr>
              <w:t>Document</w:t>
            </w:r>
            <w:r w:rsidR="00D6687D">
              <w:rPr>
                <w:lang w:val="en-US"/>
              </w:rPr>
              <w:t xml:space="preserve"> </w:t>
            </w:r>
            <w:r w:rsidR="00D6687D" w:rsidRPr="00F50680">
              <w:rPr>
                <w:color w:val="0070C0"/>
                <w:u w:val="single"/>
                <w:lang w:val="en-US"/>
              </w:rPr>
              <w:t>C1</w:t>
            </w:r>
            <w:r w:rsidR="00157B4D" w:rsidRPr="00F50680">
              <w:rPr>
                <w:color w:val="0070C0"/>
                <w:u w:val="single"/>
                <w:lang w:val="en-US"/>
              </w:rPr>
              <w:t>8</w:t>
            </w:r>
            <w:r w:rsidR="00D6687D" w:rsidRPr="00F50680">
              <w:rPr>
                <w:color w:val="0070C0"/>
                <w:u w:val="single"/>
                <w:lang w:val="en-US"/>
              </w:rPr>
              <w:t>/INF/</w:t>
            </w:r>
            <w:r w:rsidR="00BB212A" w:rsidRPr="00F50680">
              <w:rPr>
                <w:color w:val="0070C0"/>
                <w:u w:val="single"/>
                <w:lang w:val="en-US"/>
              </w:rPr>
              <w:t>2</w:t>
            </w:r>
            <w:r w:rsidRPr="0043323F">
              <w:rPr>
                <w:rStyle w:val="Hyperlink"/>
                <w:color w:val="auto"/>
                <w:u w:val="none"/>
              </w:rPr>
              <w:t xml:space="preserve">; </w:t>
            </w:r>
            <w:hyperlink r:id="rId12" w:anchor="res66" w:history="1">
              <w:r w:rsidRPr="0043323F">
                <w:rPr>
                  <w:rStyle w:val="Hyperlink"/>
                  <w:lang w:val="en-US"/>
                </w:rPr>
                <w:t>Resolution 66</w:t>
              </w:r>
            </w:hyperlink>
            <w:r w:rsidRPr="0043323F">
              <w:rPr>
                <w:lang w:val="en-US"/>
              </w:rPr>
              <w:t xml:space="preserve"> (Rev. Guadalajara, 2010)</w:t>
            </w:r>
            <w:r w:rsidRPr="0043323F">
              <w:rPr>
                <w:rStyle w:val="Hyperlink"/>
                <w:color w:val="auto"/>
                <w:u w:val="none"/>
              </w:rPr>
              <w:t xml:space="preserve">, </w:t>
            </w:r>
            <w:hyperlink r:id="rId13" w:history="1">
              <w:r w:rsidRPr="0043323F">
                <w:rPr>
                  <w:rStyle w:val="Hyperlink"/>
                  <w:lang w:val="en-US"/>
                </w:rPr>
                <w:t>Decision 12</w:t>
              </w:r>
            </w:hyperlink>
            <w:r w:rsidRPr="0043323F">
              <w:rPr>
                <w:lang w:val="en-US"/>
              </w:rPr>
              <w:t xml:space="preserve"> (Rev.</w:t>
            </w:r>
            <w:r>
              <w:rPr>
                <w:lang w:val="en-US"/>
              </w:rPr>
              <w:t> </w:t>
            </w:r>
            <w:r w:rsidRPr="0043323F">
              <w:rPr>
                <w:lang w:val="en-US"/>
              </w:rPr>
              <w:t>Busan, 2014)</w:t>
            </w:r>
            <w:r>
              <w:rPr>
                <w:lang w:val="en-US"/>
              </w:rPr>
              <w:t>;</w:t>
            </w:r>
            <w:r w:rsidR="005D24EF" w:rsidRPr="00813E5E">
              <w:rPr>
                <w:i/>
                <w:iCs/>
              </w:rPr>
              <w:t xml:space="preserve"> </w:t>
            </w:r>
          </w:p>
        </w:tc>
      </w:tr>
    </w:tbl>
    <w:p w14:paraId="26D32CC7" w14:textId="50F8A4B3" w:rsidR="0043323F" w:rsidRPr="0043323F" w:rsidRDefault="0043323F" w:rsidP="005D24EF">
      <w:pPr>
        <w:tabs>
          <w:tab w:val="clear" w:pos="567"/>
          <w:tab w:val="clear" w:pos="1134"/>
          <w:tab w:val="clear" w:pos="1701"/>
          <w:tab w:val="clear" w:pos="2268"/>
          <w:tab w:val="clear" w:pos="2835"/>
        </w:tabs>
        <w:snapToGrid w:val="0"/>
        <w:spacing w:before="480" w:after="120"/>
        <w:rPr>
          <w:b/>
          <w:bCs/>
          <w:sz w:val="26"/>
          <w:szCs w:val="26"/>
          <w:lang w:val="en-US"/>
        </w:rPr>
      </w:pPr>
      <w:bookmarkStart w:id="9" w:name="dstart"/>
      <w:bookmarkStart w:id="10" w:name="dbreak"/>
      <w:bookmarkEnd w:id="9"/>
      <w:bookmarkEnd w:id="10"/>
      <w:r w:rsidRPr="0043323F">
        <w:rPr>
          <w:b/>
          <w:bCs/>
          <w:sz w:val="26"/>
          <w:szCs w:val="26"/>
          <w:lang w:val="en-US"/>
        </w:rPr>
        <w:t>1.</w:t>
      </w:r>
      <w:r w:rsidRPr="0043323F">
        <w:rPr>
          <w:b/>
          <w:bCs/>
          <w:sz w:val="26"/>
          <w:szCs w:val="26"/>
          <w:lang w:val="en-US"/>
        </w:rPr>
        <w:tab/>
      </w:r>
      <w:r w:rsidR="005D24EF">
        <w:rPr>
          <w:b/>
          <w:bCs/>
          <w:sz w:val="26"/>
          <w:szCs w:val="26"/>
          <w:lang w:val="en-US"/>
        </w:rPr>
        <w:t>Introduction</w:t>
      </w:r>
    </w:p>
    <w:p w14:paraId="32369000" w14:textId="32EF7BBB" w:rsidR="005D24EF" w:rsidRDefault="005D24EF" w:rsidP="0062605C">
      <w:pPr>
        <w:jc w:val="both"/>
        <w:rPr>
          <w:rFonts w:asciiTheme="minorHAnsi" w:eastAsiaTheme="minorEastAsia" w:hAnsiTheme="minorHAnsi" w:cstheme="minorBidi"/>
          <w:szCs w:val="24"/>
          <w:lang w:val="en-US" w:eastAsia="zh-CN"/>
        </w:rPr>
      </w:pPr>
      <w:r w:rsidRPr="0043323F">
        <w:t>By Decision 12 (Rev. Busan, 2014), the Plenipotentiary Conference instructed the</w:t>
      </w:r>
      <w:r>
        <w:t xml:space="preserve"> Secretary-General to prepare an annual </w:t>
      </w:r>
      <w:r w:rsidRPr="0043323F">
        <w:t xml:space="preserve">report </w:t>
      </w:r>
      <w:r>
        <w:t>to</w:t>
      </w:r>
      <w:r w:rsidR="00A54CEC">
        <w:t xml:space="preserve"> the</w:t>
      </w:r>
      <w:r>
        <w:t xml:space="preserve"> Council </w:t>
      </w:r>
      <w:r w:rsidRPr="0043323F">
        <w:t>on an ongoing basis on sales and free downloads of ITU publications, software, and databases</w:t>
      </w:r>
      <w:r>
        <w:t xml:space="preserve"> detailing the following aspects:  T</w:t>
      </w:r>
      <w:r w:rsidRPr="0043323F">
        <w:t>otal sales and free downloads per year, a comparison between sales of paper copies and free downloads of electronic copies, as well as sales and free downloads by country and member category</w:t>
      </w:r>
      <w:r>
        <w:t>.  This document provides a report since Council 2017.</w:t>
      </w:r>
    </w:p>
    <w:p w14:paraId="632C47DF" w14:textId="0436A324" w:rsidR="00F8784B" w:rsidRPr="005D24EF" w:rsidRDefault="004747C4" w:rsidP="0062605C">
      <w:pPr>
        <w:tabs>
          <w:tab w:val="clear" w:pos="567"/>
          <w:tab w:val="clear" w:pos="1134"/>
          <w:tab w:val="clear" w:pos="1701"/>
          <w:tab w:val="clear" w:pos="2268"/>
          <w:tab w:val="clear" w:pos="2835"/>
        </w:tabs>
        <w:snapToGrid w:val="0"/>
        <w:spacing w:before="480" w:after="120"/>
        <w:jc w:val="both"/>
        <w:rPr>
          <w:b/>
          <w:bCs/>
          <w:sz w:val="26"/>
          <w:szCs w:val="26"/>
        </w:rPr>
      </w:pPr>
      <w:r>
        <w:rPr>
          <w:b/>
          <w:bCs/>
          <w:szCs w:val="24"/>
        </w:rPr>
        <w:t>2</w:t>
      </w:r>
      <w:r w:rsidR="00A54CEC">
        <w:rPr>
          <w:b/>
          <w:bCs/>
          <w:szCs w:val="24"/>
        </w:rPr>
        <w:t>.</w:t>
      </w:r>
      <w:r w:rsidR="0043323F" w:rsidRPr="008B720D">
        <w:rPr>
          <w:b/>
          <w:bCs/>
          <w:szCs w:val="24"/>
        </w:rPr>
        <w:tab/>
      </w:r>
      <w:r w:rsidR="0043323F" w:rsidRPr="005D24EF">
        <w:rPr>
          <w:b/>
          <w:bCs/>
          <w:sz w:val="26"/>
          <w:szCs w:val="26"/>
        </w:rPr>
        <w:t xml:space="preserve">Free </w:t>
      </w:r>
      <w:r w:rsidR="005D24EF" w:rsidRPr="005D24EF">
        <w:rPr>
          <w:b/>
          <w:bCs/>
          <w:sz w:val="26"/>
          <w:szCs w:val="26"/>
        </w:rPr>
        <w:t>downloads of ITU publications implemented</w:t>
      </w:r>
    </w:p>
    <w:p w14:paraId="34CE2AE7" w14:textId="18A6CE1E" w:rsidR="0043323F" w:rsidRDefault="005D24EF" w:rsidP="00152223">
      <w:pPr>
        <w:tabs>
          <w:tab w:val="clear" w:pos="567"/>
          <w:tab w:val="clear" w:pos="1134"/>
          <w:tab w:val="clear" w:pos="1701"/>
          <w:tab w:val="clear" w:pos="2268"/>
          <w:tab w:val="clear" w:pos="2835"/>
        </w:tabs>
        <w:snapToGrid w:val="0"/>
        <w:spacing w:after="120"/>
        <w:jc w:val="both"/>
        <w:rPr>
          <w:lang w:val="en-US"/>
        </w:rPr>
      </w:pPr>
      <w:r>
        <w:rPr>
          <w:lang w:val="en-US"/>
        </w:rPr>
        <w:t>In line with Decision 12 (Rev. Busan</w:t>
      </w:r>
      <w:r w:rsidR="00A54CEC">
        <w:rPr>
          <w:lang w:val="en-US"/>
        </w:rPr>
        <w:t>,</w:t>
      </w:r>
      <w:r>
        <w:rPr>
          <w:lang w:val="en-US"/>
        </w:rPr>
        <w:t xml:space="preserve"> 2014) most ITU publications are now provided free of charge online to the general public, including the download of Radio Regulations and ITU Recommendations, Questions, Reports and Handbooks, with selected titles accessible from a Sector’s website or the ITU History Portal and no</w:t>
      </w:r>
      <w:r w:rsidR="00152223">
        <w:rPr>
          <w:lang w:val="en-US"/>
        </w:rPr>
        <w:t xml:space="preserve"> longer limited</w:t>
      </w:r>
      <w:r>
        <w:rPr>
          <w:lang w:val="en-US"/>
        </w:rPr>
        <w:t xml:space="preserve"> to webpages of ITU publications.  </w:t>
      </w:r>
    </w:p>
    <w:p w14:paraId="499BFBE6" w14:textId="140B9687" w:rsidR="00866A5D" w:rsidRDefault="00866A5D">
      <w:pPr>
        <w:tabs>
          <w:tab w:val="clear" w:pos="567"/>
          <w:tab w:val="clear" w:pos="1134"/>
          <w:tab w:val="clear" w:pos="1701"/>
          <w:tab w:val="clear" w:pos="2268"/>
          <w:tab w:val="clear" w:pos="2835"/>
        </w:tabs>
        <w:overflowPunct/>
        <w:autoSpaceDE/>
        <w:autoSpaceDN/>
        <w:adjustRightInd/>
        <w:spacing w:before="0"/>
        <w:textAlignment w:val="auto"/>
        <w:rPr>
          <w:lang w:val="en-US"/>
        </w:rPr>
      </w:pPr>
      <w:r>
        <w:rPr>
          <w:lang w:val="en-US"/>
        </w:rPr>
        <w:br w:type="page"/>
      </w:r>
    </w:p>
    <w:p w14:paraId="1B9A87DF" w14:textId="41C276AF" w:rsidR="00AF14AC" w:rsidRDefault="00866A5D" w:rsidP="008F4E16">
      <w:pPr>
        <w:tabs>
          <w:tab w:val="clear" w:pos="567"/>
          <w:tab w:val="clear" w:pos="1134"/>
          <w:tab w:val="clear" w:pos="1701"/>
          <w:tab w:val="clear" w:pos="2268"/>
          <w:tab w:val="clear" w:pos="2835"/>
        </w:tabs>
        <w:snapToGrid w:val="0"/>
        <w:spacing w:after="120"/>
        <w:jc w:val="both"/>
        <w:rPr>
          <w:lang w:val="en-US"/>
        </w:rPr>
      </w:pPr>
      <w:r>
        <w:rPr>
          <w:lang w:val="en-US"/>
        </w:rPr>
        <w:lastRenderedPageBreak/>
        <w:t>A non-exhaustive summar</w:t>
      </w:r>
      <w:r w:rsidR="008F4E16">
        <w:rPr>
          <w:lang w:val="en-US"/>
        </w:rPr>
        <w:t xml:space="preserve">ized list of </w:t>
      </w:r>
      <w:r>
        <w:rPr>
          <w:lang w:val="en-US"/>
        </w:rPr>
        <w:t xml:space="preserve">decisions and </w:t>
      </w:r>
      <w:r w:rsidR="008F4E16">
        <w:rPr>
          <w:lang w:val="en-US"/>
        </w:rPr>
        <w:t xml:space="preserve">affected titles currently available freely online </w:t>
      </w:r>
      <w:r>
        <w:rPr>
          <w:lang w:val="en-US"/>
        </w:rPr>
        <w:t>are included below</w:t>
      </w:r>
      <w:r w:rsidR="008F4E16">
        <w:rPr>
          <w:lang w:val="en-US"/>
        </w:rPr>
        <w:t>, for reference</w:t>
      </w:r>
      <w:r>
        <w:rPr>
          <w:lang w:val="en-US"/>
        </w:rPr>
        <w:t xml:space="preserve">: </w:t>
      </w:r>
    </w:p>
    <w:p w14:paraId="66669C35" w14:textId="77777777" w:rsidR="00866A5D" w:rsidRPr="00763E00" w:rsidRDefault="00866A5D" w:rsidP="00AF14AC">
      <w:pPr>
        <w:tabs>
          <w:tab w:val="clear" w:pos="567"/>
          <w:tab w:val="clear" w:pos="1134"/>
          <w:tab w:val="clear" w:pos="1701"/>
          <w:tab w:val="clear" w:pos="2268"/>
          <w:tab w:val="clear" w:pos="2835"/>
        </w:tabs>
        <w:snapToGrid w:val="0"/>
        <w:spacing w:after="120"/>
        <w:jc w:val="both"/>
        <w:rPr>
          <w:lang w:val="en-US"/>
        </w:rPr>
      </w:pPr>
    </w:p>
    <w:tbl>
      <w:tblPr>
        <w:tblW w:w="9030" w:type="dxa"/>
        <w:tblInd w:w="137" w:type="dxa"/>
        <w:tblCellMar>
          <w:left w:w="0" w:type="dxa"/>
          <w:right w:w="0" w:type="dxa"/>
        </w:tblCellMar>
        <w:tblLook w:val="04A0" w:firstRow="1" w:lastRow="0" w:firstColumn="1" w:lastColumn="0" w:noHBand="0" w:noVBand="1"/>
      </w:tblPr>
      <w:tblGrid>
        <w:gridCol w:w="531"/>
        <w:gridCol w:w="2125"/>
        <w:gridCol w:w="4957"/>
        <w:gridCol w:w="1417"/>
      </w:tblGrid>
      <w:tr w:rsidR="0043323F" w14:paraId="4C25130D" w14:textId="77777777" w:rsidTr="004E3371">
        <w:trPr>
          <w:trHeight w:val="115"/>
        </w:trPr>
        <w:tc>
          <w:tcPr>
            <w:tcW w:w="53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450A12E" w14:textId="77777777" w:rsidR="0043323F" w:rsidRPr="00B44823" w:rsidRDefault="0043323F" w:rsidP="00B44823">
            <w:pPr>
              <w:keepNext/>
              <w:spacing w:after="120" w:line="276" w:lineRule="auto"/>
              <w:jc w:val="center"/>
              <w:rPr>
                <w:b/>
                <w:bCs/>
                <w:color w:val="000000"/>
                <w:sz w:val="18"/>
                <w:szCs w:val="18"/>
              </w:rPr>
            </w:pPr>
            <w:r w:rsidRPr="00B44823">
              <w:rPr>
                <w:b/>
                <w:bCs/>
                <w:color w:val="000000"/>
                <w:sz w:val="18"/>
                <w:szCs w:val="18"/>
              </w:rPr>
              <w:t>No</w:t>
            </w:r>
          </w:p>
        </w:tc>
        <w:tc>
          <w:tcPr>
            <w:tcW w:w="21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4444392" w14:textId="77777777" w:rsidR="0043323F" w:rsidRPr="00B44823" w:rsidRDefault="0043323F" w:rsidP="00B44823">
            <w:pPr>
              <w:keepNext/>
              <w:spacing w:after="120" w:line="276" w:lineRule="auto"/>
              <w:jc w:val="center"/>
              <w:rPr>
                <w:b/>
                <w:bCs/>
                <w:color w:val="000000"/>
                <w:sz w:val="18"/>
                <w:szCs w:val="18"/>
              </w:rPr>
            </w:pPr>
            <w:r w:rsidRPr="00B44823">
              <w:rPr>
                <w:b/>
                <w:bCs/>
                <w:color w:val="000000"/>
                <w:sz w:val="18"/>
                <w:szCs w:val="18"/>
              </w:rPr>
              <w:t>Decision</w:t>
            </w:r>
          </w:p>
        </w:tc>
        <w:tc>
          <w:tcPr>
            <w:tcW w:w="495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9E0F40E" w14:textId="77777777" w:rsidR="0043323F" w:rsidRPr="00B44823" w:rsidRDefault="0043323F" w:rsidP="00B44823">
            <w:pPr>
              <w:keepNext/>
              <w:spacing w:after="120" w:line="276" w:lineRule="auto"/>
              <w:jc w:val="center"/>
              <w:rPr>
                <w:b/>
                <w:bCs/>
                <w:color w:val="000000"/>
                <w:sz w:val="18"/>
                <w:szCs w:val="18"/>
              </w:rPr>
            </w:pPr>
            <w:r w:rsidRPr="00B44823">
              <w:rPr>
                <w:b/>
                <w:bCs/>
                <w:color w:val="000000"/>
                <w:sz w:val="18"/>
                <w:szCs w:val="18"/>
              </w:rPr>
              <w:t>Publications free online</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5FFA9E1" w14:textId="77777777" w:rsidR="0043323F" w:rsidRPr="00B44823" w:rsidRDefault="0043323F" w:rsidP="00B44823">
            <w:pPr>
              <w:keepNext/>
              <w:spacing w:after="120" w:line="276" w:lineRule="auto"/>
              <w:jc w:val="center"/>
              <w:rPr>
                <w:b/>
                <w:bCs/>
                <w:color w:val="000000"/>
                <w:sz w:val="18"/>
                <w:szCs w:val="18"/>
              </w:rPr>
            </w:pPr>
            <w:r w:rsidRPr="00B44823">
              <w:rPr>
                <w:b/>
                <w:bCs/>
                <w:color w:val="000000"/>
                <w:sz w:val="18"/>
                <w:szCs w:val="18"/>
              </w:rPr>
              <w:t>Since</w:t>
            </w:r>
          </w:p>
        </w:tc>
      </w:tr>
      <w:tr w:rsidR="0043323F" w14:paraId="250C3C78" w14:textId="77777777" w:rsidTr="004E3371">
        <w:trPr>
          <w:trHeight w:val="220"/>
        </w:trPr>
        <w:tc>
          <w:tcPr>
            <w:tcW w:w="53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558AC4B" w14:textId="77777777" w:rsidR="0043323F" w:rsidRPr="00B44823" w:rsidRDefault="0043323F" w:rsidP="00B44823">
            <w:pPr>
              <w:keepNext/>
              <w:spacing w:after="120" w:line="276" w:lineRule="auto"/>
              <w:jc w:val="center"/>
              <w:rPr>
                <w:color w:val="000000"/>
                <w:sz w:val="18"/>
                <w:szCs w:val="18"/>
              </w:rPr>
            </w:pPr>
            <w:r w:rsidRPr="00B44823">
              <w:rPr>
                <w:color w:val="000000"/>
                <w:sz w:val="18"/>
                <w:szCs w:val="18"/>
              </w:rPr>
              <w:t>1</w:t>
            </w:r>
          </w:p>
        </w:tc>
        <w:tc>
          <w:tcPr>
            <w:tcW w:w="2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D69987" w14:textId="77777777" w:rsidR="0043323F" w:rsidRPr="00B44823" w:rsidRDefault="0043323F" w:rsidP="00B44823">
            <w:pPr>
              <w:keepNext/>
              <w:spacing w:after="120" w:line="276" w:lineRule="auto"/>
              <w:jc w:val="center"/>
              <w:rPr>
                <w:color w:val="000000"/>
                <w:sz w:val="18"/>
                <w:szCs w:val="18"/>
              </w:rPr>
            </w:pPr>
            <w:r w:rsidRPr="00B44823">
              <w:rPr>
                <w:color w:val="000000"/>
                <w:sz w:val="18"/>
                <w:szCs w:val="18"/>
              </w:rPr>
              <w:t>574</w:t>
            </w:r>
          </w:p>
        </w:tc>
        <w:tc>
          <w:tcPr>
            <w:tcW w:w="49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CCB98B" w14:textId="77777777" w:rsidR="0043323F" w:rsidRPr="00B44823" w:rsidRDefault="0043323F" w:rsidP="00B44823">
            <w:pPr>
              <w:keepNext/>
              <w:spacing w:after="120" w:line="276" w:lineRule="auto"/>
              <w:jc w:val="center"/>
              <w:rPr>
                <w:color w:val="000000"/>
                <w:sz w:val="18"/>
                <w:szCs w:val="18"/>
              </w:rPr>
            </w:pPr>
            <w:r w:rsidRPr="00B44823">
              <w:rPr>
                <w:color w:val="000000"/>
                <w:sz w:val="18"/>
                <w:szCs w:val="18"/>
              </w:rPr>
              <w:t>WTDC Final Reports</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F6D9BE" w14:textId="77777777" w:rsidR="0043323F" w:rsidRPr="00B44823" w:rsidRDefault="0043323F" w:rsidP="00B44823">
            <w:pPr>
              <w:keepNext/>
              <w:spacing w:after="120" w:line="276" w:lineRule="auto"/>
              <w:jc w:val="center"/>
              <w:rPr>
                <w:color w:val="000000"/>
                <w:sz w:val="18"/>
                <w:szCs w:val="18"/>
              </w:rPr>
            </w:pPr>
            <w:r w:rsidRPr="00B44823">
              <w:rPr>
                <w:color w:val="000000"/>
                <w:sz w:val="18"/>
                <w:szCs w:val="18"/>
              </w:rPr>
              <w:t>13/03/2014</w:t>
            </w:r>
          </w:p>
        </w:tc>
      </w:tr>
      <w:tr w:rsidR="0043323F" w14:paraId="1F34B69D" w14:textId="77777777" w:rsidTr="004E3371">
        <w:trPr>
          <w:trHeight w:val="249"/>
        </w:trPr>
        <w:tc>
          <w:tcPr>
            <w:tcW w:w="53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178978A" w14:textId="77777777" w:rsidR="0043323F" w:rsidRPr="00B44823" w:rsidRDefault="0043323F" w:rsidP="00B44823">
            <w:pPr>
              <w:spacing w:after="120" w:line="276" w:lineRule="auto"/>
              <w:jc w:val="center"/>
              <w:rPr>
                <w:color w:val="000000"/>
                <w:sz w:val="18"/>
                <w:szCs w:val="18"/>
              </w:rPr>
            </w:pPr>
            <w:r w:rsidRPr="00B44823">
              <w:rPr>
                <w:color w:val="000000"/>
                <w:sz w:val="18"/>
                <w:szCs w:val="18"/>
              </w:rPr>
              <w:t>2</w:t>
            </w:r>
          </w:p>
        </w:tc>
        <w:tc>
          <w:tcPr>
            <w:tcW w:w="2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5A8211" w14:textId="77777777" w:rsidR="0043323F" w:rsidRPr="00B44823" w:rsidRDefault="0043323F" w:rsidP="00B44823">
            <w:pPr>
              <w:spacing w:after="120" w:line="276" w:lineRule="auto"/>
              <w:jc w:val="center"/>
              <w:rPr>
                <w:color w:val="000000"/>
                <w:sz w:val="18"/>
                <w:szCs w:val="18"/>
              </w:rPr>
            </w:pPr>
            <w:r w:rsidRPr="00B44823">
              <w:rPr>
                <w:color w:val="000000"/>
                <w:sz w:val="18"/>
                <w:szCs w:val="18"/>
              </w:rPr>
              <w:t>571 (Modified 2013)</w:t>
            </w:r>
          </w:p>
        </w:tc>
        <w:tc>
          <w:tcPr>
            <w:tcW w:w="49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3CA676" w14:textId="77777777" w:rsidR="0043323F" w:rsidRPr="00B44823" w:rsidRDefault="0043323F" w:rsidP="00B44823">
            <w:pPr>
              <w:spacing w:after="120" w:line="276" w:lineRule="auto"/>
              <w:jc w:val="center"/>
              <w:rPr>
                <w:color w:val="000000"/>
                <w:sz w:val="18"/>
                <w:szCs w:val="18"/>
                <w:lang w:val="en-US"/>
              </w:rPr>
            </w:pPr>
            <w:r w:rsidRPr="00B44823">
              <w:rPr>
                <w:color w:val="000000"/>
                <w:sz w:val="18"/>
                <w:szCs w:val="18"/>
                <w:lang w:val="en-US"/>
              </w:rPr>
              <w:t>I.T. Regulations (Melbourne) WATT-88</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CAC002" w14:textId="77777777" w:rsidR="0043323F" w:rsidRPr="00B44823" w:rsidRDefault="0043323F" w:rsidP="00B44823">
            <w:pPr>
              <w:spacing w:after="120" w:line="276" w:lineRule="auto"/>
              <w:jc w:val="center"/>
              <w:rPr>
                <w:color w:val="000000"/>
                <w:sz w:val="18"/>
                <w:szCs w:val="18"/>
              </w:rPr>
            </w:pPr>
            <w:r w:rsidRPr="00B44823">
              <w:rPr>
                <w:color w:val="000000"/>
                <w:sz w:val="18"/>
                <w:szCs w:val="18"/>
              </w:rPr>
              <w:t>23/04/2013</w:t>
            </w:r>
          </w:p>
        </w:tc>
      </w:tr>
      <w:tr w:rsidR="0043323F" w14:paraId="228EA11F" w14:textId="77777777" w:rsidTr="004E3371">
        <w:trPr>
          <w:trHeight w:val="171"/>
        </w:trPr>
        <w:tc>
          <w:tcPr>
            <w:tcW w:w="53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44E6D1E" w14:textId="77777777" w:rsidR="0043323F" w:rsidRPr="00B44823" w:rsidRDefault="0043323F" w:rsidP="00B44823">
            <w:pPr>
              <w:spacing w:after="120" w:line="276" w:lineRule="auto"/>
              <w:jc w:val="center"/>
              <w:rPr>
                <w:color w:val="000000"/>
                <w:sz w:val="18"/>
                <w:szCs w:val="18"/>
              </w:rPr>
            </w:pPr>
            <w:r w:rsidRPr="00B44823">
              <w:rPr>
                <w:color w:val="000000"/>
                <w:sz w:val="18"/>
                <w:szCs w:val="18"/>
              </w:rPr>
              <w:t>3</w:t>
            </w:r>
          </w:p>
        </w:tc>
        <w:tc>
          <w:tcPr>
            <w:tcW w:w="2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BCE7B3" w14:textId="77777777" w:rsidR="0043323F" w:rsidRPr="00B44823" w:rsidRDefault="0043323F" w:rsidP="00B44823">
            <w:pPr>
              <w:spacing w:after="120" w:line="276" w:lineRule="auto"/>
              <w:jc w:val="center"/>
              <w:rPr>
                <w:color w:val="000000"/>
                <w:sz w:val="18"/>
                <w:szCs w:val="18"/>
              </w:rPr>
            </w:pPr>
            <w:r w:rsidRPr="00B44823">
              <w:rPr>
                <w:color w:val="000000"/>
                <w:sz w:val="18"/>
                <w:szCs w:val="18"/>
              </w:rPr>
              <w:t>571 (Modified 2013)</w:t>
            </w:r>
          </w:p>
        </w:tc>
        <w:tc>
          <w:tcPr>
            <w:tcW w:w="49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1182A9" w14:textId="77777777" w:rsidR="0043323F" w:rsidRPr="00B44823" w:rsidRDefault="0043323F" w:rsidP="00B44823">
            <w:pPr>
              <w:spacing w:after="120" w:line="276" w:lineRule="auto"/>
              <w:jc w:val="center"/>
              <w:rPr>
                <w:color w:val="000000"/>
                <w:sz w:val="18"/>
                <w:szCs w:val="18"/>
              </w:rPr>
            </w:pPr>
            <w:r w:rsidRPr="00B44823">
              <w:rPr>
                <w:color w:val="000000"/>
                <w:sz w:val="18"/>
                <w:szCs w:val="18"/>
              </w:rPr>
              <w:t>Radio Regulations</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CE75EC" w14:textId="77777777" w:rsidR="0043323F" w:rsidRPr="00B44823" w:rsidRDefault="0043323F" w:rsidP="00B44823">
            <w:pPr>
              <w:spacing w:after="120" w:line="276" w:lineRule="auto"/>
              <w:jc w:val="center"/>
              <w:rPr>
                <w:color w:val="000000"/>
                <w:sz w:val="18"/>
                <w:szCs w:val="18"/>
              </w:rPr>
            </w:pPr>
            <w:r w:rsidRPr="00B44823">
              <w:rPr>
                <w:color w:val="000000"/>
                <w:sz w:val="18"/>
                <w:szCs w:val="18"/>
              </w:rPr>
              <w:t>23/11/2012</w:t>
            </w:r>
          </w:p>
        </w:tc>
      </w:tr>
      <w:tr w:rsidR="0043323F" w14:paraId="6CEAFB61" w14:textId="77777777" w:rsidTr="004E3371">
        <w:trPr>
          <w:trHeight w:val="245"/>
        </w:trPr>
        <w:tc>
          <w:tcPr>
            <w:tcW w:w="53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4C7F98D" w14:textId="77777777" w:rsidR="0043323F" w:rsidRPr="00B44823" w:rsidRDefault="0043323F" w:rsidP="00B44823">
            <w:pPr>
              <w:spacing w:after="120" w:line="276" w:lineRule="auto"/>
              <w:jc w:val="center"/>
              <w:rPr>
                <w:color w:val="000000"/>
                <w:sz w:val="18"/>
                <w:szCs w:val="18"/>
              </w:rPr>
            </w:pPr>
            <w:r w:rsidRPr="00B44823">
              <w:rPr>
                <w:color w:val="000000"/>
                <w:sz w:val="18"/>
                <w:szCs w:val="18"/>
              </w:rPr>
              <w:t>4</w:t>
            </w:r>
          </w:p>
        </w:tc>
        <w:tc>
          <w:tcPr>
            <w:tcW w:w="2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BD8784" w14:textId="77777777" w:rsidR="0043323F" w:rsidRPr="00B44823" w:rsidRDefault="0043323F" w:rsidP="00B44823">
            <w:pPr>
              <w:spacing w:after="120" w:line="276" w:lineRule="auto"/>
              <w:jc w:val="center"/>
              <w:rPr>
                <w:color w:val="000000"/>
                <w:sz w:val="18"/>
                <w:szCs w:val="18"/>
              </w:rPr>
            </w:pPr>
            <w:r w:rsidRPr="00B44823">
              <w:rPr>
                <w:color w:val="000000"/>
                <w:sz w:val="18"/>
                <w:szCs w:val="18"/>
              </w:rPr>
              <w:t>571 (Modified 2013)</w:t>
            </w:r>
          </w:p>
        </w:tc>
        <w:tc>
          <w:tcPr>
            <w:tcW w:w="49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049F02" w14:textId="77777777" w:rsidR="0043323F" w:rsidRPr="00B44823" w:rsidRDefault="0043323F" w:rsidP="00B44823">
            <w:pPr>
              <w:spacing w:after="120" w:line="276" w:lineRule="auto"/>
              <w:jc w:val="center"/>
              <w:rPr>
                <w:color w:val="000000"/>
                <w:sz w:val="18"/>
                <w:szCs w:val="18"/>
                <w:lang w:val="en-US"/>
              </w:rPr>
            </w:pPr>
            <w:r w:rsidRPr="00B44823">
              <w:rPr>
                <w:color w:val="000000"/>
                <w:sz w:val="18"/>
                <w:szCs w:val="18"/>
                <w:lang w:val="en-US"/>
              </w:rPr>
              <w:t>Resolutions &amp; Decisions of the Council of the ITU</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C54D137" w14:textId="77777777" w:rsidR="0043323F" w:rsidRPr="00B44823" w:rsidRDefault="0043323F" w:rsidP="00B44823">
            <w:pPr>
              <w:spacing w:after="120" w:line="276" w:lineRule="auto"/>
              <w:jc w:val="center"/>
              <w:rPr>
                <w:color w:val="000000"/>
                <w:sz w:val="18"/>
                <w:szCs w:val="18"/>
              </w:rPr>
            </w:pPr>
            <w:r w:rsidRPr="00B44823">
              <w:rPr>
                <w:color w:val="000000"/>
                <w:sz w:val="18"/>
                <w:szCs w:val="18"/>
              </w:rPr>
              <w:t>17/02/2015</w:t>
            </w:r>
          </w:p>
        </w:tc>
      </w:tr>
      <w:tr w:rsidR="0043323F" w14:paraId="0E68A8C1" w14:textId="77777777" w:rsidTr="004E3371">
        <w:trPr>
          <w:trHeight w:val="133"/>
        </w:trPr>
        <w:tc>
          <w:tcPr>
            <w:tcW w:w="53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DBA9C1F" w14:textId="77777777" w:rsidR="0043323F" w:rsidRPr="00B44823" w:rsidRDefault="0043323F" w:rsidP="00B44823">
            <w:pPr>
              <w:spacing w:after="120" w:line="276" w:lineRule="auto"/>
              <w:jc w:val="center"/>
              <w:rPr>
                <w:color w:val="000000"/>
                <w:sz w:val="18"/>
                <w:szCs w:val="18"/>
              </w:rPr>
            </w:pPr>
            <w:r w:rsidRPr="00B44823">
              <w:rPr>
                <w:color w:val="000000"/>
                <w:sz w:val="18"/>
                <w:szCs w:val="18"/>
              </w:rPr>
              <w:t>5</w:t>
            </w:r>
          </w:p>
        </w:tc>
        <w:tc>
          <w:tcPr>
            <w:tcW w:w="2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0409AF" w14:textId="77777777" w:rsidR="0043323F" w:rsidRPr="00B44823" w:rsidRDefault="0043323F" w:rsidP="00B44823">
            <w:pPr>
              <w:spacing w:after="120" w:line="276" w:lineRule="auto"/>
              <w:jc w:val="center"/>
              <w:rPr>
                <w:color w:val="000000"/>
                <w:sz w:val="18"/>
                <w:szCs w:val="18"/>
              </w:rPr>
            </w:pPr>
            <w:r w:rsidRPr="00B44823">
              <w:rPr>
                <w:color w:val="000000"/>
                <w:sz w:val="18"/>
                <w:szCs w:val="18"/>
              </w:rPr>
              <w:t>571 (Modified 2013)</w:t>
            </w:r>
          </w:p>
        </w:tc>
        <w:tc>
          <w:tcPr>
            <w:tcW w:w="49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F44FCB" w14:textId="77777777" w:rsidR="0043323F" w:rsidRPr="00B44823" w:rsidRDefault="0043323F" w:rsidP="00B44823">
            <w:pPr>
              <w:spacing w:after="120" w:line="276" w:lineRule="auto"/>
              <w:jc w:val="center"/>
              <w:rPr>
                <w:color w:val="000000"/>
                <w:sz w:val="18"/>
                <w:szCs w:val="18"/>
                <w:lang w:val="en-US"/>
              </w:rPr>
            </w:pPr>
            <w:r w:rsidRPr="00B44823">
              <w:rPr>
                <w:color w:val="000000"/>
                <w:sz w:val="18"/>
                <w:szCs w:val="18"/>
                <w:lang w:val="en-US"/>
              </w:rPr>
              <w:t xml:space="preserve">Handbooks on Radio-Freq. Spectrum Management* </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A61B0D" w14:textId="77777777" w:rsidR="0043323F" w:rsidRPr="00B44823" w:rsidRDefault="0043323F" w:rsidP="00B44823">
            <w:pPr>
              <w:spacing w:after="120" w:line="276" w:lineRule="auto"/>
              <w:jc w:val="center"/>
              <w:rPr>
                <w:color w:val="000000"/>
                <w:sz w:val="18"/>
                <w:szCs w:val="18"/>
              </w:rPr>
            </w:pPr>
            <w:r w:rsidRPr="00B44823">
              <w:rPr>
                <w:color w:val="000000"/>
                <w:sz w:val="18"/>
                <w:szCs w:val="18"/>
              </w:rPr>
              <w:t>04/07/2013</w:t>
            </w:r>
          </w:p>
        </w:tc>
      </w:tr>
      <w:tr w:rsidR="0043323F" w14:paraId="189FB8DA" w14:textId="77777777" w:rsidTr="004E3371">
        <w:trPr>
          <w:trHeight w:val="169"/>
        </w:trPr>
        <w:tc>
          <w:tcPr>
            <w:tcW w:w="53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01E9E39" w14:textId="77777777" w:rsidR="0043323F" w:rsidRPr="00B44823" w:rsidRDefault="0043323F" w:rsidP="00B44823">
            <w:pPr>
              <w:spacing w:after="120" w:line="276" w:lineRule="auto"/>
              <w:jc w:val="center"/>
              <w:rPr>
                <w:b/>
                <w:bCs/>
                <w:sz w:val="18"/>
                <w:szCs w:val="18"/>
              </w:rPr>
            </w:pPr>
            <w:r w:rsidRPr="00B44823">
              <w:rPr>
                <w:b/>
                <w:bCs/>
                <w:sz w:val="18"/>
                <w:szCs w:val="18"/>
              </w:rPr>
              <w:t>6</w:t>
            </w:r>
          </w:p>
        </w:tc>
        <w:tc>
          <w:tcPr>
            <w:tcW w:w="2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A8CDB2" w14:textId="77777777" w:rsidR="0043323F" w:rsidRPr="00B44823" w:rsidRDefault="0043323F" w:rsidP="00B44823">
            <w:pPr>
              <w:spacing w:after="120" w:line="276" w:lineRule="auto"/>
              <w:jc w:val="center"/>
              <w:rPr>
                <w:color w:val="000000"/>
                <w:sz w:val="18"/>
                <w:szCs w:val="18"/>
              </w:rPr>
            </w:pPr>
            <w:r w:rsidRPr="00B44823">
              <w:rPr>
                <w:color w:val="000000"/>
                <w:sz w:val="18"/>
                <w:szCs w:val="18"/>
              </w:rPr>
              <w:t>12 (Modified 2014)</w:t>
            </w:r>
          </w:p>
        </w:tc>
        <w:tc>
          <w:tcPr>
            <w:tcW w:w="49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E7E91A" w14:textId="77777777" w:rsidR="0043323F" w:rsidRPr="00B44823" w:rsidRDefault="0043323F" w:rsidP="00B44823">
            <w:pPr>
              <w:spacing w:after="120" w:line="276" w:lineRule="auto"/>
              <w:jc w:val="center"/>
              <w:rPr>
                <w:color w:val="000000"/>
                <w:sz w:val="18"/>
                <w:szCs w:val="18"/>
              </w:rPr>
            </w:pPr>
            <w:r w:rsidRPr="00B44823">
              <w:rPr>
                <w:color w:val="000000"/>
                <w:sz w:val="18"/>
                <w:szCs w:val="18"/>
              </w:rPr>
              <w:t>Rules of Procedure</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E65034" w14:textId="77777777" w:rsidR="0043323F" w:rsidRPr="00B44823" w:rsidRDefault="0043323F" w:rsidP="00B44823">
            <w:pPr>
              <w:spacing w:after="120" w:line="276" w:lineRule="auto"/>
              <w:jc w:val="center"/>
              <w:rPr>
                <w:color w:val="000000"/>
                <w:sz w:val="18"/>
                <w:szCs w:val="18"/>
              </w:rPr>
            </w:pPr>
            <w:r w:rsidRPr="00B44823">
              <w:rPr>
                <w:color w:val="000000"/>
                <w:sz w:val="18"/>
                <w:szCs w:val="18"/>
              </w:rPr>
              <w:t>01/07/2014</w:t>
            </w:r>
          </w:p>
        </w:tc>
      </w:tr>
      <w:tr w:rsidR="0043323F" w14:paraId="5201F9FB" w14:textId="77777777" w:rsidTr="004E3371">
        <w:trPr>
          <w:trHeight w:val="244"/>
        </w:trPr>
        <w:tc>
          <w:tcPr>
            <w:tcW w:w="53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283547E" w14:textId="77777777" w:rsidR="0043323F" w:rsidRPr="00B44823" w:rsidRDefault="0043323F" w:rsidP="00B44823">
            <w:pPr>
              <w:spacing w:after="120" w:line="276" w:lineRule="auto"/>
              <w:jc w:val="center"/>
              <w:rPr>
                <w:b/>
                <w:bCs/>
                <w:sz w:val="18"/>
                <w:szCs w:val="18"/>
              </w:rPr>
            </w:pPr>
            <w:r w:rsidRPr="00B44823">
              <w:rPr>
                <w:b/>
                <w:bCs/>
                <w:sz w:val="18"/>
                <w:szCs w:val="18"/>
              </w:rPr>
              <w:t>7</w:t>
            </w:r>
          </w:p>
        </w:tc>
        <w:tc>
          <w:tcPr>
            <w:tcW w:w="2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4D42AF" w14:textId="77777777" w:rsidR="0043323F" w:rsidRPr="00B44823" w:rsidRDefault="0043323F" w:rsidP="00B44823">
            <w:pPr>
              <w:spacing w:after="120" w:line="276" w:lineRule="auto"/>
              <w:jc w:val="center"/>
              <w:rPr>
                <w:color w:val="000000"/>
                <w:sz w:val="18"/>
                <w:szCs w:val="18"/>
              </w:rPr>
            </w:pPr>
            <w:r w:rsidRPr="00B44823">
              <w:rPr>
                <w:color w:val="000000"/>
                <w:sz w:val="18"/>
                <w:szCs w:val="18"/>
              </w:rPr>
              <w:t>12 (Modified 2014)</w:t>
            </w:r>
          </w:p>
        </w:tc>
        <w:tc>
          <w:tcPr>
            <w:tcW w:w="49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041669" w14:textId="77777777" w:rsidR="0043323F" w:rsidRPr="00B44823" w:rsidRDefault="0043323F" w:rsidP="00B44823">
            <w:pPr>
              <w:spacing w:after="120" w:line="276" w:lineRule="auto"/>
              <w:jc w:val="center"/>
              <w:rPr>
                <w:color w:val="000000"/>
                <w:sz w:val="18"/>
                <w:szCs w:val="18"/>
              </w:rPr>
            </w:pPr>
            <w:r w:rsidRPr="00B44823">
              <w:rPr>
                <w:color w:val="000000"/>
                <w:sz w:val="18"/>
                <w:szCs w:val="18"/>
                <w:lang w:val="en-US"/>
              </w:rPr>
              <w:t xml:space="preserve">Final Acts of World &amp; Regional </w:t>
            </w:r>
            <w:proofErr w:type="spellStart"/>
            <w:r w:rsidRPr="00B44823">
              <w:rPr>
                <w:color w:val="000000"/>
                <w:sz w:val="18"/>
                <w:szCs w:val="18"/>
                <w:lang w:val="en-US"/>
              </w:rPr>
              <w:t>Radiocom</w:t>
            </w:r>
            <w:proofErr w:type="spellEnd"/>
            <w:r w:rsidRPr="00B44823">
              <w:rPr>
                <w:color w:val="000000"/>
                <w:sz w:val="18"/>
                <w:szCs w:val="18"/>
                <w:lang w:val="en-US"/>
              </w:rPr>
              <w:t xml:space="preserve">. </w:t>
            </w:r>
            <w:r w:rsidRPr="00B44823">
              <w:rPr>
                <w:color w:val="000000"/>
                <w:sz w:val="18"/>
                <w:szCs w:val="18"/>
              </w:rPr>
              <w:t>Conferences</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DC5DA9" w14:textId="77777777" w:rsidR="0043323F" w:rsidRPr="00B44823" w:rsidRDefault="0043323F" w:rsidP="00B44823">
            <w:pPr>
              <w:spacing w:after="120" w:line="276" w:lineRule="auto"/>
              <w:jc w:val="center"/>
              <w:rPr>
                <w:color w:val="000000"/>
                <w:sz w:val="18"/>
                <w:szCs w:val="18"/>
              </w:rPr>
            </w:pPr>
            <w:r w:rsidRPr="00B44823">
              <w:rPr>
                <w:color w:val="000000"/>
                <w:sz w:val="18"/>
                <w:szCs w:val="18"/>
              </w:rPr>
              <w:t>12/02/2015</w:t>
            </w:r>
          </w:p>
        </w:tc>
      </w:tr>
      <w:tr w:rsidR="005D24EF" w14:paraId="598B4E15" w14:textId="77777777" w:rsidTr="004E3371">
        <w:trPr>
          <w:trHeight w:val="244"/>
        </w:trPr>
        <w:tc>
          <w:tcPr>
            <w:tcW w:w="53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94E756D" w14:textId="5BFB4CEE" w:rsidR="005D24EF" w:rsidRPr="00B44823" w:rsidRDefault="005D24EF" w:rsidP="005D24EF">
            <w:pPr>
              <w:spacing w:after="120" w:line="276" w:lineRule="auto"/>
              <w:jc w:val="center"/>
              <w:rPr>
                <w:b/>
                <w:bCs/>
                <w:sz w:val="18"/>
                <w:szCs w:val="18"/>
              </w:rPr>
            </w:pPr>
            <w:r w:rsidRPr="00B44823">
              <w:rPr>
                <w:b/>
                <w:bCs/>
                <w:sz w:val="18"/>
                <w:szCs w:val="18"/>
              </w:rPr>
              <w:t>8</w:t>
            </w:r>
          </w:p>
        </w:tc>
        <w:tc>
          <w:tcPr>
            <w:tcW w:w="2125" w:type="dxa"/>
            <w:tcBorders>
              <w:top w:val="nil"/>
              <w:left w:val="nil"/>
              <w:bottom w:val="single" w:sz="8" w:space="0" w:color="auto"/>
              <w:right w:val="single" w:sz="8" w:space="0" w:color="auto"/>
            </w:tcBorders>
            <w:tcMar>
              <w:top w:w="0" w:type="dxa"/>
              <w:left w:w="108" w:type="dxa"/>
              <w:bottom w:w="0" w:type="dxa"/>
              <w:right w:w="108" w:type="dxa"/>
            </w:tcMar>
            <w:vAlign w:val="center"/>
          </w:tcPr>
          <w:p w14:paraId="41FB8D12" w14:textId="52C33B59" w:rsidR="005D24EF" w:rsidRPr="00B44823" w:rsidRDefault="005D24EF" w:rsidP="005D24EF">
            <w:pPr>
              <w:spacing w:after="120" w:line="276" w:lineRule="auto"/>
              <w:jc w:val="center"/>
              <w:rPr>
                <w:color w:val="000000"/>
                <w:sz w:val="18"/>
                <w:szCs w:val="18"/>
              </w:rPr>
            </w:pPr>
            <w:r w:rsidRPr="00B44823">
              <w:rPr>
                <w:color w:val="000000"/>
                <w:sz w:val="18"/>
                <w:szCs w:val="18"/>
              </w:rPr>
              <w:t>12 (Modified 2014)</w:t>
            </w:r>
          </w:p>
        </w:tc>
        <w:tc>
          <w:tcPr>
            <w:tcW w:w="4957" w:type="dxa"/>
            <w:tcBorders>
              <w:top w:val="nil"/>
              <w:left w:val="nil"/>
              <w:bottom w:val="single" w:sz="8" w:space="0" w:color="auto"/>
              <w:right w:val="single" w:sz="8" w:space="0" w:color="auto"/>
            </w:tcBorders>
            <w:tcMar>
              <w:top w:w="0" w:type="dxa"/>
              <w:left w:w="108" w:type="dxa"/>
              <w:bottom w:w="0" w:type="dxa"/>
              <w:right w:w="108" w:type="dxa"/>
            </w:tcMar>
            <w:vAlign w:val="center"/>
          </w:tcPr>
          <w:p w14:paraId="6A5FC766" w14:textId="26C8ACF6" w:rsidR="005D24EF" w:rsidRPr="00B44823" w:rsidRDefault="005D24EF" w:rsidP="005D24EF">
            <w:pPr>
              <w:spacing w:after="120" w:line="276" w:lineRule="auto"/>
              <w:jc w:val="center"/>
              <w:rPr>
                <w:color w:val="000000"/>
                <w:sz w:val="18"/>
                <w:szCs w:val="18"/>
                <w:lang w:val="en-US"/>
              </w:rPr>
            </w:pPr>
            <w:r w:rsidRPr="00B44823">
              <w:rPr>
                <w:color w:val="000000"/>
                <w:sz w:val="18"/>
                <w:szCs w:val="18"/>
              </w:rPr>
              <w:t>Publications on Disaster Preparedness</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tcPr>
          <w:p w14:paraId="7771886A" w14:textId="7BA014DB" w:rsidR="005D24EF" w:rsidRPr="00B44823" w:rsidRDefault="005D24EF" w:rsidP="005D24EF">
            <w:pPr>
              <w:spacing w:after="120" w:line="276" w:lineRule="auto"/>
              <w:jc w:val="center"/>
              <w:rPr>
                <w:color w:val="000000"/>
                <w:sz w:val="18"/>
                <w:szCs w:val="18"/>
              </w:rPr>
            </w:pPr>
            <w:r w:rsidRPr="00B44823">
              <w:rPr>
                <w:color w:val="000000"/>
                <w:sz w:val="18"/>
                <w:szCs w:val="18"/>
              </w:rPr>
              <w:t>19/02/2015</w:t>
            </w:r>
          </w:p>
        </w:tc>
      </w:tr>
    </w:tbl>
    <w:p w14:paraId="4B6CC301" w14:textId="2681D961" w:rsidR="00B06E58" w:rsidRPr="00B06E58" w:rsidRDefault="0043323F" w:rsidP="00B06E58">
      <w:pPr>
        <w:rPr>
          <w:rFonts w:asciiTheme="minorHAnsi" w:hAnsiTheme="minorHAnsi"/>
          <w:b/>
          <w:bCs/>
          <w:color w:val="000000"/>
          <w:sz w:val="18"/>
          <w:szCs w:val="18"/>
          <w:lang w:val="en-US"/>
        </w:rPr>
      </w:pPr>
      <w:r w:rsidRPr="00B44823">
        <w:rPr>
          <w:rFonts w:asciiTheme="minorHAnsi" w:hAnsiTheme="minorHAnsi" w:cs="Arial"/>
          <w:color w:val="17365D"/>
          <w:lang w:val="en-US"/>
        </w:rPr>
        <w:t xml:space="preserve">  *</w:t>
      </w:r>
      <w:r w:rsidRPr="005D24EF">
        <w:rPr>
          <w:rFonts w:asciiTheme="minorHAnsi" w:hAnsiTheme="minorHAnsi"/>
          <w:b/>
          <w:bCs/>
          <w:color w:val="000000"/>
          <w:sz w:val="18"/>
          <w:szCs w:val="18"/>
          <w:lang w:val="en-US"/>
        </w:rPr>
        <w:t xml:space="preserve">Expanded to include </w:t>
      </w:r>
      <w:r w:rsidRPr="005D24EF">
        <w:rPr>
          <w:rFonts w:asciiTheme="minorHAnsi" w:hAnsiTheme="minorHAnsi"/>
          <w:b/>
          <w:bCs/>
          <w:color w:val="000000"/>
          <w:sz w:val="18"/>
          <w:szCs w:val="18"/>
          <w:u w:val="single"/>
          <w:lang w:val="en-US"/>
        </w:rPr>
        <w:t>all</w:t>
      </w:r>
      <w:r w:rsidRPr="005D24EF">
        <w:rPr>
          <w:rFonts w:asciiTheme="minorHAnsi" w:hAnsiTheme="minorHAnsi"/>
          <w:b/>
          <w:bCs/>
          <w:color w:val="000000"/>
          <w:sz w:val="18"/>
          <w:szCs w:val="18"/>
          <w:lang w:val="en-US"/>
        </w:rPr>
        <w:t xml:space="preserve"> BR Handbooks as of January 2017</w:t>
      </w:r>
    </w:p>
    <w:p w14:paraId="5E7D13CF" w14:textId="77777777" w:rsidR="00B06E58" w:rsidRDefault="00B06E58" w:rsidP="00B06E58">
      <w:pPr>
        <w:tabs>
          <w:tab w:val="clear" w:pos="567"/>
          <w:tab w:val="clear" w:pos="1134"/>
          <w:tab w:val="clear" w:pos="1701"/>
          <w:tab w:val="clear" w:pos="2268"/>
          <w:tab w:val="clear" w:pos="2835"/>
        </w:tabs>
        <w:snapToGrid w:val="0"/>
        <w:spacing w:after="120"/>
        <w:jc w:val="both"/>
        <w:rPr>
          <w:lang w:val="en-US"/>
        </w:rPr>
      </w:pPr>
    </w:p>
    <w:p w14:paraId="447FA585" w14:textId="523E08BF" w:rsidR="00B06E58" w:rsidRDefault="00B06E58" w:rsidP="00866A5D">
      <w:pPr>
        <w:tabs>
          <w:tab w:val="clear" w:pos="567"/>
          <w:tab w:val="clear" w:pos="1134"/>
          <w:tab w:val="clear" w:pos="1701"/>
          <w:tab w:val="clear" w:pos="2268"/>
          <w:tab w:val="clear" w:pos="2835"/>
        </w:tabs>
        <w:snapToGrid w:val="0"/>
        <w:spacing w:after="120"/>
        <w:jc w:val="both"/>
        <w:rPr>
          <w:lang w:val="en-US"/>
        </w:rPr>
      </w:pPr>
      <w:r>
        <w:rPr>
          <w:lang w:val="en-US"/>
        </w:rPr>
        <w:t xml:space="preserve">As per the request of Council 2017, the </w:t>
      </w:r>
      <w:r w:rsidR="00A54CEC">
        <w:rPr>
          <w:lang w:val="en-US"/>
        </w:rPr>
        <w:t>s</w:t>
      </w:r>
      <w:r>
        <w:rPr>
          <w:lang w:val="en-US"/>
        </w:rPr>
        <w:t xml:space="preserve">ecretariat further provided </w:t>
      </w:r>
      <w:r w:rsidRPr="005D24EF">
        <w:rPr>
          <w:i/>
          <w:iCs/>
          <w:lang w:val="en-US"/>
        </w:rPr>
        <w:t>Member State-only</w:t>
      </w:r>
      <w:r>
        <w:rPr>
          <w:lang w:val="en-US"/>
        </w:rPr>
        <w:t xml:space="preserve"> free access to ITU publications of statistics and indicators to include the BDT’s World Telecommunication/ICT Indicators Database and the Yearbook of Statistics, in addition to the </w:t>
      </w:r>
      <w:r w:rsidRPr="005D24EF">
        <w:rPr>
          <w:i/>
          <w:iCs/>
          <w:lang w:val="en-US"/>
        </w:rPr>
        <w:t>Member State-only</w:t>
      </w:r>
      <w:r>
        <w:rPr>
          <w:lang w:val="en-US"/>
        </w:rPr>
        <w:t xml:space="preserve"> free access to BR IFIC Space and Terrestrial ISO copies.</w:t>
      </w:r>
    </w:p>
    <w:p w14:paraId="6FFDAAFE" w14:textId="2769E047" w:rsidR="00B06E58" w:rsidRDefault="00B06E58" w:rsidP="00866A5D">
      <w:pPr>
        <w:tabs>
          <w:tab w:val="clear" w:pos="567"/>
          <w:tab w:val="clear" w:pos="1134"/>
          <w:tab w:val="clear" w:pos="1701"/>
          <w:tab w:val="clear" w:pos="2268"/>
          <w:tab w:val="clear" w:pos="2835"/>
        </w:tabs>
        <w:snapToGrid w:val="0"/>
        <w:spacing w:after="120"/>
        <w:jc w:val="both"/>
        <w:rPr>
          <w:lang w:val="en-US"/>
        </w:rPr>
      </w:pPr>
      <w:r>
        <w:rPr>
          <w:lang w:val="en-US"/>
        </w:rPr>
        <w:t>Revenue</w:t>
      </w:r>
      <w:r w:rsidR="00E20809">
        <w:rPr>
          <w:lang w:val="en-US"/>
        </w:rPr>
        <w:t xml:space="preserve"> gained</w:t>
      </w:r>
      <w:r>
        <w:rPr>
          <w:lang w:val="en-US"/>
        </w:rPr>
        <w:t xml:space="preserve"> </w:t>
      </w:r>
      <w:r w:rsidR="00E20809">
        <w:rPr>
          <w:lang w:val="en-US"/>
        </w:rPr>
        <w:t xml:space="preserve">today </w:t>
      </w:r>
      <w:r>
        <w:rPr>
          <w:lang w:val="en-US"/>
        </w:rPr>
        <w:t xml:space="preserve">from </w:t>
      </w:r>
      <w:r w:rsidR="0025195F">
        <w:rPr>
          <w:lang w:val="en-US"/>
        </w:rPr>
        <w:t xml:space="preserve">sales of </w:t>
      </w:r>
      <w:r w:rsidR="00E20809">
        <w:rPr>
          <w:lang w:val="en-US"/>
        </w:rPr>
        <w:t xml:space="preserve">online </w:t>
      </w:r>
      <w:r>
        <w:rPr>
          <w:lang w:val="en-US"/>
        </w:rPr>
        <w:t xml:space="preserve">downloads </w:t>
      </w:r>
      <w:r w:rsidR="00E20809">
        <w:rPr>
          <w:lang w:val="en-US"/>
        </w:rPr>
        <w:t>are now largely limited to the general public</w:t>
      </w:r>
      <w:r w:rsidR="0025195F">
        <w:rPr>
          <w:lang w:val="en-US"/>
        </w:rPr>
        <w:t>’s purchase</w:t>
      </w:r>
      <w:r>
        <w:rPr>
          <w:lang w:val="en-US"/>
        </w:rPr>
        <w:t xml:space="preserve"> of </w:t>
      </w:r>
      <w:r w:rsidR="0025195F">
        <w:rPr>
          <w:lang w:val="en-US"/>
        </w:rPr>
        <w:t xml:space="preserve">the BDT </w:t>
      </w:r>
      <w:r>
        <w:rPr>
          <w:lang w:val="en-US"/>
        </w:rPr>
        <w:t xml:space="preserve">indicators </w:t>
      </w:r>
      <w:r w:rsidR="0025195F">
        <w:rPr>
          <w:lang w:val="en-US"/>
        </w:rPr>
        <w:t xml:space="preserve">series and of the </w:t>
      </w:r>
      <w:r>
        <w:rPr>
          <w:lang w:val="en-US"/>
        </w:rPr>
        <w:t>BR IFIC</w:t>
      </w:r>
      <w:r w:rsidR="00E20809">
        <w:rPr>
          <w:lang w:val="en-US"/>
        </w:rPr>
        <w:t xml:space="preserve"> </w:t>
      </w:r>
      <w:r w:rsidR="0025195F">
        <w:rPr>
          <w:lang w:val="en-US"/>
        </w:rPr>
        <w:t>publications</w:t>
      </w:r>
      <w:r>
        <w:rPr>
          <w:lang w:val="en-US"/>
        </w:rPr>
        <w:t>.</w:t>
      </w:r>
    </w:p>
    <w:p w14:paraId="1225AA90" w14:textId="30E27BE7" w:rsidR="0043323F" w:rsidRPr="00F8784B" w:rsidRDefault="00A54CEC" w:rsidP="00B44823">
      <w:pPr>
        <w:tabs>
          <w:tab w:val="clear" w:pos="567"/>
          <w:tab w:val="clear" w:pos="1134"/>
          <w:tab w:val="clear" w:pos="1701"/>
          <w:tab w:val="clear" w:pos="2268"/>
          <w:tab w:val="clear" w:pos="2835"/>
        </w:tabs>
        <w:snapToGrid w:val="0"/>
        <w:spacing w:before="480" w:after="120"/>
        <w:jc w:val="both"/>
        <w:rPr>
          <w:rFonts w:asciiTheme="minorHAnsi" w:hAnsiTheme="minorHAnsi"/>
          <w:b/>
          <w:bCs/>
          <w:sz w:val="26"/>
          <w:szCs w:val="26"/>
          <w:lang w:val="en-US"/>
        </w:rPr>
      </w:pPr>
      <w:r>
        <w:rPr>
          <w:rFonts w:asciiTheme="minorHAnsi" w:hAnsiTheme="minorHAnsi"/>
          <w:b/>
          <w:bCs/>
          <w:sz w:val="26"/>
          <w:szCs w:val="26"/>
          <w:lang w:val="en-US"/>
        </w:rPr>
        <w:t>3</w:t>
      </w:r>
      <w:r w:rsidR="0043323F" w:rsidRPr="00F8784B">
        <w:rPr>
          <w:rFonts w:asciiTheme="minorHAnsi" w:hAnsiTheme="minorHAnsi"/>
          <w:b/>
          <w:bCs/>
          <w:sz w:val="26"/>
          <w:szCs w:val="26"/>
          <w:lang w:val="en-US"/>
        </w:rPr>
        <w:t>.</w:t>
      </w:r>
      <w:r w:rsidR="0043323F" w:rsidRPr="00F8784B">
        <w:rPr>
          <w:rFonts w:asciiTheme="minorHAnsi" w:hAnsiTheme="minorHAnsi"/>
          <w:b/>
          <w:bCs/>
          <w:sz w:val="26"/>
          <w:szCs w:val="26"/>
          <w:lang w:val="en-US"/>
        </w:rPr>
        <w:tab/>
        <w:t>Sales results and trends</w:t>
      </w:r>
    </w:p>
    <w:p w14:paraId="6D34C078" w14:textId="7BB811B3" w:rsidR="005D24EF" w:rsidRDefault="0043323F" w:rsidP="002F6489">
      <w:pPr>
        <w:pStyle w:val="ListParagraph"/>
        <w:adjustRightInd w:val="0"/>
        <w:snapToGrid w:val="0"/>
        <w:spacing w:before="120" w:after="120" w:line="240" w:lineRule="auto"/>
        <w:ind w:left="0"/>
        <w:contextualSpacing w:val="0"/>
        <w:jc w:val="both"/>
        <w:rPr>
          <w:sz w:val="24"/>
          <w:szCs w:val="24"/>
          <w:lang w:val="en-US"/>
        </w:rPr>
      </w:pPr>
      <w:r w:rsidRPr="00B44823">
        <w:rPr>
          <w:szCs w:val="24"/>
          <w:lang w:val="en-US"/>
        </w:rPr>
        <w:tab/>
      </w:r>
      <w:r w:rsidR="005D24EF" w:rsidRPr="00763E00">
        <w:rPr>
          <w:spacing w:val="2"/>
          <w:sz w:val="24"/>
          <w:szCs w:val="24"/>
          <w:lang w:val="en-US"/>
        </w:rPr>
        <w:t>Publications sales revenues in 201</w:t>
      </w:r>
      <w:r w:rsidR="005D24EF">
        <w:rPr>
          <w:spacing w:val="2"/>
          <w:sz w:val="24"/>
          <w:szCs w:val="24"/>
          <w:lang w:val="en-US"/>
        </w:rPr>
        <w:t>7</w:t>
      </w:r>
      <w:r w:rsidR="005D24EF" w:rsidRPr="00763E00">
        <w:rPr>
          <w:spacing w:val="2"/>
          <w:sz w:val="24"/>
          <w:szCs w:val="24"/>
          <w:lang w:val="en-US"/>
        </w:rPr>
        <w:t xml:space="preserve"> reached CHF</w:t>
      </w:r>
      <w:r w:rsidR="005D24EF">
        <w:rPr>
          <w:spacing w:val="2"/>
          <w:sz w:val="24"/>
          <w:szCs w:val="24"/>
          <w:lang w:val="en-US"/>
        </w:rPr>
        <w:t xml:space="preserve"> 19.5 </w:t>
      </w:r>
      <w:r w:rsidR="005D24EF" w:rsidRPr="00763E00">
        <w:rPr>
          <w:spacing w:val="2"/>
          <w:sz w:val="24"/>
          <w:szCs w:val="24"/>
          <w:lang w:val="en-US"/>
        </w:rPr>
        <w:t xml:space="preserve">million exceeding </w:t>
      </w:r>
      <w:r w:rsidR="005D24EF">
        <w:rPr>
          <w:spacing w:val="2"/>
          <w:sz w:val="24"/>
          <w:szCs w:val="24"/>
          <w:lang w:val="en-US"/>
        </w:rPr>
        <w:t xml:space="preserve">annual budget expectations </w:t>
      </w:r>
      <w:r w:rsidR="005D24EF" w:rsidRPr="00763E00">
        <w:rPr>
          <w:spacing w:val="2"/>
          <w:sz w:val="24"/>
          <w:szCs w:val="24"/>
          <w:lang w:val="en-US"/>
        </w:rPr>
        <w:t>by CHF</w:t>
      </w:r>
      <w:r w:rsidR="005D24EF">
        <w:rPr>
          <w:spacing w:val="2"/>
          <w:sz w:val="24"/>
          <w:szCs w:val="24"/>
          <w:lang w:val="en-US"/>
        </w:rPr>
        <w:t xml:space="preserve"> 1</w:t>
      </w:r>
      <w:r w:rsidR="005D24EF" w:rsidRPr="00763E00">
        <w:rPr>
          <w:spacing w:val="2"/>
          <w:sz w:val="24"/>
          <w:szCs w:val="24"/>
          <w:lang w:val="en-US"/>
        </w:rPr>
        <w:t>.</w:t>
      </w:r>
      <w:r w:rsidR="005D24EF">
        <w:rPr>
          <w:spacing w:val="2"/>
          <w:sz w:val="24"/>
          <w:szCs w:val="24"/>
          <w:lang w:val="en-US"/>
        </w:rPr>
        <w:t>0</w:t>
      </w:r>
      <w:r w:rsidR="005D24EF" w:rsidRPr="00763E00">
        <w:rPr>
          <w:spacing w:val="2"/>
          <w:sz w:val="24"/>
          <w:szCs w:val="24"/>
          <w:lang w:val="en-US"/>
        </w:rPr>
        <w:t xml:space="preserve"> million</w:t>
      </w:r>
      <w:r w:rsidR="002F6489">
        <w:rPr>
          <w:spacing w:val="2"/>
          <w:sz w:val="24"/>
          <w:szCs w:val="24"/>
          <w:lang w:val="en-US"/>
        </w:rPr>
        <w:t>, benefiting from stable sales of maritime-related publications</w:t>
      </w:r>
      <w:r w:rsidR="005D24EF">
        <w:rPr>
          <w:spacing w:val="2"/>
          <w:sz w:val="24"/>
          <w:szCs w:val="24"/>
          <w:lang w:val="en-US"/>
        </w:rPr>
        <w:t>. T</w:t>
      </w:r>
      <w:r w:rsidR="005D24EF" w:rsidRPr="00763E00">
        <w:rPr>
          <w:spacing w:val="2"/>
          <w:sz w:val="24"/>
          <w:szCs w:val="24"/>
          <w:lang w:val="en-US"/>
        </w:rPr>
        <w:t>he bi-annual 2016-17 budget</w:t>
      </w:r>
      <w:r w:rsidR="005D24EF">
        <w:rPr>
          <w:spacing w:val="2"/>
          <w:sz w:val="24"/>
          <w:szCs w:val="24"/>
          <w:lang w:val="en-US"/>
        </w:rPr>
        <w:t xml:space="preserve">ed sales </w:t>
      </w:r>
      <w:r w:rsidR="005D24EF" w:rsidRPr="00763E00">
        <w:rPr>
          <w:spacing w:val="2"/>
          <w:sz w:val="24"/>
          <w:szCs w:val="24"/>
          <w:lang w:val="en-US"/>
        </w:rPr>
        <w:t>of</w:t>
      </w:r>
      <w:r w:rsidR="005D24EF">
        <w:rPr>
          <w:spacing w:val="2"/>
          <w:sz w:val="24"/>
          <w:szCs w:val="24"/>
          <w:lang w:val="en-US"/>
        </w:rPr>
        <w:t xml:space="preserve"> </w:t>
      </w:r>
      <w:r w:rsidR="005D24EF" w:rsidRPr="00763E00">
        <w:rPr>
          <w:spacing w:val="2"/>
          <w:sz w:val="24"/>
          <w:szCs w:val="24"/>
          <w:lang w:val="en-US"/>
        </w:rPr>
        <w:t>CHF</w:t>
      </w:r>
      <w:r w:rsidR="005D24EF">
        <w:rPr>
          <w:spacing w:val="2"/>
          <w:sz w:val="24"/>
          <w:szCs w:val="24"/>
          <w:lang w:val="en-US"/>
        </w:rPr>
        <w:t xml:space="preserve"> </w:t>
      </w:r>
      <w:r w:rsidR="005D24EF" w:rsidRPr="00763E00">
        <w:rPr>
          <w:spacing w:val="2"/>
          <w:sz w:val="24"/>
          <w:szCs w:val="24"/>
          <w:lang w:val="en-US"/>
        </w:rPr>
        <w:t>37.0 million</w:t>
      </w:r>
      <w:r w:rsidR="005D24EF">
        <w:rPr>
          <w:spacing w:val="2"/>
          <w:sz w:val="24"/>
          <w:szCs w:val="24"/>
          <w:lang w:val="en-US"/>
        </w:rPr>
        <w:t xml:space="preserve"> for sales of ITU publications thus exceeded CHF 1.5 million</w:t>
      </w:r>
      <w:r w:rsidR="005D24EF" w:rsidRPr="00763E00">
        <w:rPr>
          <w:spacing w:val="2"/>
          <w:sz w:val="24"/>
          <w:szCs w:val="24"/>
          <w:lang w:val="en-US"/>
        </w:rPr>
        <w:t>.</w:t>
      </w:r>
      <w:r w:rsidR="005D24EF" w:rsidRPr="00763E00">
        <w:rPr>
          <w:sz w:val="24"/>
          <w:szCs w:val="24"/>
          <w:lang w:val="en-US"/>
        </w:rPr>
        <w:t xml:space="preserve"> </w:t>
      </w:r>
    </w:p>
    <w:p w14:paraId="4A0D01EC" w14:textId="177BF9FF" w:rsidR="0043323F" w:rsidRPr="00B44823" w:rsidRDefault="0043323F" w:rsidP="00A54CEC">
      <w:pPr>
        <w:tabs>
          <w:tab w:val="clear" w:pos="567"/>
          <w:tab w:val="clear" w:pos="1134"/>
          <w:tab w:val="clear" w:pos="1701"/>
          <w:tab w:val="clear" w:pos="2268"/>
          <w:tab w:val="clear" w:pos="2835"/>
        </w:tabs>
        <w:snapToGrid w:val="0"/>
        <w:spacing w:after="120"/>
        <w:jc w:val="both"/>
        <w:rPr>
          <w:rFonts w:asciiTheme="minorHAnsi" w:hAnsiTheme="minorHAnsi"/>
          <w:szCs w:val="24"/>
          <w:lang w:val="en-US"/>
        </w:rPr>
      </w:pPr>
      <w:r w:rsidRPr="00B44823">
        <w:rPr>
          <w:rFonts w:asciiTheme="minorHAnsi" w:hAnsiTheme="minorHAnsi"/>
          <w:szCs w:val="24"/>
          <w:lang w:val="en-US"/>
        </w:rPr>
        <w:t xml:space="preserve">Detailed sales figures for the years </w:t>
      </w:r>
      <w:r w:rsidR="00EF47D7">
        <w:rPr>
          <w:rFonts w:asciiTheme="minorHAnsi" w:hAnsiTheme="minorHAnsi"/>
          <w:szCs w:val="24"/>
          <w:lang w:val="en-US"/>
        </w:rPr>
        <w:t>2013-2017</w:t>
      </w:r>
      <w:r w:rsidRPr="00B44823">
        <w:rPr>
          <w:rFonts w:asciiTheme="minorHAnsi" w:hAnsiTheme="minorHAnsi"/>
          <w:szCs w:val="24"/>
          <w:lang w:val="en-US"/>
        </w:rPr>
        <w:t xml:space="preserve"> with the breakdowns requested in Decision 12 (Rev. Busan, 2014) are given in the tables in the </w:t>
      </w:r>
      <w:r w:rsidR="00A54CEC">
        <w:rPr>
          <w:rFonts w:asciiTheme="minorHAnsi" w:hAnsiTheme="minorHAnsi"/>
          <w:szCs w:val="24"/>
          <w:lang w:val="en-US"/>
        </w:rPr>
        <w:t>i</w:t>
      </w:r>
      <w:r w:rsidRPr="00B44823">
        <w:rPr>
          <w:rFonts w:asciiTheme="minorHAnsi" w:hAnsiTheme="minorHAnsi"/>
          <w:szCs w:val="24"/>
          <w:lang w:val="en-US"/>
        </w:rPr>
        <w:t xml:space="preserve">nformation </w:t>
      </w:r>
      <w:r w:rsidR="00A54CEC">
        <w:rPr>
          <w:rFonts w:asciiTheme="minorHAnsi" w:hAnsiTheme="minorHAnsi"/>
          <w:szCs w:val="24"/>
          <w:lang w:val="en-US"/>
        </w:rPr>
        <w:t>d</w:t>
      </w:r>
      <w:r w:rsidRPr="00B44823">
        <w:rPr>
          <w:rFonts w:asciiTheme="minorHAnsi" w:hAnsiTheme="minorHAnsi"/>
          <w:szCs w:val="24"/>
          <w:lang w:val="en-US"/>
        </w:rPr>
        <w:t>ocument</w:t>
      </w:r>
      <w:r w:rsidR="0085675A">
        <w:rPr>
          <w:rFonts w:asciiTheme="minorHAnsi" w:hAnsiTheme="minorHAnsi"/>
          <w:szCs w:val="24"/>
          <w:lang w:val="en-US"/>
        </w:rPr>
        <w:t xml:space="preserve"> </w:t>
      </w:r>
      <w:hyperlink r:id="rId14" w:history="1">
        <w:r w:rsidR="0085675A" w:rsidRPr="0085675A">
          <w:rPr>
            <w:rStyle w:val="Hyperlink"/>
            <w:lang w:val="en-US"/>
          </w:rPr>
          <w:t>C1</w:t>
        </w:r>
        <w:r w:rsidR="001F5DDD">
          <w:rPr>
            <w:rStyle w:val="Hyperlink"/>
            <w:lang w:val="en-US"/>
          </w:rPr>
          <w:t>8</w:t>
        </w:r>
        <w:r w:rsidR="0085675A" w:rsidRPr="0085675A">
          <w:rPr>
            <w:rStyle w:val="Hyperlink"/>
            <w:lang w:val="en-US"/>
          </w:rPr>
          <w:t>/INF/</w:t>
        </w:r>
        <w:r w:rsidR="001F5DDD">
          <w:rPr>
            <w:rStyle w:val="Hyperlink"/>
            <w:lang w:val="en-US"/>
          </w:rPr>
          <w:t>2</w:t>
        </w:r>
      </w:hyperlink>
      <w:r w:rsidRPr="00B44823">
        <w:rPr>
          <w:rFonts w:asciiTheme="minorHAnsi" w:hAnsiTheme="minorHAnsi"/>
          <w:szCs w:val="24"/>
          <w:lang w:val="en-US"/>
        </w:rPr>
        <w:t xml:space="preserve">. </w:t>
      </w:r>
    </w:p>
    <w:p w14:paraId="700F89A2" w14:textId="0A326449" w:rsidR="0043323F" w:rsidRPr="00B44823" w:rsidRDefault="00A54CEC" w:rsidP="001F5DDD">
      <w:pPr>
        <w:tabs>
          <w:tab w:val="clear" w:pos="567"/>
          <w:tab w:val="clear" w:pos="1134"/>
          <w:tab w:val="clear" w:pos="1701"/>
          <w:tab w:val="clear" w:pos="2268"/>
          <w:tab w:val="clear" w:pos="2835"/>
        </w:tabs>
        <w:snapToGrid w:val="0"/>
        <w:spacing w:before="240" w:after="120"/>
        <w:jc w:val="both"/>
        <w:rPr>
          <w:rFonts w:asciiTheme="minorHAnsi" w:hAnsiTheme="minorHAnsi"/>
          <w:b/>
          <w:szCs w:val="24"/>
          <w:lang w:val="en-US"/>
        </w:rPr>
      </w:pPr>
      <w:bookmarkStart w:id="11" w:name="OLE_LINK6"/>
      <w:bookmarkStart w:id="12" w:name="OLE_LINK7"/>
      <w:r>
        <w:rPr>
          <w:rFonts w:asciiTheme="minorHAnsi" w:hAnsiTheme="minorHAnsi"/>
          <w:b/>
          <w:szCs w:val="24"/>
          <w:lang w:val="en-US"/>
        </w:rPr>
        <w:t>3</w:t>
      </w:r>
      <w:r w:rsidR="004747C4">
        <w:rPr>
          <w:rFonts w:asciiTheme="minorHAnsi" w:hAnsiTheme="minorHAnsi"/>
          <w:b/>
          <w:szCs w:val="24"/>
          <w:lang w:val="en-US"/>
        </w:rPr>
        <w:t>.1</w:t>
      </w:r>
      <w:r w:rsidR="003733E8">
        <w:rPr>
          <w:rFonts w:asciiTheme="minorHAnsi" w:hAnsiTheme="minorHAnsi"/>
          <w:b/>
          <w:szCs w:val="24"/>
          <w:lang w:val="en-US"/>
        </w:rPr>
        <w:tab/>
        <w:t xml:space="preserve">Sales development activities in </w:t>
      </w:r>
      <w:r w:rsidR="0043323F" w:rsidRPr="00B44823">
        <w:rPr>
          <w:rFonts w:asciiTheme="minorHAnsi" w:hAnsiTheme="minorHAnsi"/>
          <w:b/>
          <w:szCs w:val="24"/>
          <w:lang w:val="en-US"/>
        </w:rPr>
        <w:t>201</w:t>
      </w:r>
      <w:r w:rsidR="001F5DDD">
        <w:rPr>
          <w:rFonts w:asciiTheme="minorHAnsi" w:hAnsiTheme="minorHAnsi"/>
          <w:b/>
          <w:szCs w:val="24"/>
          <w:lang w:val="en-US"/>
        </w:rPr>
        <w:t>7</w:t>
      </w:r>
      <w:r w:rsidR="0043323F" w:rsidRPr="00B44823">
        <w:rPr>
          <w:rFonts w:asciiTheme="minorHAnsi" w:hAnsiTheme="minorHAnsi"/>
          <w:b/>
          <w:szCs w:val="24"/>
          <w:lang w:val="en-US"/>
        </w:rPr>
        <w:t xml:space="preserve"> </w:t>
      </w:r>
    </w:p>
    <w:p w14:paraId="1F1FEFF5" w14:textId="13325C3C" w:rsidR="0043323F" w:rsidRPr="00B40040" w:rsidRDefault="0043323F" w:rsidP="00EF47D7">
      <w:pPr>
        <w:tabs>
          <w:tab w:val="clear" w:pos="567"/>
          <w:tab w:val="clear" w:pos="1134"/>
          <w:tab w:val="clear" w:pos="1701"/>
          <w:tab w:val="clear" w:pos="2268"/>
          <w:tab w:val="clear" w:pos="2835"/>
        </w:tabs>
        <w:snapToGrid w:val="0"/>
        <w:spacing w:after="120"/>
        <w:jc w:val="both"/>
        <w:rPr>
          <w:rFonts w:asciiTheme="minorHAnsi" w:hAnsiTheme="minorHAnsi"/>
          <w:bCs/>
          <w:szCs w:val="24"/>
          <w:lang w:val="en-US"/>
        </w:rPr>
      </w:pPr>
      <w:r w:rsidRPr="00B44823">
        <w:rPr>
          <w:rFonts w:asciiTheme="minorHAnsi" w:hAnsiTheme="minorHAnsi"/>
          <w:bCs/>
          <w:szCs w:val="24"/>
          <w:lang w:val="en-US"/>
        </w:rPr>
        <w:tab/>
      </w:r>
      <w:r w:rsidR="00EF47D7" w:rsidRPr="00B40040">
        <w:rPr>
          <w:rFonts w:asciiTheme="minorHAnsi" w:hAnsiTheme="minorHAnsi"/>
          <w:bCs/>
          <w:szCs w:val="24"/>
          <w:lang w:val="en-US"/>
        </w:rPr>
        <w:t>S</w:t>
      </w:r>
      <w:r w:rsidRPr="00B40040">
        <w:rPr>
          <w:rFonts w:asciiTheme="minorHAnsi" w:hAnsiTheme="minorHAnsi"/>
          <w:bCs/>
          <w:szCs w:val="24"/>
          <w:lang w:val="en-US"/>
        </w:rPr>
        <w:t xml:space="preserve">ales development activities </w:t>
      </w:r>
      <w:r w:rsidR="00EF47D7" w:rsidRPr="00B40040">
        <w:rPr>
          <w:rFonts w:asciiTheme="minorHAnsi" w:hAnsiTheme="minorHAnsi"/>
          <w:bCs/>
          <w:szCs w:val="24"/>
          <w:lang w:val="en-US"/>
        </w:rPr>
        <w:t>continued in 2017</w:t>
      </w:r>
      <w:r w:rsidRPr="00B40040">
        <w:rPr>
          <w:rFonts w:asciiTheme="minorHAnsi" w:hAnsiTheme="minorHAnsi"/>
          <w:bCs/>
          <w:szCs w:val="24"/>
          <w:lang w:val="en-US"/>
        </w:rPr>
        <w:t xml:space="preserve"> to ensure expansion of sales income:</w:t>
      </w:r>
    </w:p>
    <w:p w14:paraId="27455742" w14:textId="66074463" w:rsidR="0043323F" w:rsidRPr="00BA275F" w:rsidRDefault="00EF47D7" w:rsidP="00BA275F">
      <w:pPr>
        <w:pStyle w:val="ListParagraph"/>
        <w:numPr>
          <w:ilvl w:val="0"/>
          <w:numId w:val="2"/>
        </w:numPr>
        <w:snapToGrid w:val="0"/>
        <w:spacing w:after="120"/>
        <w:ind w:left="1134" w:hanging="425"/>
        <w:jc w:val="both"/>
        <w:rPr>
          <w:bCs/>
          <w:sz w:val="24"/>
          <w:szCs w:val="24"/>
          <w:lang w:val="en-US"/>
        </w:rPr>
      </w:pPr>
      <w:r w:rsidRPr="00BA275F">
        <w:rPr>
          <w:bCs/>
          <w:sz w:val="24"/>
          <w:szCs w:val="24"/>
          <w:lang w:val="en-US"/>
        </w:rPr>
        <w:t xml:space="preserve">Seven </w:t>
      </w:r>
      <w:r w:rsidR="0043323F" w:rsidRPr="00BA275F">
        <w:rPr>
          <w:bCs/>
          <w:sz w:val="24"/>
          <w:szCs w:val="24"/>
          <w:lang w:val="en-US"/>
        </w:rPr>
        <w:t xml:space="preserve">new </w:t>
      </w:r>
      <w:r w:rsidR="00FA1DE3">
        <w:rPr>
          <w:bCs/>
          <w:sz w:val="24"/>
          <w:szCs w:val="24"/>
          <w:lang w:val="en-US"/>
        </w:rPr>
        <w:t>resellers joined ITU</w:t>
      </w:r>
      <w:r w:rsidR="0043323F" w:rsidRPr="00BA275F">
        <w:rPr>
          <w:bCs/>
          <w:sz w:val="24"/>
          <w:szCs w:val="24"/>
          <w:lang w:val="en-US"/>
        </w:rPr>
        <w:t xml:space="preserve"> in </w:t>
      </w:r>
      <w:r w:rsidRPr="00BA275F">
        <w:rPr>
          <w:bCs/>
          <w:sz w:val="24"/>
          <w:szCs w:val="24"/>
          <w:lang w:val="en-US"/>
        </w:rPr>
        <w:t xml:space="preserve">2017 </w:t>
      </w:r>
      <w:r w:rsidR="0043323F" w:rsidRPr="00BA275F">
        <w:rPr>
          <w:bCs/>
          <w:sz w:val="24"/>
          <w:szCs w:val="24"/>
          <w:lang w:val="en-US"/>
        </w:rPr>
        <w:t xml:space="preserve">to continue expanding distribution/availability of ITU </w:t>
      </w:r>
      <w:r w:rsidR="00FA1DE3">
        <w:rPr>
          <w:bCs/>
          <w:sz w:val="24"/>
          <w:szCs w:val="24"/>
          <w:lang w:val="en-US"/>
        </w:rPr>
        <w:t xml:space="preserve">maritime </w:t>
      </w:r>
      <w:r w:rsidR="0043323F" w:rsidRPr="00BA275F">
        <w:rPr>
          <w:bCs/>
          <w:sz w:val="24"/>
          <w:szCs w:val="24"/>
          <w:lang w:val="en-US"/>
        </w:rPr>
        <w:t>publicatio</w:t>
      </w:r>
      <w:r w:rsidR="003733E8" w:rsidRPr="00BA275F">
        <w:rPr>
          <w:bCs/>
          <w:sz w:val="24"/>
          <w:szCs w:val="24"/>
          <w:lang w:val="en-US"/>
        </w:rPr>
        <w:t>ns in the dominant traditional r</w:t>
      </w:r>
      <w:r w:rsidR="0043323F" w:rsidRPr="00BA275F">
        <w:rPr>
          <w:bCs/>
          <w:sz w:val="24"/>
          <w:szCs w:val="24"/>
          <w:lang w:val="en-US"/>
        </w:rPr>
        <w:t>eseller channel.</w:t>
      </w:r>
    </w:p>
    <w:p w14:paraId="3DF8EBD6" w14:textId="6539369E" w:rsidR="0043323F" w:rsidRPr="00BA275F" w:rsidRDefault="002E06D0" w:rsidP="002E06D0">
      <w:pPr>
        <w:pStyle w:val="ListParagraph"/>
        <w:numPr>
          <w:ilvl w:val="0"/>
          <w:numId w:val="2"/>
        </w:numPr>
        <w:adjustRightInd w:val="0"/>
        <w:snapToGrid w:val="0"/>
        <w:spacing w:before="120" w:after="120" w:line="240" w:lineRule="auto"/>
        <w:ind w:left="1134" w:hanging="425"/>
        <w:contextualSpacing w:val="0"/>
        <w:jc w:val="both"/>
        <w:rPr>
          <w:bCs/>
          <w:sz w:val="16"/>
          <w:szCs w:val="16"/>
          <w:lang w:val="en-US"/>
        </w:rPr>
      </w:pPr>
      <w:r w:rsidRPr="00B40040">
        <w:rPr>
          <w:bCs/>
          <w:sz w:val="24"/>
          <w:szCs w:val="24"/>
          <w:lang w:val="en-US"/>
        </w:rPr>
        <w:t>Several l</w:t>
      </w:r>
      <w:r w:rsidR="0043323F" w:rsidRPr="00B40040">
        <w:rPr>
          <w:bCs/>
          <w:sz w:val="24"/>
          <w:szCs w:val="24"/>
          <w:lang w:val="en-US"/>
        </w:rPr>
        <w:t xml:space="preserve">icensing agreements, </w:t>
      </w:r>
      <w:r w:rsidR="00EF47D7" w:rsidRPr="00B40040">
        <w:rPr>
          <w:bCs/>
          <w:sz w:val="24"/>
          <w:szCs w:val="24"/>
          <w:lang w:val="en-US"/>
        </w:rPr>
        <w:t xml:space="preserve">including </w:t>
      </w:r>
      <w:r w:rsidR="0043323F" w:rsidRPr="00B40040">
        <w:rPr>
          <w:bCs/>
          <w:sz w:val="24"/>
          <w:szCs w:val="24"/>
          <w:lang w:val="en-US"/>
        </w:rPr>
        <w:t xml:space="preserve">with Financial Times and Ernst &amp; Young, were renewed in </w:t>
      </w:r>
      <w:r w:rsidR="00EF47D7" w:rsidRPr="00B40040">
        <w:rPr>
          <w:bCs/>
          <w:sz w:val="24"/>
          <w:szCs w:val="24"/>
          <w:lang w:val="en-US"/>
        </w:rPr>
        <w:t>2017</w:t>
      </w:r>
      <w:r w:rsidR="0043323F" w:rsidRPr="00B40040">
        <w:rPr>
          <w:bCs/>
          <w:sz w:val="24"/>
          <w:szCs w:val="24"/>
          <w:lang w:val="en-US"/>
        </w:rPr>
        <w:t>.</w:t>
      </w:r>
    </w:p>
    <w:p w14:paraId="6899640C" w14:textId="3AEF2405" w:rsidR="0043323F" w:rsidRPr="00B40040" w:rsidRDefault="00DD0234" w:rsidP="00DD0234">
      <w:pPr>
        <w:pStyle w:val="ListParagraph"/>
        <w:numPr>
          <w:ilvl w:val="0"/>
          <w:numId w:val="2"/>
        </w:numPr>
        <w:adjustRightInd w:val="0"/>
        <w:snapToGrid w:val="0"/>
        <w:spacing w:before="120" w:after="120" w:line="240" w:lineRule="auto"/>
        <w:ind w:left="1134" w:hanging="425"/>
        <w:contextualSpacing w:val="0"/>
        <w:jc w:val="both"/>
        <w:rPr>
          <w:bCs/>
          <w:sz w:val="24"/>
          <w:szCs w:val="24"/>
          <w:lang w:val="en-US"/>
        </w:rPr>
      </w:pPr>
      <w:r>
        <w:rPr>
          <w:bCs/>
          <w:sz w:val="24"/>
          <w:szCs w:val="24"/>
          <w:lang w:val="en-US"/>
        </w:rPr>
        <w:t>A</w:t>
      </w:r>
      <w:r w:rsidR="00EF47D7" w:rsidRPr="00B40040">
        <w:rPr>
          <w:bCs/>
          <w:sz w:val="24"/>
          <w:szCs w:val="24"/>
          <w:lang w:val="en-US"/>
        </w:rPr>
        <w:t xml:space="preserve">greements with OECD and UN Publications to </w:t>
      </w:r>
      <w:r w:rsidR="002E06D0" w:rsidRPr="00B40040">
        <w:rPr>
          <w:bCs/>
          <w:sz w:val="24"/>
          <w:szCs w:val="24"/>
          <w:lang w:val="en-US"/>
        </w:rPr>
        <w:t>include</w:t>
      </w:r>
      <w:r w:rsidR="00EF47D7" w:rsidRPr="00B40040">
        <w:rPr>
          <w:bCs/>
          <w:sz w:val="24"/>
          <w:szCs w:val="24"/>
          <w:lang w:val="en-US"/>
        </w:rPr>
        <w:t xml:space="preserve"> sales </w:t>
      </w:r>
      <w:r w:rsidR="002E06D0" w:rsidRPr="00B40040">
        <w:rPr>
          <w:bCs/>
          <w:sz w:val="24"/>
          <w:szCs w:val="24"/>
          <w:lang w:val="en-US"/>
        </w:rPr>
        <w:t xml:space="preserve">of digital versions of ITU </w:t>
      </w:r>
      <w:r w:rsidR="0038650A">
        <w:rPr>
          <w:bCs/>
          <w:sz w:val="24"/>
          <w:szCs w:val="24"/>
          <w:lang w:val="en-US"/>
        </w:rPr>
        <w:t>p</w:t>
      </w:r>
      <w:r w:rsidR="002E06D0" w:rsidRPr="00B40040">
        <w:rPr>
          <w:bCs/>
          <w:sz w:val="24"/>
          <w:szCs w:val="24"/>
          <w:lang w:val="en-US"/>
        </w:rPr>
        <w:t xml:space="preserve">ublications (with royalty benefits) via new platforms including the </w:t>
      </w:r>
      <w:r>
        <w:rPr>
          <w:bCs/>
          <w:sz w:val="24"/>
          <w:szCs w:val="24"/>
          <w:lang w:val="en-US"/>
        </w:rPr>
        <w:t>ITU</w:t>
      </w:r>
      <w:r w:rsidR="002E06D0" w:rsidRPr="00B40040">
        <w:rPr>
          <w:bCs/>
          <w:sz w:val="24"/>
          <w:szCs w:val="24"/>
          <w:lang w:val="en-US"/>
        </w:rPr>
        <w:t xml:space="preserve"> </w:t>
      </w:r>
      <w:proofErr w:type="spellStart"/>
      <w:r w:rsidR="002E06D0" w:rsidRPr="00B40040">
        <w:rPr>
          <w:bCs/>
          <w:sz w:val="24"/>
          <w:szCs w:val="24"/>
          <w:lang w:val="en-US"/>
        </w:rPr>
        <w:t>iLibrary</w:t>
      </w:r>
      <w:proofErr w:type="spellEnd"/>
      <w:r w:rsidR="002E06D0" w:rsidRPr="00B40040">
        <w:rPr>
          <w:bCs/>
          <w:sz w:val="24"/>
          <w:szCs w:val="24"/>
          <w:lang w:val="en-US"/>
        </w:rPr>
        <w:t xml:space="preserve">, UN Publications, the Amazon.com networks, and </w:t>
      </w:r>
      <w:proofErr w:type="spellStart"/>
      <w:r w:rsidR="002E06D0" w:rsidRPr="00B40040">
        <w:rPr>
          <w:bCs/>
          <w:sz w:val="24"/>
          <w:szCs w:val="24"/>
          <w:lang w:val="en-US"/>
        </w:rPr>
        <w:t>iBooks</w:t>
      </w:r>
      <w:proofErr w:type="spellEnd"/>
      <w:r>
        <w:rPr>
          <w:bCs/>
          <w:sz w:val="24"/>
          <w:szCs w:val="24"/>
          <w:lang w:val="en-US"/>
        </w:rPr>
        <w:t xml:space="preserve"> were implemented</w:t>
      </w:r>
      <w:r w:rsidR="002E06D0" w:rsidRPr="00B40040">
        <w:rPr>
          <w:bCs/>
          <w:sz w:val="24"/>
          <w:szCs w:val="24"/>
          <w:lang w:val="en-US"/>
        </w:rPr>
        <w:t>.</w:t>
      </w:r>
      <w:r w:rsidR="00EF47D7" w:rsidRPr="00B40040">
        <w:rPr>
          <w:bCs/>
          <w:sz w:val="24"/>
          <w:szCs w:val="24"/>
          <w:lang w:val="en-US"/>
        </w:rPr>
        <w:t xml:space="preserve"> </w:t>
      </w:r>
    </w:p>
    <w:p w14:paraId="3FB26621" w14:textId="4A3E0449" w:rsidR="0043323F" w:rsidRPr="00763E00" w:rsidRDefault="00A54CEC" w:rsidP="002E06D0">
      <w:pPr>
        <w:keepNext/>
        <w:keepLines/>
        <w:tabs>
          <w:tab w:val="clear" w:pos="567"/>
          <w:tab w:val="clear" w:pos="1134"/>
          <w:tab w:val="clear" w:pos="1701"/>
          <w:tab w:val="clear" w:pos="2268"/>
          <w:tab w:val="clear" w:pos="2835"/>
        </w:tabs>
        <w:snapToGrid w:val="0"/>
        <w:spacing w:before="240" w:after="120"/>
        <w:jc w:val="both"/>
        <w:rPr>
          <w:b/>
          <w:bCs/>
          <w:szCs w:val="24"/>
          <w:lang w:val="en-US"/>
        </w:rPr>
      </w:pPr>
      <w:bookmarkStart w:id="13" w:name="OLE_LINK8"/>
      <w:r>
        <w:rPr>
          <w:b/>
          <w:bCs/>
          <w:szCs w:val="24"/>
          <w:lang w:val="en-US"/>
        </w:rPr>
        <w:t>3</w:t>
      </w:r>
      <w:r w:rsidR="00A34178">
        <w:rPr>
          <w:b/>
          <w:bCs/>
          <w:szCs w:val="24"/>
          <w:lang w:val="en-US"/>
        </w:rPr>
        <w:t>.</w:t>
      </w:r>
      <w:r w:rsidR="002E06D0">
        <w:rPr>
          <w:b/>
          <w:bCs/>
          <w:szCs w:val="24"/>
          <w:lang w:val="en-US"/>
        </w:rPr>
        <w:t>2</w:t>
      </w:r>
      <w:r w:rsidR="0043323F" w:rsidRPr="00763E00">
        <w:rPr>
          <w:b/>
          <w:bCs/>
          <w:szCs w:val="24"/>
          <w:lang w:val="en-US"/>
        </w:rPr>
        <w:tab/>
        <w:t xml:space="preserve">Languages Distribution </w:t>
      </w:r>
    </w:p>
    <w:p w14:paraId="006AE478" w14:textId="77777777" w:rsidR="0025195F" w:rsidRDefault="0043323F" w:rsidP="0025195F">
      <w:pPr>
        <w:keepNext/>
        <w:keepLines/>
        <w:tabs>
          <w:tab w:val="clear" w:pos="567"/>
          <w:tab w:val="clear" w:pos="1134"/>
          <w:tab w:val="clear" w:pos="1701"/>
          <w:tab w:val="clear" w:pos="2268"/>
          <w:tab w:val="clear" w:pos="2835"/>
        </w:tabs>
        <w:snapToGrid w:val="0"/>
        <w:spacing w:after="120"/>
        <w:jc w:val="both"/>
        <w:rPr>
          <w:szCs w:val="24"/>
          <w:lang w:val="en-US"/>
        </w:rPr>
      </w:pPr>
      <w:r w:rsidRPr="00763E00">
        <w:rPr>
          <w:szCs w:val="24"/>
          <w:lang w:val="en-US"/>
        </w:rPr>
        <w:tab/>
        <w:t>The multilingual format in six languages (M6) is the most widely distributed (7</w:t>
      </w:r>
      <w:r w:rsidR="00B40040">
        <w:rPr>
          <w:szCs w:val="24"/>
          <w:lang w:val="en-US"/>
        </w:rPr>
        <w:t>7</w:t>
      </w:r>
      <w:r w:rsidRPr="00763E00">
        <w:rPr>
          <w:szCs w:val="24"/>
          <w:lang w:val="en-US"/>
        </w:rPr>
        <w:t xml:space="preserve">%) comprising mostly mandatory </w:t>
      </w:r>
      <w:r w:rsidR="00B61894">
        <w:rPr>
          <w:szCs w:val="24"/>
          <w:lang w:val="en-US"/>
        </w:rPr>
        <w:t>m</w:t>
      </w:r>
      <w:r w:rsidRPr="00763E00">
        <w:rPr>
          <w:szCs w:val="24"/>
          <w:lang w:val="en-US"/>
        </w:rPr>
        <w:t>aritime</w:t>
      </w:r>
      <w:r w:rsidR="00B61894">
        <w:rPr>
          <w:szCs w:val="24"/>
          <w:lang w:val="en-US"/>
        </w:rPr>
        <w:t>-related</w:t>
      </w:r>
      <w:r w:rsidRPr="00763E00">
        <w:rPr>
          <w:szCs w:val="24"/>
          <w:lang w:val="en-US"/>
        </w:rPr>
        <w:t xml:space="preserve"> </w:t>
      </w:r>
      <w:r w:rsidR="00DD0234">
        <w:rPr>
          <w:szCs w:val="24"/>
          <w:lang w:val="en-US"/>
        </w:rPr>
        <w:t>Service P</w:t>
      </w:r>
      <w:r w:rsidRPr="00763E00">
        <w:rPr>
          <w:szCs w:val="24"/>
          <w:lang w:val="en-US"/>
        </w:rPr>
        <w:t>ublications</w:t>
      </w:r>
      <w:r w:rsidR="00B61894">
        <w:rPr>
          <w:szCs w:val="24"/>
          <w:lang w:val="en-US"/>
        </w:rPr>
        <w:t xml:space="preserve"> on CD</w:t>
      </w:r>
      <w:r w:rsidRPr="00763E00">
        <w:rPr>
          <w:szCs w:val="24"/>
          <w:lang w:val="en-US"/>
        </w:rPr>
        <w:t xml:space="preserve">. This is followed by publications in </w:t>
      </w:r>
      <w:r w:rsidR="003733E8">
        <w:rPr>
          <w:szCs w:val="24"/>
          <w:lang w:val="en-US"/>
        </w:rPr>
        <w:t>English-only format at 2</w:t>
      </w:r>
      <w:r w:rsidR="00B40040">
        <w:rPr>
          <w:szCs w:val="24"/>
          <w:lang w:val="en-US"/>
        </w:rPr>
        <w:t>1</w:t>
      </w:r>
      <w:r w:rsidR="003733E8">
        <w:rPr>
          <w:szCs w:val="24"/>
          <w:lang w:val="en-US"/>
        </w:rPr>
        <w:t xml:space="preserve">% </w:t>
      </w:r>
      <w:r w:rsidR="002E06D0">
        <w:rPr>
          <w:szCs w:val="24"/>
          <w:lang w:val="en-US"/>
        </w:rPr>
        <w:t xml:space="preserve">with other </w:t>
      </w:r>
      <w:r w:rsidR="00B61894">
        <w:rPr>
          <w:szCs w:val="24"/>
          <w:lang w:val="en-US"/>
        </w:rPr>
        <w:t xml:space="preserve">language </w:t>
      </w:r>
      <w:r w:rsidR="002E06D0">
        <w:rPr>
          <w:szCs w:val="24"/>
          <w:lang w:val="en-US"/>
        </w:rPr>
        <w:t>combinations representing 2% of sales</w:t>
      </w:r>
      <w:r w:rsidRPr="00763E00">
        <w:rPr>
          <w:szCs w:val="24"/>
          <w:lang w:val="en-US"/>
        </w:rPr>
        <w:t>.</w:t>
      </w:r>
    </w:p>
    <w:p w14:paraId="65AFBC7F" w14:textId="42D30890" w:rsidR="0043323F" w:rsidRPr="00763E00" w:rsidRDefault="00A54CEC" w:rsidP="00F02693">
      <w:pPr>
        <w:keepNext/>
        <w:keepLines/>
        <w:tabs>
          <w:tab w:val="clear" w:pos="567"/>
          <w:tab w:val="clear" w:pos="1134"/>
          <w:tab w:val="clear" w:pos="1701"/>
          <w:tab w:val="clear" w:pos="2268"/>
          <w:tab w:val="clear" w:pos="2835"/>
        </w:tabs>
        <w:snapToGrid w:val="0"/>
        <w:spacing w:before="240" w:after="120"/>
        <w:jc w:val="both"/>
        <w:rPr>
          <w:b/>
          <w:bCs/>
          <w:szCs w:val="24"/>
          <w:lang w:val="en-US"/>
        </w:rPr>
      </w:pPr>
      <w:r>
        <w:rPr>
          <w:b/>
          <w:bCs/>
          <w:szCs w:val="24"/>
          <w:lang w:val="en-US"/>
        </w:rPr>
        <w:t>3</w:t>
      </w:r>
      <w:r w:rsidR="00A34178">
        <w:rPr>
          <w:b/>
          <w:bCs/>
          <w:szCs w:val="24"/>
          <w:lang w:val="en-US"/>
        </w:rPr>
        <w:t>.</w:t>
      </w:r>
      <w:r w:rsidR="00DA7CE0">
        <w:rPr>
          <w:b/>
          <w:bCs/>
          <w:szCs w:val="24"/>
          <w:lang w:val="en-US"/>
        </w:rPr>
        <w:t>3</w:t>
      </w:r>
      <w:r w:rsidR="0043323F" w:rsidRPr="00763E00">
        <w:rPr>
          <w:b/>
          <w:bCs/>
          <w:szCs w:val="24"/>
          <w:lang w:val="en-US"/>
        </w:rPr>
        <w:tab/>
        <w:t xml:space="preserve">Sales of ITU publications to members/non-members </w:t>
      </w:r>
    </w:p>
    <w:p w14:paraId="21DF528B" w14:textId="2F7F680A" w:rsidR="0043323F" w:rsidRPr="0062605C" w:rsidRDefault="00DD0234" w:rsidP="00D91521">
      <w:pPr>
        <w:pStyle w:val="ListParagraph"/>
        <w:numPr>
          <w:ilvl w:val="0"/>
          <w:numId w:val="5"/>
        </w:numPr>
        <w:snapToGrid w:val="0"/>
        <w:spacing w:after="120"/>
        <w:jc w:val="both"/>
        <w:rPr>
          <w:szCs w:val="24"/>
          <w:lang w:val="en-US"/>
        </w:rPr>
      </w:pPr>
      <w:r w:rsidRPr="0062605C">
        <w:rPr>
          <w:sz w:val="24"/>
          <w:szCs w:val="24"/>
          <w:lang w:val="en-US"/>
        </w:rPr>
        <w:t xml:space="preserve">The proportion of </w:t>
      </w:r>
      <w:r w:rsidR="0043323F" w:rsidRPr="0062605C">
        <w:rPr>
          <w:sz w:val="24"/>
          <w:szCs w:val="24"/>
          <w:lang w:val="en-US"/>
        </w:rPr>
        <w:t xml:space="preserve">sales to </w:t>
      </w:r>
      <w:r w:rsidR="00F02693">
        <w:rPr>
          <w:sz w:val="24"/>
          <w:szCs w:val="24"/>
          <w:lang w:val="en-US"/>
        </w:rPr>
        <w:t>members/non-members</w:t>
      </w:r>
      <w:r w:rsidR="0043323F" w:rsidRPr="0062605C">
        <w:rPr>
          <w:sz w:val="24"/>
          <w:szCs w:val="24"/>
          <w:lang w:val="en-US"/>
        </w:rPr>
        <w:t xml:space="preserve"> remain</w:t>
      </w:r>
      <w:r w:rsidR="00F02693">
        <w:rPr>
          <w:sz w:val="24"/>
          <w:szCs w:val="24"/>
          <w:lang w:val="en-US"/>
        </w:rPr>
        <w:t>s</w:t>
      </w:r>
      <w:r w:rsidR="0043323F" w:rsidRPr="0062605C">
        <w:rPr>
          <w:sz w:val="24"/>
          <w:szCs w:val="24"/>
          <w:lang w:val="en-US"/>
        </w:rPr>
        <w:t xml:space="preserve"> in the </w:t>
      </w:r>
      <w:r w:rsidR="00B40040" w:rsidRPr="0062605C">
        <w:rPr>
          <w:sz w:val="24"/>
          <w:szCs w:val="24"/>
          <w:lang w:val="en-US"/>
        </w:rPr>
        <w:t>range of</w:t>
      </w:r>
      <w:r w:rsidR="00D91521">
        <w:rPr>
          <w:sz w:val="24"/>
          <w:szCs w:val="24"/>
          <w:lang w:val="en-US"/>
        </w:rPr>
        <w:t xml:space="preserve"> </w:t>
      </w:r>
      <w:r w:rsidR="00F02693">
        <w:rPr>
          <w:sz w:val="24"/>
          <w:szCs w:val="24"/>
          <w:lang w:val="en-US"/>
        </w:rPr>
        <w:t>5%/95%</w:t>
      </w:r>
      <w:r w:rsidR="0043323F" w:rsidRPr="0062605C">
        <w:rPr>
          <w:sz w:val="24"/>
          <w:szCs w:val="24"/>
          <w:lang w:val="en-US"/>
        </w:rPr>
        <w:t xml:space="preserve">. For further details please see </w:t>
      </w:r>
      <w:r w:rsidR="00A54CEC" w:rsidRPr="0062605C">
        <w:rPr>
          <w:sz w:val="24"/>
          <w:szCs w:val="24"/>
          <w:lang w:val="en-US"/>
        </w:rPr>
        <w:t>d</w:t>
      </w:r>
      <w:r w:rsidR="0043323F" w:rsidRPr="0062605C">
        <w:rPr>
          <w:sz w:val="24"/>
          <w:szCs w:val="24"/>
          <w:lang w:val="en-US"/>
        </w:rPr>
        <w:t>ocument</w:t>
      </w:r>
      <w:r w:rsidR="0085675A" w:rsidRPr="0062605C">
        <w:rPr>
          <w:sz w:val="24"/>
          <w:szCs w:val="24"/>
          <w:lang w:val="en-US"/>
        </w:rPr>
        <w:t xml:space="preserve"> </w:t>
      </w:r>
      <w:hyperlink r:id="rId15" w:history="1">
        <w:r w:rsidR="001F5DDD" w:rsidRPr="0062605C">
          <w:rPr>
            <w:rStyle w:val="Hyperlink"/>
            <w:sz w:val="24"/>
            <w:szCs w:val="24"/>
            <w:lang w:val="en-US"/>
          </w:rPr>
          <w:t>C18/INF/2</w:t>
        </w:r>
      </w:hyperlink>
      <w:r w:rsidR="0043323F" w:rsidRPr="0062605C">
        <w:rPr>
          <w:sz w:val="24"/>
          <w:szCs w:val="24"/>
          <w:lang w:val="en-US"/>
        </w:rPr>
        <w:t>.</w:t>
      </w:r>
    </w:p>
    <w:bookmarkEnd w:id="13"/>
    <w:bookmarkEnd w:id="11"/>
    <w:bookmarkEnd w:id="12"/>
    <w:p w14:paraId="61E2F9DE" w14:textId="59404F4A" w:rsidR="004B0A5E" w:rsidRPr="0062605C" w:rsidRDefault="00852B1D" w:rsidP="005B7176">
      <w:pPr>
        <w:pStyle w:val="ListParagraph"/>
        <w:numPr>
          <w:ilvl w:val="0"/>
          <w:numId w:val="5"/>
        </w:numPr>
        <w:snapToGrid w:val="0"/>
        <w:spacing w:after="120"/>
        <w:jc w:val="both"/>
        <w:rPr>
          <w:rStyle w:val="Hyperlink"/>
          <w:color w:val="auto"/>
          <w:szCs w:val="24"/>
          <w:u w:val="none"/>
          <w:lang w:val="en-US"/>
        </w:rPr>
      </w:pPr>
      <w:r w:rsidRPr="0062605C">
        <w:rPr>
          <w:sz w:val="24"/>
          <w:szCs w:val="28"/>
          <w:lang w:val="en-US"/>
        </w:rPr>
        <w:t>General</w:t>
      </w:r>
      <w:r w:rsidR="00DA7CE0" w:rsidRPr="0062605C">
        <w:rPr>
          <w:sz w:val="24"/>
          <w:szCs w:val="28"/>
          <w:lang w:val="en-US"/>
        </w:rPr>
        <w:t xml:space="preserve"> s</w:t>
      </w:r>
      <w:r w:rsidR="0043323F" w:rsidRPr="0062605C">
        <w:rPr>
          <w:sz w:val="24"/>
          <w:szCs w:val="28"/>
          <w:lang w:val="en-US"/>
        </w:rPr>
        <w:t>ales figures by country can be found at</w:t>
      </w:r>
      <w:r w:rsidR="004B0A5E" w:rsidRPr="0062605C">
        <w:rPr>
          <w:sz w:val="24"/>
          <w:szCs w:val="28"/>
          <w:lang w:val="en-US"/>
        </w:rPr>
        <w:br/>
      </w:r>
      <w:hyperlink r:id="rId16" w:history="1">
        <w:r w:rsidR="00D91521" w:rsidRPr="00FD3798">
          <w:rPr>
            <w:rStyle w:val="Hyperlink"/>
            <w:sz w:val="24"/>
            <w:szCs w:val="20"/>
            <w:lang w:val="en-US"/>
          </w:rPr>
          <w:t>http://www.itu.int/en/council/2018/Documents/country-sales-2017.docx</w:t>
        </w:r>
      </w:hyperlink>
      <w:r w:rsidR="00D91521">
        <w:rPr>
          <w:rStyle w:val="Hyperlink"/>
          <w:color w:val="auto"/>
          <w:szCs w:val="24"/>
          <w:u w:val="none"/>
          <w:lang w:val="en-US"/>
        </w:rPr>
        <w:t xml:space="preserve"> </w:t>
      </w:r>
    </w:p>
    <w:p w14:paraId="378F9928" w14:textId="77777777" w:rsidR="00A54CEC" w:rsidRPr="0062605C" w:rsidRDefault="00A54CEC" w:rsidP="0062605C">
      <w:pPr>
        <w:pStyle w:val="ListParagraph"/>
        <w:snapToGrid w:val="0"/>
        <w:spacing w:after="120"/>
        <w:ind w:left="1146"/>
        <w:jc w:val="both"/>
        <w:rPr>
          <w:lang w:val="en-US"/>
        </w:rPr>
      </w:pPr>
    </w:p>
    <w:p w14:paraId="68F29F61" w14:textId="1ECA4DE0" w:rsidR="00B44823" w:rsidRPr="004B0A5E" w:rsidRDefault="00B44823" w:rsidP="0062605C">
      <w:pPr>
        <w:keepNext/>
        <w:keepLines/>
        <w:tabs>
          <w:tab w:val="clear" w:pos="567"/>
          <w:tab w:val="clear" w:pos="1134"/>
          <w:tab w:val="clear" w:pos="1701"/>
          <w:tab w:val="clear" w:pos="2268"/>
          <w:tab w:val="clear" w:pos="2835"/>
        </w:tabs>
        <w:snapToGrid w:val="0"/>
        <w:spacing w:before="240" w:after="120"/>
        <w:ind w:firstLine="709"/>
        <w:jc w:val="center"/>
        <w:rPr>
          <w:szCs w:val="24"/>
          <w:lang w:val="en-US"/>
        </w:rPr>
      </w:pPr>
      <w:r w:rsidRPr="004B0A5E">
        <w:rPr>
          <w:szCs w:val="24"/>
          <w:lang w:val="en-US"/>
        </w:rPr>
        <w:t>__________________</w:t>
      </w:r>
    </w:p>
    <w:sectPr w:rsidR="00B44823" w:rsidRPr="004B0A5E" w:rsidSect="004D1851">
      <w:headerReference w:type="default" r:id="rId17"/>
      <w:footerReference w:type="first" r:id="rId18"/>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89397C" w14:textId="77777777" w:rsidR="002E7773" w:rsidRDefault="002E7773">
      <w:r>
        <w:separator/>
      </w:r>
    </w:p>
  </w:endnote>
  <w:endnote w:type="continuationSeparator" w:id="0">
    <w:p w14:paraId="369B034F" w14:textId="77777777" w:rsidR="002E7773" w:rsidRDefault="002E77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05CE" w14:textId="77777777" w:rsidR="00322D0D" w:rsidRDefault="00322D0D">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C9BA5C" w14:textId="77777777" w:rsidR="002E7773" w:rsidRDefault="002E7773">
      <w:r>
        <w:t>____________________</w:t>
      </w:r>
    </w:p>
  </w:footnote>
  <w:footnote w:type="continuationSeparator" w:id="0">
    <w:p w14:paraId="20320B6D" w14:textId="77777777" w:rsidR="002E7773" w:rsidRDefault="002E77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BEF092" w14:textId="77777777" w:rsidR="00322D0D" w:rsidRDefault="006535F1" w:rsidP="00CE433C">
    <w:pPr>
      <w:pStyle w:val="Header"/>
    </w:pPr>
    <w:r>
      <w:fldChar w:fldCharType="begin"/>
    </w:r>
    <w:r>
      <w:instrText>PAGE</w:instrText>
    </w:r>
    <w:r>
      <w:fldChar w:fldCharType="separate"/>
    </w:r>
    <w:r w:rsidR="00651363">
      <w:rPr>
        <w:noProof/>
      </w:rPr>
      <w:t>3</w:t>
    </w:r>
    <w:r>
      <w:rPr>
        <w:noProof/>
      </w:rPr>
      <w:fldChar w:fldCharType="end"/>
    </w:r>
  </w:p>
  <w:p w14:paraId="0C1FF85E" w14:textId="10468001" w:rsidR="00322D0D" w:rsidRDefault="00D91521" w:rsidP="005243FF">
    <w:pPr>
      <w:pStyle w:val="Header"/>
    </w:pPr>
    <w:r>
      <w:t>C18</w:t>
    </w:r>
    <w:r w:rsidR="0043323F">
      <w:t>/21-E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C782031"/>
    <w:multiLevelType w:val="hybridMultilevel"/>
    <w:tmpl w:val="75CA38C2"/>
    <w:lvl w:ilvl="0" w:tplc="E092D69A">
      <w:start w:val="1"/>
      <w:numFmt w:val="lowerLetter"/>
      <w:lvlText w:val="%1."/>
      <w:lvlJc w:val="left"/>
      <w:pPr>
        <w:ind w:left="1146" w:hanging="360"/>
      </w:pPr>
      <w:rPr>
        <w:b/>
        <w:bCs/>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 w15:restartNumberingAfterBreak="0">
    <w:nsid w:val="2E8B4236"/>
    <w:multiLevelType w:val="hybridMultilevel"/>
    <w:tmpl w:val="9552D380"/>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 w15:restartNumberingAfterBreak="0">
    <w:nsid w:val="67783579"/>
    <w:multiLevelType w:val="hybridMultilevel"/>
    <w:tmpl w:val="5DEA3970"/>
    <w:lvl w:ilvl="0" w:tplc="DE8E8DFA">
      <w:start w:val="1"/>
      <w:numFmt w:val="lowerLetter"/>
      <w:lvlText w:val="%1."/>
      <w:lvlJc w:val="left"/>
      <w:pPr>
        <w:ind w:left="1069" w:hanging="360"/>
      </w:pPr>
      <w:rPr>
        <w:rFonts w:ascii="Calibri" w:eastAsia="Times New Roman" w:hAnsi="Calibri" w:cs="Times New Roman"/>
        <w:b/>
        <w:bCs w:val="0"/>
        <w:sz w:val="24"/>
        <w:szCs w:val="24"/>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15:restartNumberingAfterBreak="0">
    <w:nsid w:val="6CA2563A"/>
    <w:multiLevelType w:val="hybridMultilevel"/>
    <w:tmpl w:val="C11CD656"/>
    <w:lvl w:ilvl="0" w:tplc="E7240874">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23F"/>
    <w:rsid w:val="000210D4"/>
    <w:rsid w:val="00063016"/>
    <w:rsid w:val="00066795"/>
    <w:rsid w:val="00076AF6"/>
    <w:rsid w:val="00085CF2"/>
    <w:rsid w:val="000B1705"/>
    <w:rsid w:val="000C2D0E"/>
    <w:rsid w:val="000D4FAB"/>
    <w:rsid w:val="000D75B2"/>
    <w:rsid w:val="00102AF4"/>
    <w:rsid w:val="001121F5"/>
    <w:rsid w:val="00123A22"/>
    <w:rsid w:val="001400DC"/>
    <w:rsid w:val="00140CE1"/>
    <w:rsid w:val="00152223"/>
    <w:rsid w:val="00157B4D"/>
    <w:rsid w:val="0017539C"/>
    <w:rsid w:val="00175AC2"/>
    <w:rsid w:val="0017609F"/>
    <w:rsid w:val="00183B74"/>
    <w:rsid w:val="001A5DD2"/>
    <w:rsid w:val="001C4F87"/>
    <w:rsid w:val="001C628E"/>
    <w:rsid w:val="001D09FC"/>
    <w:rsid w:val="001E0F7B"/>
    <w:rsid w:val="001F5DDD"/>
    <w:rsid w:val="00202FD4"/>
    <w:rsid w:val="002119FD"/>
    <w:rsid w:val="002130E0"/>
    <w:rsid w:val="002206C7"/>
    <w:rsid w:val="0022569B"/>
    <w:rsid w:val="00232E52"/>
    <w:rsid w:val="0025195F"/>
    <w:rsid w:val="00262FB0"/>
    <w:rsid w:val="00264425"/>
    <w:rsid w:val="00265875"/>
    <w:rsid w:val="0027303B"/>
    <w:rsid w:val="0028109B"/>
    <w:rsid w:val="002B1F58"/>
    <w:rsid w:val="002C1C7A"/>
    <w:rsid w:val="002E06D0"/>
    <w:rsid w:val="002E595B"/>
    <w:rsid w:val="002E7773"/>
    <w:rsid w:val="002F2D07"/>
    <w:rsid w:val="002F6489"/>
    <w:rsid w:val="0030160F"/>
    <w:rsid w:val="00322D0D"/>
    <w:rsid w:val="00325464"/>
    <w:rsid w:val="00346E56"/>
    <w:rsid w:val="003733E8"/>
    <w:rsid w:val="0038650A"/>
    <w:rsid w:val="003866C2"/>
    <w:rsid w:val="003942D4"/>
    <w:rsid w:val="003958A8"/>
    <w:rsid w:val="003A4045"/>
    <w:rsid w:val="003C2533"/>
    <w:rsid w:val="003D4296"/>
    <w:rsid w:val="003E37B7"/>
    <w:rsid w:val="0040435A"/>
    <w:rsid w:val="00416A24"/>
    <w:rsid w:val="00431D9E"/>
    <w:rsid w:val="0043323F"/>
    <w:rsid w:val="00433CE8"/>
    <w:rsid w:val="00434A5C"/>
    <w:rsid w:val="0045009A"/>
    <w:rsid w:val="004544D9"/>
    <w:rsid w:val="004747C4"/>
    <w:rsid w:val="00490E72"/>
    <w:rsid w:val="00491157"/>
    <w:rsid w:val="004921C8"/>
    <w:rsid w:val="004B0A5E"/>
    <w:rsid w:val="004C79E2"/>
    <w:rsid w:val="004D1851"/>
    <w:rsid w:val="004D599D"/>
    <w:rsid w:val="004E2EA5"/>
    <w:rsid w:val="004E3AEB"/>
    <w:rsid w:val="0050223C"/>
    <w:rsid w:val="005243FF"/>
    <w:rsid w:val="00564FBC"/>
    <w:rsid w:val="00582442"/>
    <w:rsid w:val="005A1C39"/>
    <w:rsid w:val="005B7176"/>
    <w:rsid w:val="005D24EF"/>
    <w:rsid w:val="005E4ECC"/>
    <w:rsid w:val="005F0015"/>
    <w:rsid w:val="005F1911"/>
    <w:rsid w:val="005F6409"/>
    <w:rsid w:val="0062605C"/>
    <w:rsid w:val="0064737F"/>
    <w:rsid w:val="00651363"/>
    <w:rsid w:val="006535F1"/>
    <w:rsid w:val="0065557D"/>
    <w:rsid w:val="00662984"/>
    <w:rsid w:val="006665E1"/>
    <w:rsid w:val="006716BB"/>
    <w:rsid w:val="00680D29"/>
    <w:rsid w:val="006B6680"/>
    <w:rsid w:val="006B6DCC"/>
    <w:rsid w:val="006E7741"/>
    <w:rsid w:val="006F329D"/>
    <w:rsid w:val="00702DEF"/>
    <w:rsid w:val="00706861"/>
    <w:rsid w:val="007117D5"/>
    <w:rsid w:val="0075051B"/>
    <w:rsid w:val="00772EE5"/>
    <w:rsid w:val="00790A46"/>
    <w:rsid w:val="00794D34"/>
    <w:rsid w:val="007C4968"/>
    <w:rsid w:val="007F5660"/>
    <w:rsid w:val="00813E5E"/>
    <w:rsid w:val="008200C4"/>
    <w:rsid w:val="0083581B"/>
    <w:rsid w:val="00852B1D"/>
    <w:rsid w:val="0085675A"/>
    <w:rsid w:val="00864AFF"/>
    <w:rsid w:val="00866A5D"/>
    <w:rsid w:val="00887C6B"/>
    <w:rsid w:val="008A7511"/>
    <w:rsid w:val="008B4A6A"/>
    <w:rsid w:val="008C5CA7"/>
    <w:rsid w:val="008C7E27"/>
    <w:rsid w:val="008F4E16"/>
    <w:rsid w:val="00915F7D"/>
    <w:rsid w:val="009173EF"/>
    <w:rsid w:val="00932906"/>
    <w:rsid w:val="00961B0B"/>
    <w:rsid w:val="009971A1"/>
    <w:rsid w:val="009B38C3"/>
    <w:rsid w:val="009B4147"/>
    <w:rsid w:val="009E17BD"/>
    <w:rsid w:val="00A04CEC"/>
    <w:rsid w:val="00A175C2"/>
    <w:rsid w:val="00A2191B"/>
    <w:rsid w:val="00A27F92"/>
    <w:rsid w:val="00A32257"/>
    <w:rsid w:val="00A34178"/>
    <w:rsid w:val="00A36D20"/>
    <w:rsid w:val="00A37FF0"/>
    <w:rsid w:val="00A45A32"/>
    <w:rsid w:val="00A54CEC"/>
    <w:rsid w:val="00A55622"/>
    <w:rsid w:val="00A57266"/>
    <w:rsid w:val="00A73E86"/>
    <w:rsid w:val="00A83502"/>
    <w:rsid w:val="00A9639F"/>
    <w:rsid w:val="00AB2116"/>
    <w:rsid w:val="00AC129F"/>
    <w:rsid w:val="00AD15B3"/>
    <w:rsid w:val="00AD3DA1"/>
    <w:rsid w:val="00AF14AC"/>
    <w:rsid w:val="00AF6E49"/>
    <w:rsid w:val="00B04A67"/>
    <w:rsid w:val="00B0583C"/>
    <w:rsid w:val="00B06E58"/>
    <w:rsid w:val="00B33DEB"/>
    <w:rsid w:val="00B40040"/>
    <w:rsid w:val="00B40A81"/>
    <w:rsid w:val="00B410A5"/>
    <w:rsid w:val="00B44823"/>
    <w:rsid w:val="00B44910"/>
    <w:rsid w:val="00B61894"/>
    <w:rsid w:val="00B72267"/>
    <w:rsid w:val="00B76EB6"/>
    <w:rsid w:val="00B7737B"/>
    <w:rsid w:val="00B824C8"/>
    <w:rsid w:val="00BA275F"/>
    <w:rsid w:val="00BB212A"/>
    <w:rsid w:val="00BC251A"/>
    <w:rsid w:val="00BD032B"/>
    <w:rsid w:val="00BE2640"/>
    <w:rsid w:val="00C01189"/>
    <w:rsid w:val="00C276DF"/>
    <w:rsid w:val="00C33337"/>
    <w:rsid w:val="00C374DE"/>
    <w:rsid w:val="00C472D4"/>
    <w:rsid w:val="00C47AD4"/>
    <w:rsid w:val="00C52D81"/>
    <w:rsid w:val="00C55198"/>
    <w:rsid w:val="00C649DD"/>
    <w:rsid w:val="00CA6393"/>
    <w:rsid w:val="00CB18FF"/>
    <w:rsid w:val="00CB3052"/>
    <w:rsid w:val="00CD0C08"/>
    <w:rsid w:val="00CE03FB"/>
    <w:rsid w:val="00CE433C"/>
    <w:rsid w:val="00CF33F3"/>
    <w:rsid w:val="00D051C6"/>
    <w:rsid w:val="00D06183"/>
    <w:rsid w:val="00D22C42"/>
    <w:rsid w:val="00D54F7B"/>
    <w:rsid w:val="00D65041"/>
    <w:rsid w:val="00D6687D"/>
    <w:rsid w:val="00D7078B"/>
    <w:rsid w:val="00D91521"/>
    <w:rsid w:val="00DA1B44"/>
    <w:rsid w:val="00DA3066"/>
    <w:rsid w:val="00DA7CE0"/>
    <w:rsid w:val="00DB384B"/>
    <w:rsid w:val="00DD0234"/>
    <w:rsid w:val="00E02C05"/>
    <w:rsid w:val="00E03EF9"/>
    <w:rsid w:val="00E07793"/>
    <w:rsid w:val="00E10E80"/>
    <w:rsid w:val="00E12426"/>
    <w:rsid w:val="00E124F0"/>
    <w:rsid w:val="00E20809"/>
    <w:rsid w:val="00E40570"/>
    <w:rsid w:val="00E60F04"/>
    <w:rsid w:val="00E854E4"/>
    <w:rsid w:val="00EA1EAE"/>
    <w:rsid w:val="00EA3511"/>
    <w:rsid w:val="00EB0D6F"/>
    <w:rsid w:val="00EB2232"/>
    <w:rsid w:val="00EC5337"/>
    <w:rsid w:val="00EC71FB"/>
    <w:rsid w:val="00EF04AD"/>
    <w:rsid w:val="00EF47D7"/>
    <w:rsid w:val="00F02693"/>
    <w:rsid w:val="00F2150A"/>
    <w:rsid w:val="00F231D8"/>
    <w:rsid w:val="00F46C5F"/>
    <w:rsid w:val="00F47E0B"/>
    <w:rsid w:val="00F50680"/>
    <w:rsid w:val="00F62E27"/>
    <w:rsid w:val="00F75EF9"/>
    <w:rsid w:val="00F8784B"/>
    <w:rsid w:val="00F94A63"/>
    <w:rsid w:val="00FA1C28"/>
    <w:rsid w:val="00FA1DE3"/>
    <w:rsid w:val="00FB7596"/>
    <w:rsid w:val="00FE4077"/>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4CD25BA0"/>
  <w15:docId w15:val="{2AE812C0-AB66-4232-88A9-21612BF2E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813E5E"/>
    <w:pPr>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rsid w:val="00813E5E"/>
  </w:style>
  <w:style w:type="character" w:styleId="Hyperlink">
    <w:name w:val="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Title4">
    <w:name w:val="Title 4"/>
    <w:basedOn w:val="Title3"/>
    <w:next w:val="Heading1"/>
    <w:rsid w:val="004D1851"/>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43323F"/>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paragraph" w:styleId="ListParagraph">
    <w:name w:val="List Paragraph"/>
    <w:basedOn w:val="Normal"/>
    <w:uiPriority w:val="34"/>
    <w:qFormat/>
    <w:rsid w:val="0043323F"/>
    <w:pPr>
      <w:tabs>
        <w:tab w:val="clear" w:pos="567"/>
        <w:tab w:val="clear" w:pos="1134"/>
        <w:tab w:val="clear" w:pos="1701"/>
        <w:tab w:val="clear" w:pos="2268"/>
        <w:tab w:val="clear" w:pos="2835"/>
      </w:tabs>
      <w:overflowPunct/>
      <w:autoSpaceDE/>
      <w:autoSpaceDN/>
      <w:adjustRightInd/>
      <w:spacing w:before="0" w:after="200" w:line="276" w:lineRule="auto"/>
      <w:ind w:left="720"/>
      <w:contextualSpacing/>
      <w:textAlignment w:val="auto"/>
    </w:pPr>
    <w:rPr>
      <w:rFonts w:asciiTheme="minorHAnsi" w:eastAsiaTheme="minorEastAsia" w:hAnsiTheme="minorHAnsi" w:cstheme="minorBidi"/>
      <w:sz w:val="22"/>
      <w:szCs w:val="22"/>
      <w:lang w:val="fr-CH" w:eastAsia="zh-CN"/>
    </w:rPr>
  </w:style>
  <w:style w:type="paragraph" w:styleId="BalloonText">
    <w:name w:val="Balloon Text"/>
    <w:basedOn w:val="Normal"/>
    <w:link w:val="BalloonTextChar"/>
    <w:semiHidden/>
    <w:unhideWhenUsed/>
    <w:rsid w:val="000C2D0E"/>
    <w:pPr>
      <w:spacing w:before="0"/>
    </w:pPr>
    <w:rPr>
      <w:rFonts w:ascii="Times New Roman" w:hAnsi="Times New Roman"/>
      <w:sz w:val="18"/>
      <w:szCs w:val="18"/>
    </w:rPr>
  </w:style>
  <w:style w:type="character" w:customStyle="1" w:styleId="BalloonTextChar">
    <w:name w:val="Balloon Text Char"/>
    <w:basedOn w:val="DefaultParagraphFont"/>
    <w:link w:val="BalloonText"/>
    <w:semiHidden/>
    <w:rsid w:val="000C2D0E"/>
    <w:rPr>
      <w:rFonts w:ascii="Times New Roman" w:hAnsi="Times New Roman"/>
      <w:sz w:val="18"/>
      <w:szCs w:val="18"/>
      <w:lang w:val="en-GB" w:eastAsia="en-US"/>
    </w:rPr>
  </w:style>
  <w:style w:type="table" w:styleId="TableGrid">
    <w:name w:val="Table Grid"/>
    <w:basedOn w:val="TableNormal"/>
    <w:rsid w:val="00AD3D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2881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tu.int/pub/S-CONF-ACTF-2014"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tu.int/council/Basic-Texts/ResDecRec-PP10-e.doc"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itu.int/en/council/2018/Documents/country-sales-2017.doc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itu.int/md/S18-CL-INF-0002/en"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S18-CL-INF-0002/en"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39CFAE3DE746A4685A8753B6C2499EA" ma:contentTypeVersion="0" ma:contentTypeDescription="Create a new document." ma:contentTypeScope="" ma:versionID="7a8b0435e6fb22d8444e7940a317a1f1">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93AA8A-D82A-4854-93C5-242DE2C7190C}">
  <ds:schemaRefs>
    <ds:schemaRef ds:uri="http://schemas.microsoft.com/sharepoint/v3/contenttype/forms"/>
  </ds:schemaRefs>
</ds:datastoreItem>
</file>

<file path=customXml/itemProps2.xml><?xml version="1.0" encoding="utf-8"?>
<ds:datastoreItem xmlns:ds="http://schemas.openxmlformats.org/officeDocument/2006/customXml" ds:itemID="{23EDDAD7-18AD-4AB4-9D10-4958ECFE98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F12A55B-6A65-48A1-81BC-E3B9E137B6D0}">
  <ds:schemaRefs>
    <ds:schemaRef ds:uri="http://schemas.microsoft.com/office/2006/documentManagement/types"/>
    <ds:schemaRef ds:uri="http://purl.org/dc/elements/1.1/"/>
    <ds:schemaRef ds:uri="http://www.w3.org/XML/1998/namespace"/>
    <ds:schemaRef ds:uri="http://purl.org/dc/terms/"/>
    <ds:schemaRef ds:uri="http://purl.org/dc/dcmitype/"/>
    <ds:schemaRef ds:uri="http://schemas.openxmlformats.org/package/2006/metadata/core-propertie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6F5DFFB-E5AB-4B9A-91F3-B626448866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673</Words>
  <Characters>4319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Sales of and free online acces to online publications</vt:lpstr>
    </vt:vector>
  </TitlesOfParts>
  <Manager>General Secretariat - Pool</Manager>
  <Company>International Telecommunication Union (ITU)</Company>
  <LinksUpToDate>false</LinksUpToDate>
  <CharactersWithSpaces>4983</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Sales of and free online acces to online publications</dc:title>
  <dc:subject>Council 2017</dc:subject>
  <dc:creator>Brouard, Ricarda</dc:creator>
  <cp:keywords>C2018, C18</cp:keywords>
  <dc:description/>
  <cp:lastModifiedBy>Janin</cp:lastModifiedBy>
  <cp:revision>7</cp:revision>
  <cp:lastPrinted>2018-02-28T08:04:00Z</cp:lastPrinted>
  <dcterms:created xsi:type="dcterms:W3CDTF">2018-03-06T06:47:00Z</dcterms:created>
  <dcterms:modified xsi:type="dcterms:W3CDTF">2018-03-08T12:45:00Z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0x010100439CFAE3DE746A4685A8753B6C2499EA</vt:lpwstr>
  </property>
</Properties>
</file>