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FE7FCA">
            <w:pPr>
              <w:spacing w:before="160"/>
              <w:jc w:val="left"/>
              <w:rPr>
                <w:b/>
                <w:bCs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2018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27-17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أبريل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2018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9C795A" w:rsidRDefault="009C795A" w:rsidP="002926FC">
            <w:pPr>
              <w:spacing w:before="20" w:after="20" w:line="300" w:lineRule="exact"/>
              <w:rPr>
                <w:b/>
                <w:bCs/>
                <w:lang w:bidi="ar-EG"/>
              </w:rPr>
            </w:pPr>
            <w:r w:rsidRPr="009C795A"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9C795A">
              <w:rPr>
                <w:b/>
                <w:bCs/>
                <w:lang w:bidi="ar-EG"/>
              </w:rPr>
              <w:t>PL 4.1</w:t>
            </w:r>
          </w:p>
        </w:tc>
        <w:tc>
          <w:tcPr>
            <w:tcW w:w="3052" w:type="dxa"/>
            <w:vAlign w:val="center"/>
          </w:tcPr>
          <w:p w:rsidR="00290728" w:rsidRPr="00290728" w:rsidRDefault="009C795A" w:rsidP="002926FC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9C795A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9C795A">
              <w:rPr>
                <w:b/>
                <w:bCs/>
                <w:lang w:bidi="ar-EG"/>
              </w:rPr>
              <w:t>C18/21-A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2926FC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9C795A" w:rsidP="002926FC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9C795A">
              <w:rPr>
                <w:b/>
                <w:bCs/>
                <w:lang w:bidi="ar-SY"/>
              </w:rPr>
              <w:t>8</w:t>
            </w:r>
            <w:r w:rsidRPr="009C795A">
              <w:rPr>
                <w:rFonts w:hint="cs"/>
                <w:b/>
                <w:bCs/>
                <w:rtl/>
                <w:lang w:bidi="ar-EG"/>
              </w:rPr>
              <w:t xml:space="preserve"> مارس </w:t>
            </w:r>
            <w:r w:rsidRPr="009C795A">
              <w:rPr>
                <w:b/>
                <w:bCs/>
                <w:lang w:bidi="ar-SY"/>
              </w:rPr>
              <w:t>2018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2926FC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9C795A" w:rsidP="002926FC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9C795A">
              <w:rPr>
                <w:b/>
                <w:bCs/>
                <w:rtl/>
                <w:lang w:bidi="ar-EG"/>
              </w:rPr>
              <w:t xml:space="preserve">الأصل: </w:t>
            </w:r>
            <w:r w:rsidRPr="009C795A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9C795A" w:rsidP="009C795A">
            <w:pPr>
              <w:pStyle w:val="Source"/>
              <w:rPr>
                <w:rtl/>
                <w:lang w:bidi="ar-SY"/>
              </w:rPr>
            </w:pPr>
            <w:r w:rsidRPr="009C795A">
              <w:rPr>
                <w:rFonts w:hint="cs"/>
                <w:rtl/>
              </w:rPr>
              <w:t>تقرير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383829" w:rsidRDefault="009C795A" w:rsidP="0004721C">
            <w:pPr>
              <w:pStyle w:val="Title1"/>
              <w:rPr>
                <w:rtl/>
              </w:rPr>
            </w:pPr>
            <w:r w:rsidRPr="009C795A">
              <w:rPr>
                <w:rFonts w:hint="cs"/>
                <w:rtl/>
              </w:rPr>
              <w:t>مبيعات منشورات الاتحاد</w:t>
            </w:r>
            <w:r w:rsidRPr="009C795A">
              <w:rPr>
                <w:rtl/>
              </w:rPr>
              <w:t xml:space="preserve"> الدولي للاتصالات</w:t>
            </w:r>
            <w:r w:rsidR="0004721C">
              <w:rPr>
                <w:rtl/>
              </w:rPr>
              <w:br/>
            </w:r>
            <w:r w:rsidRPr="009C795A">
              <w:rPr>
                <w:rFonts w:hint="cs"/>
                <w:rtl/>
              </w:rPr>
              <w:t>والنفاذ الإلكتروني المجاني إليها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A6683B" w:rsidP="00383829">
            <w:pPr>
              <w:pStyle w:val="Title2"/>
              <w:framePr w:hSpace="0" w:wrap="auto" w:yAlign="inline"/>
              <w:rPr>
                <w:rtl/>
                <w:lang w:bidi="ar-EG"/>
              </w:rPr>
            </w:pPr>
          </w:p>
        </w:tc>
      </w:tr>
    </w:tbl>
    <w:p w:rsidR="00706D7A" w:rsidRDefault="00706D7A" w:rsidP="002154EE">
      <w:bookmarkStart w:id="1" w:name="_GoBack"/>
      <w:bookmarkEnd w:id="1"/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290728" w:rsidTr="009C795A">
        <w:trPr>
          <w:jc w:val="center"/>
        </w:trPr>
        <w:tc>
          <w:tcPr>
            <w:tcW w:w="7513" w:type="dxa"/>
          </w:tcPr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:rsidR="009C795A" w:rsidRPr="000E4FF0" w:rsidRDefault="009C795A" w:rsidP="009C795A">
            <w:pPr>
              <w:tabs>
                <w:tab w:val="clear" w:pos="1134"/>
              </w:tabs>
              <w:rPr>
                <w:rtl/>
                <w:lang w:bidi="ar-SY"/>
              </w:rPr>
            </w:pPr>
            <w:r w:rsidRPr="003B2257">
              <w:rPr>
                <w:rFonts w:eastAsia="SimSun" w:hint="cs"/>
                <w:rtl/>
              </w:rPr>
              <w:t xml:space="preserve">كلّف مؤتمر المندوبين المفوضين الأمين العام بموجب المقرر </w:t>
            </w:r>
            <w:r w:rsidRPr="003B2257">
              <w:rPr>
                <w:rFonts w:eastAsia="SimSun"/>
              </w:rPr>
              <w:t>12</w:t>
            </w:r>
            <w:r w:rsidRPr="003B2257">
              <w:rPr>
                <w:rFonts w:eastAsia="SimSun" w:hint="cs"/>
                <w:rtl/>
              </w:rPr>
              <w:t xml:space="preserve"> (المراجَع في بوسان، </w:t>
            </w:r>
            <w:r w:rsidRPr="003B2257">
              <w:rPr>
                <w:rFonts w:eastAsia="SimSun"/>
              </w:rPr>
              <w:t>2014</w:t>
            </w:r>
            <w:r w:rsidRPr="003B2257">
              <w:rPr>
                <w:rFonts w:eastAsia="SimSun" w:hint="cs"/>
                <w:rtl/>
              </w:rPr>
              <w:t xml:space="preserve">)، بإعداد تقرير </w:t>
            </w:r>
            <w:r>
              <w:rPr>
                <w:rFonts w:eastAsia="SimSun" w:hint="cs"/>
                <w:rtl/>
              </w:rPr>
              <w:t>سنوي</w:t>
            </w:r>
            <w:r w:rsidRPr="003B2257">
              <w:rPr>
                <w:rFonts w:eastAsia="SimSun" w:hint="cs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 xml:space="preserve">وتحديثه تباعاً </w:t>
            </w:r>
            <w:r w:rsidRPr="003B2257">
              <w:rPr>
                <w:rFonts w:eastAsia="SimSun" w:hint="cs"/>
                <w:rtl/>
              </w:rPr>
              <w:t xml:space="preserve">عن المبيعات والتنزيلات المجانية لمنشورات الاتحاد وبرمجياته وقواعد بياناته، </w:t>
            </w:r>
            <w:r>
              <w:rPr>
                <w:rFonts w:eastAsia="SimSun" w:hint="cs"/>
                <w:rtl/>
              </w:rPr>
              <w:t xml:space="preserve">وتقديم </w:t>
            </w:r>
            <w:r w:rsidRPr="003B2257">
              <w:rPr>
                <w:rFonts w:eastAsia="SimSun" w:hint="cs"/>
                <w:rtl/>
              </w:rPr>
              <w:t>هذا التقرير إلى المجلس.</w:t>
            </w:r>
          </w:p>
          <w:p w:rsidR="009C795A" w:rsidRPr="000E4FF0" w:rsidRDefault="009C795A" w:rsidP="009C795A">
            <w:pPr>
              <w:tabs>
                <w:tab w:val="clear" w:pos="1134"/>
              </w:tabs>
              <w:spacing w:before="160"/>
              <w:rPr>
                <w:b/>
                <w:bCs/>
                <w:rtl/>
                <w:lang w:bidi="ar-SY"/>
              </w:rPr>
            </w:pPr>
            <w:r w:rsidRPr="000E4FF0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:rsidR="009C795A" w:rsidRPr="000E4FF0" w:rsidRDefault="009C795A" w:rsidP="009C795A">
            <w:pPr>
              <w:tabs>
                <w:tab w:val="clear" w:pos="1134"/>
              </w:tabs>
              <w:rPr>
                <w:rtl/>
                <w:lang w:bidi="ar-SY"/>
              </w:rPr>
            </w:pPr>
            <w:r w:rsidRPr="003B2257">
              <w:rPr>
                <w:rFonts w:eastAsia="SimSun" w:hint="cs"/>
                <w:b/>
                <w:rtl/>
              </w:rPr>
              <w:t xml:space="preserve">يُدعى </w:t>
            </w:r>
            <w:r w:rsidRPr="003B2257">
              <w:rPr>
                <w:rFonts w:eastAsia="SimSun"/>
                <w:b/>
                <w:rtl/>
              </w:rPr>
              <w:t xml:space="preserve">المجلس إلى </w:t>
            </w:r>
            <w:r w:rsidRPr="003B2257">
              <w:rPr>
                <w:rFonts w:eastAsia="SimSun"/>
                <w:b/>
                <w:bCs/>
                <w:rtl/>
              </w:rPr>
              <w:t xml:space="preserve">الإحاطة علماً </w:t>
            </w:r>
            <w:r w:rsidRPr="003B2257">
              <w:rPr>
                <w:rFonts w:eastAsia="SimSun"/>
                <w:rtl/>
              </w:rPr>
              <w:t>بهذ</w:t>
            </w:r>
            <w:r w:rsidRPr="003B2257">
              <w:rPr>
                <w:rFonts w:eastAsia="SimSun" w:hint="cs"/>
                <w:rtl/>
              </w:rPr>
              <w:t>ا التقرير.</w:t>
            </w:r>
          </w:p>
          <w:p w:rsidR="009C795A" w:rsidRPr="000E4FF0" w:rsidRDefault="009C795A" w:rsidP="009C795A">
            <w:pPr>
              <w:tabs>
                <w:tab w:val="clear" w:pos="1134"/>
              </w:tabs>
              <w:jc w:val="center"/>
              <w:rPr>
                <w:rtl/>
                <w:lang w:bidi="ar-SY"/>
              </w:rPr>
            </w:pPr>
            <w:r w:rsidRPr="000E4FF0">
              <w:rPr>
                <w:rFonts w:hint="cs"/>
                <w:rtl/>
                <w:lang w:bidi="ar-SY"/>
              </w:rPr>
              <w:t>_________</w:t>
            </w:r>
          </w:p>
          <w:p w:rsidR="009C795A" w:rsidRPr="000E4FF0" w:rsidRDefault="009C795A" w:rsidP="009C795A">
            <w:pPr>
              <w:tabs>
                <w:tab w:val="clear" w:pos="1134"/>
              </w:tabs>
              <w:spacing w:before="160"/>
              <w:rPr>
                <w:b/>
                <w:bCs/>
                <w:rtl/>
                <w:lang w:bidi="ar-SY"/>
              </w:rPr>
            </w:pPr>
            <w:r w:rsidRPr="000E4FF0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:rsidR="00290728" w:rsidRPr="00766AF4" w:rsidRDefault="009C795A" w:rsidP="009C795A">
            <w:pPr>
              <w:spacing w:after="120"/>
              <w:jc w:val="left"/>
              <w:rPr>
                <w:i/>
                <w:iCs/>
                <w:spacing w:val="-5"/>
                <w:rtl/>
                <w:lang w:bidi="ar-SY"/>
              </w:rPr>
            </w:pPr>
            <w:r w:rsidRPr="00766AF4">
              <w:rPr>
                <w:rFonts w:eastAsia="SimSun" w:hint="cs"/>
                <w:spacing w:val="-5"/>
                <w:rtl/>
              </w:rPr>
              <w:t xml:space="preserve">الوثيقة </w:t>
            </w:r>
            <w:hyperlink r:id="rId9" w:history="1">
              <w:r w:rsidRPr="00766AF4">
                <w:rPr>
                  <w:rStyle w:val="Hyperlink"/>
                  <w:spacing w:val="-5"/>
                </w:rPr>
                <w:t>C18/INF/2</w:t>
              </w:r>
            </w:hyperlink>
            <w:r w:rsidRPr="00766AF4">
              <w:rPr>
                <w:rFonts w:hint="cs"/>
                <w:spacing w:val="-5"/>
                <w:rtl/>
              </w:rPr>
              <w:t xml:space="preserve">؛ </w:t>
            </w:r>
            <w:hyperlink r:id="rId10" w:anchor="res66" w:history="1">
              <w:r w:rsidRPr="00766AF4">
                <w:rPr>
                  <w:rStyle w:val="Hyperlink"/>
                  <w:rFonts w:eastAsia="SimSun"/>
                  <w:spacing w:val="-5"/>
                  <w:rtl/>
                </w:rPr>
                <w:t>ال</w:t>
              </w:r>
              <w:r w:rsidRPr="00766AF4">
                <w:rPr>
                  <w:rStyle w:val="Hyperlink"/>
                  <w:rFonts w:eastAsia="SimSun" w:hint="cs"/>
                  <w:spacing w:val="-5"/>
                  <w:rtl/>
                </w:rPr>
                <w:t xml:space="preserve">قرار </w:t>
              </w:r>
              <w:r w:rsidRPr="00766AF4">
                <w:rPr>
                  <w:rStyle w:val="Hyperlink"/>
                  <w:rFonts w:eastAsia="SimSun"/>
                  <w:spacing w:val="-5"/>
                </w:rPr>
                <w:t>66</w:t>
              </w:r>
            </w:hyperlink>
            <w:r w:rsidRPr="00766AF4">
              <w:rPr>
                <w:rFonts w:eastAsia="SimSun" w:hint="cs"/>
                <w:spacing w:val="-5"/>
                <w:rtl/>
              </w:rPr>
              <w:t xml:space="preserve"> (المراجَع في غوادالاخارا، </w:t>
            </w:r>
            <w:r w:rsidRPr="00766AF4">
              <w:rPr>
                <w:rFonts w:eastAsia="SimSun"/>
                <w:spacing w:val="-5"/>
              </w:rPr>
              <w:t>2010</w:t>
            </w:r>
            <w:r w:rsidRPr="00766AF4">
              <w:rPr>
                <w:rFonts w:eastAsia="SimSun" w:hint="cs"/>
                <w:spacing w:val="-5"/>
                <w:rtl/>
              </w:rPr>
              <w:t xml:space="preserve">)؛ </w:t>
            </w:r>
            <w:hyperlink r:id="rId11" w:history="1">
              <w:r w:rsidRPr="00766AF4">
                <w:rPr>
                  <w:rStyle w:val="Hyperlink"/>
                  <w:rFonts w:eastAsia="SimSun" w:hint="cs"/>
                  <w:spacing w:val="-5"/>
                  <w:rtl/>
                </w:rPr>
                <w:t xml:space="preserve">المقرر </w:t>
              </w:r>
              <w:r w:rsidRPr="00766AF4">
                <w:rPr>
                  <w:rStyle w:val="Hyperlink"/>
                  <w:rFonts w:eastAsia="SimSun"/>
                  <w:spacing w:val="-5"/>
                </w:rPr>
                <w:t>12</w:t>
              </w:r>
            </w:hyperlink>
            <w:r w:rsidRPr="00766AF4">
              <w:rPr>
                <w:rFonts w:eastAsia="SimSun" w:hint="cs"/>
                <w:spacing w:val="-5"/>
                <w:rtl/>
              </w:rPr>
              <w:t xml:space="preserve"> (المراجَع في بوسان، </w:t>
            </w:r>
            <w:r w:rsidRPr="00766AF4">
              <w:rPr>
                <w:rFonts w:eastAsia="SimSun"/>
                <w:spacing w:val="-5"/>
              </w:rPr>
              <w:t>2014</w:t>
            </w:r>
            <w:r w:rsidRPr="00766AF4">
              <w:rPr>
                <w:rFonts w:eastAsia="SimSun" w:hint="cs"/>
                <w:spacing w:val="-5"/>
                <w:rtl/>
              </w:rPr>
              <w:t>)</w:t>
            </w:r>
          </w:p>
        </w:tc>
      </w:tr>
    </w:tbl>
    <w:p w:rsidR="009C795A" w:rsidRDefault="009C795A" w:rsidP="00DC7E04">
      <w:pPr>
        <w:pStyle w:val="Heading1"/>
        <w:spacing w:before="480"/>
        <w:rPr>
          <w:rtl/>
        </w:rPr>
      </w:pPr>
      <w:r w:rsidRPr="003B2257">
        <w:t>1</w:t>
      </w:r>
      <w:r w:rsidRPr="003B2257">
        <w:rPr>
          <w:rtl/>
        </w:rPr>
        <w:tab/>
      </w:r>
      <w:r>
        <w:rPr>
          <w:rFonts w:hint="cs"/>
          <w:rtl/>
        </w:rPr>
        <w:t>مقدمة</w:t>
      </w:r>
    </w:p>
    <w:p w:rsidR="009C795A" w:rsidRPr="00651F98" w:rsidRDefault="009C795A" w:rsidP="009C795A">
      <w:pPr>
        <w:rPr>
          <w:rtl/>
          <w:lang w:bidi="ar-EG"/>
        </w:rPr>
      </w:pPr>
      <w:r w:rsidRPr="00651F98">
        <w:rPr>
          <w:rFonts w:eastAsia="SimSun" w:hint="cs"/>
          <w:rtl/>
        </w:rPr>
        <w:t xml:space="preserve">كلّف مؤتمر المندوبين المفوضين الأمين العام بموجب المقرر </w:t>
      </w:r>
      <w:r w:rsidRPr="00651F98">
        <w:rPr>
          <w:rFonts w:eastAsia="SimSun"/>
        </w:rPr>
        <w:t>12</w:t>
      </w:r>
      <w:r w:rsidRPr="00651F98">
        <w:rPr>
          <w:rFonts w:eastAsia="SimSun" w:hint="cs"/>
          <w:rtl/>
        </w:rPr>
        <w:t xml:space="preserve"> (المراجَع في بوسان، </w:t>
      </w:r>
      <w:r w:rsidRPr="00651F98">
        <w:rPr>
          <w:rFonts w:eastAsia="SimSun"/>
        </w:rPr>
        <w:t>2014</w:t>
      </w:r>
      <w:r w:rsidRPr="00651F98">
        <w:rPr>
          <w:rFonts w:eastAsia="SimSun" w:hint="cs"/>
          <w:rtl/>
        </w:rPr>
        <w:t>)، بإعداد تقرير سنوي وتحديثه تباعاً عن المبيعات والتنزيلات المجانية لمنشورات الاتحاد وبرمجياته وقواعد بياناته، وتقديم</w:t>
      </w:r>
      <w:r w:rsidRPr="00651F98">
        <w:rPr>
          <w:rFonts w:eastAsia="SimSun" w:hint="eastAsia"/>
          <w:rtl/>
        </w:rPr>
        <w:t> </w:t>
      </w:r>
      <w:r w:rsidRPr="00651F98">
        <w:rPr>
          <w:rFonts w:eastAsia="SimSun" w:hint="cs"/>
          <w:rtl/>
        </w:rPr>
        <w:t xml:space="preserve">هذا التقرير إلى المجلس. وينبغي أن يتضمن التقرير معلومات مفصلة عن الجوانب التالية: إجمالي المبيعات والتنزيلات المجانية السنوية ومقارنة بين مبيعات النسخ الورقية والتنزيلات المجانية للنسخ الإلكترونية، إضافةً إلى المبيعات والتنزيلات المجانية حسب البلد وحسب فئة العضوية. وتقدم هذه الوثيقة تقريراً </w:t>
      </w:r>
      <w:r w:rsidR="0044189B" w:rsidRPr="00651F98">
        <w:rPr>
          <w:rFonts w:eastAsia="SimSun" w:hint="cs"/>
          <w:rtl/>
        </w:rPr>
        <w:t xml:space="preserve">عن الفترة الممتدة </w:t>
      </w:r>
      <w:r w:rsidRPr="00651F98">
        <w:rPr>
          <w:rFonts w:eastAsia="SimSun" w:hint="cs"/>
          <w:rtl/>
        </w:rPr>
        <w:t>منذ دورة المجلس</w:t>
      </w:r>
      <w:r w:rsidRPr="00651F98">
        <w:rPr>
          <w:rFonts w:hint="cs"/>
          <w:rtl/>
        </w:rPr>
        <w:t xml:space="preserve"> لعام </w:t>
      </w:r>
      <w:r w:rsidRPr="00651F98">
        <w:t>2017</w:t>
      </w:r>
      <w:r w:rsidR="00651F98" w:rsidRPr="00651F98">
        <w:rPr>
          <w:rFonts w:hint="cs"/>
          <w:rtl/>
          <w:lang w:bidi="ar-EG"/>
        </w:rPr>
        <w:t>.</w:t>
      </w:r>
    </w:p>
    <w:p w:rsidR="009C795A" w:rsidRDefault="009C795A" w:rsidP="009C795A">
      <w:pPr>
        <w:pStyle w:val="Heading1"/>
        <w:rPr>
          <w:rtl/>
        </w:rPr>
      </w:pPr>
      <w:r>
        <w:lastRenderedPageBreak/>
        <w:t>2</w:t>
      </w:r>
      <w:r w:rsidRPr="003B2257">
        <w:rPr>
          <w:rtl/>
        </w:rPr>
        <w:tab/>
      </w:r>
      <w:r>
        <w:rPr>
          <w:rFonts w:hint="cs"/>
          <w:rtl/>
        </w:rPr>
        <w:t xml:space="preserve">تنفيذ </w:t>
      </w:r>
      <w:r w:rsidRPr="0045782D">
        <w:rPr>
          <w:rFonts w:hint="cs"/>
          <w:rtl/>
        </w:rPr>
        <w:t>سياسة</w:t>
      </w:r>
      <w:r>
        <w:rPr>
          <w:rFonts w:hint="cs"/>
          <w:rtl/>
        </w:rPr>
        <w:t xml:space="preserve"> التنزيلات المجانية لمنشورات الاتحاد</w:t>
      </w:r>
    </w:p>
    <w:p w:rsidR="009C795A" w:rsidRDefault="009C795A" w:rsidP="005D04A0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وفقاً للمقرر </w:t>
      </w:r>
      <w:r>
        <w:rPr>
          <w:lang w:bidi="ar-EG"/>
        </w:rPr>
        <w:t>12</w:t>
      </w:r>
      <w:r>
        <w:rPr>
          <w:rFonts w:hint="cs"/>
          <w:rtl/>
          <w:lang w:bidi="ar-EG"/>
        </w:rPr>
        <w:t xml:space="preserve"> (المراجَع في بوسان، </w:t>
      </w:r>
      <w:r>
        <w:rPr>
          <w:lang w:bidi="ar-EG"/>
        </w:rPr>
        <w:t>2014</w:t>
      </w:r>
      <w:r>
        <w:rPr>
          <w:rFonts w:hint="cs"/>
          <w:rtl/>
          <w:lang w:bidi="ar-EG"/>
        </w:rPr>
        <w:t>)، تتاح الآن معظم منشورات الاتحاد على الإنترنت مجاناً للجمهور العام، بما</w:t>
      </w:r>
      <w:r w:rsidR="005D04A0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في</w:t>
      </w:r>
      <w:r w:rsidR="005D04A0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ذلك تنزيل لوائح الراديو وتوصيات الاتحاد ومسائله وتقاريره وكتيباته، وأصبح الوصول إلى العناوين المختارة ممكناً من خلال الموقع الإلكتروني للقطاع</w:t>
      </w:r>
      <w:r w:rsidR="0044189B">
        <w:rPr>
          <w:rFonts w:hint="cs"/>
          <w:rtl/>
          <w:lang w:bidi="ar-EG"/>
        </w:rPr>
        <w:t xml:space="preserve"> المعني </w:t>
      </w:r>
      <w:r>
        <w:rPr>
          <w:rFonts w:hint="cs"/>
          <w:rtl/>
          <w:lang w:bidi="ar-EG"/>
        </w:rPr>
        <w:t xml:space="preserve">أو من خلال بوابة تاريخ الاتحاد وليس فقط من خلال </w:t>
      </w:r>
      <w:r w:rsidR="0044189B">
        <w:rPr>
          <w:rFonts w:hint="cs"/>
          <w:rtl/>
          <w:lang w:bidi="ar-EG"/>
        </w:rPr>
        <w:t xml:space="preserve">الصفحات </w:t>
      </w:r>
      <w:r w:rsidR="00DC7E04">
        <w:rPr>
          <w:rFonts w:hint="cs"/>
          <w:rtl/>
          <w:lang w:bidi="ar-EG"/>
        </w:rPr>
        <w:t>الإلكترونية لمنشورات الاتحاد.</w:t>
      </w:r>
    </w:p>
    <w:p w:rsidR="009C795A" w:rsidRDefault="009C795A" w:rsidP="009C795A">
      <w:pPr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 xml:space="preserve">وترد أدناه قائمة ملخصة غير شاملة بالمقررات وعناوين المنشورات المتأثرة بها المتاحة حالياً </w:t>
      </w:r>
      <w:r w:rsidR="0044189B">
        <w:rPr>
          <w:rFonts w:hint="cs"/>
          <w:rtl/>
          <w:lang w:bidi="ar-EG"/>
        </w:rPr>
        <w:t>في الموقع الإلكتروني</w:t>
      </w:r>
      <w:r w:rsidR="00DC7E04">
        <w:rPr>
          <w:rFonts w:hint="cs"/>
          <w:rtl/>
          <w:lang w:bidi="ar-EG"/>
        </w:rPr>
        <w:t xml:space="preserve"> مجاناً، لأغراض مرجعية: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258"/>
        <w:gridCol w:w="5259"/>
        <w:gridCol w:w="1507"/>
      </w:tblGrid>
      <w:tr w:rsidR="009C795A" w:rsidRPr="00E1693A" w:rsidTr="009C795A">
        <w:trPr>
          <w:trHeight w:val="11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Head"/>
              <w:spacing w:line="280" w:lineRule="exact"/>
              <w:rPr>
                <w:lang w:eastAsia="en-US" w:bidi="ar-EG"/>
              </w:rPr>
            </w:pPr>
            <w:r w:rsidRPr="00E1693A">
              <w:rPr>
                <w:rFonts w:hint="cs"/>
                <w:rtl/>
                <w:lang w:eastAsia="en-US" w:bidi="ar-EG"/>
              </w:rPr>
              <w:t>الرقم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Head"/>
              <w:spacing w:line="280" w:lineRule="exact"/>
              <w:rPr>
                <w:lang w:eastAsia="en-US" w:bidi="ar-EG"/>
              </w:rPr>
            </w:pPr>
            <w:r w:rsidRPr="00E1693A">
              <w:rPr>
                <w:rFonts w:hint="cs"/>
                <w:rtl/>
                <w:lang w:eastAsia="en-US" w:bidi="ar-EG"/>
              </w:rPr>
              <w:t>المقرر</w:t>
            </w:r>
          </w:p>
        </w:tc>
        <w:tc>
          <w:tcPr>
            <w:tcW w:w="4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Head"/>
              <w:spacing w:line="280" w:lineRule="exact"/>
              <w:rPr>
                <w:lang w:eastAsia="en-US" w:bidi="ar-EG"/>
              </w:rPr>
            </w:pPr>
            <w:r w:rsidRPr="00E1693A">
              <w:rPr>
                <w:rFonts w:hint="cs"/>
                <w:rtl/>
                <w:lang w:eastAsia="en-US" w:bidi="ar-EG"/>
              </w:rPr>
              <w:t xml:space="preserve">المنشورات المتاحة </w:t>
            </w:r>
            <w:r w:rsidR="0044189B">
              <w:rPr>
                <w:rFonts w:hint="cs"/>
                <w:rtl/>
                <w:lang w:eastAsia="en-US" w:bidi="ar-EG"/>
              </w:rPr>
              <w:t>في الموقع الإلكتروني</w:t>
            </w:r>
            <w:r w:rsidRPr="00E1693A">
              <w:rPr>
                <w:rFonts w:hint="cs"/>
                <w:rtl/>
                <w:lang w:eastAsia="en-US" w:bidi="ar-EG"/>
              </w:rPr>
              <w:t xml:space="preserve"> مجاناً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Head"/>
              <w:spacing w:line="280" w:lineRule="exact"/>
              <w:rPr>
                <w:rtl/>
                <w:lang w:eastAsia="en-US" w:bidi="ar-EG"/>
              </w:rPr>
            </w:pPr>
            <w:r w:rsidRPr="00E1693A">
              <w:rPr>
                <w:rFonts w:hint="cs"/>
                <w:rtl/>
                <w:lang w:eastAsia="en-US" w:bidi="ar-EG"/>
              </w:rPr>
              <w:t>منذ</w:t>
            </w:r>
          </w:p>
        </w:tc>
      </w:tr>
      <w:tr w:rsidR="009C795A" w:rsidRPr="00E1693A" w:rsidTr="009C795A">
        <w:trPr>
          <w:trHeight w:val="22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E1693A" w:rsidRDefault="009C795A" w:rsidP="006B07CE">
            <w:pPr>
              <w:keepNext/>
              <w:spacing w:before="60" w:after="60" w:line="280" w:lineRule="exact"/>
              <w:jc w:val="center"/>
              <w:rPr>
                <w:color w:val="000000"/>
                <w:sz w:val="20"/>
                <w:szCs w:val="26"/>
              </w:rPr>
            </w:pPr>
            <w:r w:rsidRPr="00E1693A">
              <w:rPr>
                <w:color w:val="000000"/>
                <w:sz w:val="20"/>
                <w:szCs w:val="2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574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التقارير النهائية للمؤتمرات العالمية لتنمية الاتصالات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13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03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2014</w:t>
            </w:r>
          </w:p>
        </w:tc>
      </w:tr>
      <w:tr w:rsidR="009C795A" w:rsidRPr="00E1693A" w:rsidTr="009C795A">
        <w:trPr>
          <w:trHeight w:val="24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E1693A" w:rsidRDefault="009C795A" w:rsidP="006B07CE">
            <w:pPr>
              <w:spacing w:before="60" w:after="60" w:line="280" w:lineRule="exact"/>
              <w:jc w:val="center"/>
              <w:rPr>
                <w:color w:val="000000"/>
                <w:sz w:val="20"/>
                <w:szCs w:val="26"/>
              </w:rPr>
            </w:pPr>
            <w:r w:rsidRPr="00E1693A">
              <w:rPr>
                <w:color w:val="000000"/>
                <w:sz w:val="20"/>
                <w:szCs w:val="2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571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2013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لوائح الاتصالات الدولية (</w:t>
            </w:r>
            <w:r w:rsidRPr="00E1693A">
              <w:rPr>
                <w:rtl/>
                <w:lang w:eastAsia="en-US"/>
              </w:rPr>
              <w:t>ملبورن</w:t>
            </w:r>
            <w:r w:rsidRPr="00E1693A">
              <w:rPr>
                <w:rFonts w:hint="cs"/>
                <w:rtl/>
                <w:lang w:eastAsia="en-US"/>
              </w:rPr>
              <w:t xml:space="preserve">) </w:t>
            </w:r>
            <w:r w:rsidR="0044189B">
              <w:rPr>
                <w:lang w:eastAsia="en-US"/>
              </w:rPr>
              <w:t>(</w:t>
            </w:r>
            <w:r w:rsidRPr="00E1693A">
              <w:rPr>
                <w:lang w:eastAsia="en-US"/>
              </w:rPr>
              <w:t>WATT-88</w:t>
            </w:r>
            <w:r w:rsidR="0044189B">
              <w:rPr>
                <w:lang w:eastAsia="en-US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23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04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2013</w:t>
            </w:r>
          </w:p>
        </w:tc>
      </w:tr>
      <w:tr w:rsidR="009C795A" w:rsidRPr="00E1693A" w:rsidTr="009C795A">
        <w:trPr>
          <w:trHeight w:val="171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E1693A" w:rsidRDefault="009C795A" w:rsidP="006B07CE">
            <w:pPr>
              <w:spacing w:before="60" w:after="60" w:line="280" w:lineRule="exact"/>
              <w:jc w:val="center"/>
              <w:rPr>
                <w:color w:val="000000"/>
                <w:sz w:val="20"/>
                <w:szCs w:val="26"/>
              </w:rPr>
            </w:pPr>
            <w:r w:rsidRPr="00E1693A">
              <w:rPr>
                <w:color w:val="000000"/>
                <w:sz w:val="20"/>
                <w:szCs w:val="2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571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2013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لوائح الراديو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23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11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2012</w:t>
            </w:r>
          </w:p>
        </w:tc>
      </w:tr>
      <w:tr w:rsidR="009C795A" w:rsidRPr="00E1693A" w:rsidTr="009C795A">
        <w:trPr>
          <w:trHeight w:val="24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E1693A" w:rsidRDefault="009C795A" w:rsidP="006B07CE">
            <w:pPr>
              <w:spacing w:before="60" w:after="60" w:line="280" w:lineRule="exact"/>
              <w:jc w:val="center"/>
              <w:rPr>
                <w:color w:val="000000"/>
                <w:sz w:val="20"/>
                <w:szCs w:val="26"/>
              </w:rPr>
            </w:pPr>
            <w:r w:rsidRPr="00E1693A">
              <w:rPr>
                <w:color w:val="000000"/>
                <w:sz w:val="20"/>
                <w:szCs w:val="2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571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2013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القرارات والمقررات الصادرة عن مجلس الاتحاد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rtl/>
                <w:lang w:eastAsia="en-US"/>
              </w:rPr>
            </w:pPr>
            <w:r w:rsidRPr="00E1693A">
              <w:rPr>
                <w:lang w:eastAsia="en-US"/>
              </w:rPr>
              <w:t>17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02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2015</w:t>
            </w:r>
          </w:p>
        </w:tc>
      </w:tr>
      <w:tr w:rsidR="009C795A" w:rsidRPr="00E1693A" w:rsidTr="009C795A">
        <w:trPr>
          <w:trHeight w:val="13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E1693A" w:rsidRDefault="009C795A" w:rsidP="006B07CE">
            <w:pPr>
              <w:spacing w:before="60" w:after="60" w:line="280" w:lineRule="exact"/>
              <w:jc w:val="center"/>
              <w:rPr>
                <w:color w:val="000000"/>
                <w:sz w:val="20"/>
                <w:szCs w:val="26"/>
              </w:rPr>
            </w:pPr>
            <w:r w:rsidRPr="00E1693A">
              <w:rPr>
                <w:color w:val="000000"/>
                <w:sz w:val="20"/>
                <w:szCs w:val="2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571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2013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الكتيبات بشأن إدارة طيف الترددات الراديوية</w:t>
            </w:r>
            <w:r w:rsidRPr="00E1693A">
              <w:rPr>
                <w:position w:val="6"/>
                <w:lang w:eastAsia="en-US"/>
              </w:rPr>
              <w:t>*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04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07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2013</w:t>
            </w:r>
          </w:p>
        </w:tc>
      </w:tr>
      <w:tr w:rsidR="009C795A" w:rsidRPr="00E1693A" w:rsidTr="009C795A">
        <w:trPr>
          <w:trHeight w:val="16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9E269E" w:rsidRDefault="009C795A" w:rsidP="006B07CE">
            <w:pPr>
              <w:spacing w:before="60" w:after="60" w:line="280" w:lineRule="exact"/>
              <w:jc w:val="center"/>
              <w:rPr>
                <w:sz w:val="20"/>
                <w:szCs w:val="26"/>
              </w:rPr>
            </w:pPr>
            <w:r w:rsidRPr="009E269E">
              <w:rPr>
                <w:sz w:val="20"/>
                <w:szCs w:val="2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rtl/>
                <w:lang w:eastAsia="en-US"/>
              </w:rPr>
            </w:pPr>
            <w:r w:rsidRPr="00E1693A">
              <w:rPr>
                <w:lang w:eastAsia="en-US"/>
              </w:rPr>
              <w:t>12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2014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rtl/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القواعد الإجرائية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01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07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2014</w:t>
            </w:r>
          </w:p>
        </w:tc>
      </w:tr>
      <w:tr w:rsidR="009C795A" w:rsidRPr="00E1693A" w:rsidTr="009C795A">
        <w:trPr>
          <w:trHeight w:val="24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9E269E" w:rsidRDefault="009C795A" w:rsidP="006B07CE">
            <w:pPr>
              <w:spacing w:before="60" w:after="60" w:line="280" w:lineRule="exact"/>
              <w:jc w:val="center"/>
              <w:rPr>
                <w:sz w:val="20"/>
                <w:szCs w:val="26"/>
              </w:rPr>
            </w:pPr>
            <w:r w:rsidRPr="009E269E">
              <w:rPr>
                <w:sz w:val="20"/>
                <w:szCs w:val="2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12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2014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rtl/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الوثائق الختامية للمؤتمرات العالمية والإقليمية للاتصالات الراديوية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12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02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2015</w:t>
            </w:r>
          </w:p>
        </w:tc>
      </w:tr>
      <w:tr w:rsidR="009C795A" w:rsidRPr="00E1693A" w:rsidTr="009C795A">
        <w:trPr>
          <w:trHeight w:val="237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95A" w:rsidRPr="009E269E" w:rsidRDefault="009C795A" w:rsidP="006B07CE">
            <w:pPr>
              <w:spacing w:before="60" w:after="60" w:line="280" w:lineRule="exact"/>
              <w:jc w:val="center"/>
              <w:rPr>
                <w:sz w:val="20"/>
                <w:szCs w:val="26"/>
              </w:rPr>
            </w:pPr>
            <w:r w:rsidRPr="009E269E">
              <w:rPr>
                <w:sz w:val="20"/>
                <w:szCs w:val="2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12</w:t>
            </w:r>
            <w:r w:rsidRPr="00E1693A">
              <w:rPr>
                <w:rFonts w:hint="cs"/>
                <w:rtl/>
                <w:lang w:eastAsia="en-US"/>
              </w:rPr>
              <w:t xml:space="preserve"> (المعدل في </w:t>
            </w:r>
            <w:r w:rsidRPr="00E1693A">
              <w:rPr>
                <w:lang w:eastAsia="en-US"/>
              </w:rPr>
              <w:t>2014</w:t>
            </w:r>
            <w:r w:rsidRPr="00E1693A">
              <w:rPr>
                <w:rFonts w:hint="cs"/>
                <w:rtl/>
                <w:lang w:eastAsia="en-US"/>
              </w:rPr>
              <w:t>)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rtl/>
                <w:lang w:eastAsia="en-US"/>
              </w:rPr>
            </w:pPr>
            <w:r w:rsidRPr="00E1693A">
              <w:rPr>
                <w:rFonts w:hint="cs"/>
                <w:rtl/>
                <w:lang w:eastAsia="en-US"/>
              </w:rPr>
              <w:t>المنشورات المتعلقة بالتأهب للكوارث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5A" w:rsidRPr="00E1693A" w:rsidRDefault="009C795A" w:rsidP="006B07CE">
            <w:pPr>
              <w:pStyle w:val="Tabletexte"/>
              <w:spacing w:line="280" w:lineRule="exact"/>
              <w:jc w:val="center"/>
              <w:rPr>
                <w:lang w:eastAsia="en-US"/>
              </w:rPr>
            </w:pPr>
            <w:r w:rsidRPr="00E1693A">
              <w:rPr>
                <w:lang w:eastAsia="en-US"/>
              </w:rPr>
              <w:t>19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02</w:t>
            </w:r>
            <w:r w:rsidRPr="006A368E">
              <w:rPr>
                <w:rFonts w:cs="Calibri" w:hint="cs"/>
                <w:szCs w:val="20"/>
                <w:rtl/>
                <w:lang w:eastAsia="en-US"/>
              </w:rPr>
              <w:t>/</w:t>
            </w:r>
            <w:r w:rsidRPr="00E1693A">
              <w:rPr>
                <w:lang w:eastAsia="en-US"/>
              </w:rPr>
              <w:t>2015</w:t>
            </w:r>
          </w:p>
        </w:tc>
      </w:tr>
    </w:tbl>
    <w:p w:rsidR="009C795A" w:rsidRPr="0044189B" w:rsidRDefault="009C795A" w:rsidP="009C795A">
      <w:pPr>
        <w:tabs>
          <w:tab w:val="clear" w:pos="1134"/>
          <w:tab w:val="left" w:pos="141"/>
        </w:tabs>
        <w:rPr>
          <w:b/>
          <w:bCs/>
          <w:sz w:val="20"/>
          <w:szCs w:val="26"/>
          <w:rtl/>
          <w:lang w:bidi="ar-SY"/>
        </w:rPr>
      </w:pPr>
      <w:r>
        <w:rPr>
          <w:rFonts w:hint="cs"/>
          <w:position w:val="6"/>
          <w:sz w:val="18"/>
          <w:szCs w:val="18"/>
          <w:rtl/>
        </w:rPr>
        <w:t>  </w:t>
      </w:r>
      <w:r w:rsidRPr="00CB1FBD">
        <w:rPr>
          <w:position w:val="6"/>
          <w:sz w:val="18"/>
          <w:szCs w:val="18"/>
        </w:rPr>
        <w:t>*</w:t>
      </w:r>
      <w:proofErr w:type="gramStart"/>
      <w:r w:rsidRPr="006A368E">
        <w:rPr>
          <w:rFonts w:hint="eastAsia"/>
          <w:rtl/>
        </w:rPr>
        <w:t>  </w:t>
      </w:r>
      <w:r w:rsidRPr="0044189B">
        <w:rPr>
          <w:rFonts w:hint="cs"/>
          <w:b/>
          <w:bCs/>
          <w:sz w:val="20"/>
          <w:szCs w:val="26"/>
          <w:rtl/>
          <w:lang w:bidi="ar-SY"/>
        </w:rPr>
        <w:t>تم</w:t>
      </w:r>
      <w:proofErr w:type="gramEnd"/>
      <w:r w:rsidRPr="0044189B">
        <w:rPr>
          <w:rFonts w:hint="cs"/>
          <w:b/>
          <w:bCs/>
          <w:sz w:val="20"/>
          <w:szCs w:val="26"/>
          <w:rtl/>
          <w:lang w:bidi="ar-SY"/>
        </w:rPr>
        <w:t xml:space="preserve">ّ توسيع نطاقها لتشمل </w:t>
      </w:r>
      <w:r w:rsidRPr="0044189B">
        <w:rPr>
          <w:rFonts w:hint="cs"/>
          <w:b/>
          <w:bCs/>
          <w:sz w:val="20"/>
          <w:szCs w:val="26"/>
          <w:u w:val="single"/>
          <w:rtl/>
          <w:lang w:bidi="ar-SY"/>
        </w:rPr>
        <w:t>جميع</w:t>
      </w:r>
      <w:r w:rsidRPr="0044189B">
        <w:rPr>
          <w:rFonts w:hint="cs"/>
          <w:b/>
          <w:bCs/>
          <w:sz w:val="20"/>
          <w:szCs w:val="26"/>
          <w:rtl/>
          <w:lang w:bidi="ar-SY"/>
        </w:rPr>
        <w:t xml:space="preserve"> كتيبات مكتب الاتصالات الراديوية اعتباراً من يناير</w:t>
      </w:r>
      <w:r w:rsidRPr="0044189B">
        <w:rPr>
          <w:rFonts w:hint="cs"/>
          <w:b/>
          <w:bCs/>
          <w:sz w:val="30"/>
          <w:rtl/>
          <w:lang w:bidi="ar-EG"/>
        </w:rPr>
        <w:t xml:space="preserve"> </w:t>
      </w:r>
      <w:r w:rsidRPr="0044189B">
        <w:rPr>
          <w:b/>
          <w:bCs/>
          <w:sz w:val="20"/>
          <w:szCs w:val="26"/>
          <w:lang w:bidi="ar-SY"/>
        </w:rPr>
        <w:t>2017</w:t>
      </w:r>
    </w:p>
    <w:p w:rsidR="009C795A" w:rsidRPr="00704B3A" w:rsidRDefault="009C795A" w:rsidP="00DC7E04">
      <w:pPr>
        <w:spacing w:before="360"/>
        <w:rPr>
          <w:rtl/>
          <w:lang w:bidi="ar-EG"/>
        </w:rPr>
      </w:pPr>
      <w:r w:rsidRPr="00704B3A">
        <w:rPr>
          <w:rFonts w:hint="cs"/>
          <w:rtl/>
          <w:lang w:bidi="ar-EG"/>
        </w:rPr>
        <w:t xml:space="preserve">وبناءً على طلب المجلس في دورته لعام </w:t>
      </w:r>
      <w:r w:rsidRPr="00704B3A">
        <w:rPr>
          <w:lang w:bidi="ar-EG"/>
        </w:rPr>
        <w:t>2017</w:t>
      </w:r>
      <w:r w:rsidRPr="00704B3A">
        <w:rPr>
          <w:rFonts w:hint="cs"/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أتاحت الأمانة أيضاً النفاذ المجاني </w:t>
      </w:r>
      <w:r w:rsidRPr="00087878">
        <w:rPr>
          <w:rFonts w:hint="cs"/>
          <w:i/>
          <w:iCs/>
          <w:rtl/>
          <w:lang w:bidi="ar-EG"/>
        </w:rPr>
        <w:t>المقتصر على الدول الأعضاء</w:t>
      </w:r>
      <w:r>
        <w:rPr>
          <w:rFonts w:hint="cs"/>
          <w:rtl/>
          <w:lang w:bidi="ar-EG"/>
        </w:rPr>
        <w:t xml:space="preserve"> إلى منشورات الاتحاد المتعلقة بالإحصاءات والمؤشرات بما في ذلك قاعدة بيانات المؤشرات العالمية للاتصالات/تكنولوجيا المعلومات والاتصالات الخاصة بمكتب تنمية الاتصالات والحولية الإحصائية، إضافةً إلى النفاذ المجاني </w:t>
      </w:r>
      <w:r w:rsidRPr="009A6B83">
        <w:rPr>
          <w:rFonts w:hint="cs"/>
          <w:i/>
          <w:iCs/>
          <w:rtl/>
          <w:lang w:bidi="ar-EG"/>
        </w:rPr>
        <w:t>المقتصر على الدول الأعضاء</w:t>
      </w:r>
      <w:r>
        <w:rPr>
          <w:rFonts w:hint="cs"/>
          <w:rtl/>
          <w:lang w:bidi="ar-EG"/>
        </w:rPr>
        <w:t xml:space="preserve"> إلى نُسخ</w:t>
      </w:r>
      <w:r w:rsidR="0044189B">
        <w:rPr>
          <w:rFonts w:hint="cs"/>
          <w:rtl/>
          <w:lang w:bidi="ar-EG"/>
        </w:rPr>
        <w:t xml:space="preserve"> بنسق </w:t>
      </w:r>
      <w:r w:rsidR="0044189B">
        <w:rPr>
          <w:lang w:bidi="ar-EG"/>
        </w:rPr>
        <w:t>ISO</w:t>
      </w:r>
      <w:r w:rsidR="0044189B">
        <w:rPr>
          <w:rFonts w:hint="cs"/>
          <w:rtl/>
          <w:lang w:bidi="ar-EG"/>
        </w:rPr>
        <w:t xml:space="preserve"> من</w:t>
      </w:r>
      <w:r>
        <w:rPr>
          <w:rFonts w:hint="cs"/>
          <w:rtl/>
          <w:lang w:bidi="ar-EG"/>
        </w:rPr>
        <w:t xml:space="preserve"> النشرة الإعلامية الدولية للترددات الصادرة عن مكتب الاتصالات الراديوية </w:t>
      </w:r>
      <w:r w:rsidR="0044189B" w:rsidRPr="0044189B">
        <w:rPr>
          <w:rFonts w:hint="cs"/>
          <w:lang w:val="en-GB" w:bidi="ar-EG"/>
        </w:rPr>
        <w:t>(</w:t>
      </w:r>
      <w:r>
        <w:t>BR</w:t>
      </w:r>
      <w:r w:rsidR="00DC7E04">
        <w:t> </w:t>
      </w:r>
      <w:r>
        <w:t>IFIC</w:t>
      </w:r>
      <w:r w:rsidR="0044189B" w:rsidRPr="0044189B">
        <w:rPr>
          <w:rFonts w:hint="cs"/>
          <w:lang w:val="en-GB" w:bidi="ar-EG"/>
        </w:rPr>
        <w:t>)</w:t>
      </w:r>
      <w:r w:rsidR="00DC7E04">
        <w:rPr>
          <w:rFonts w:hint="cs"/>
          <w:rtl/>
          <w:lang w:bidi="ar-EG"/>
        </w:rPr>
        <w:t xml:space="preserve"> للخدمات الفضائية وخدمات الأرض.</w:t>
      </w:r>
    </w:p>
    <w:p w:rsidR="009C795A" w:rsidRDefault="009C795A" w:rsidP="009C795A">
      <w:pPr>
        <w:rPr>
          <w:rtl/>
          <w:lang w:bidi="ar-EG"/>
        </w:rPr>
      </w:pPr>
      <w:r>
        <w:rPr>
          <w:rFonts w:hint="cs"/>
          <w:rtl/>
          <w:lang w:bidi="ar-EG"/>
        </w:rPr>
        <w:t>وتنحصر الإيرادات المكتسبة اليوم من مبيعات التنزيلات الإلكترونية إلى حد كبير في شراء الجمهور العام لسلاسل مؤشرات مكتب تنمية الاتصالات ومنشورات النشرة الإعلامية الدولية للترددات الصاد</w:t>
      </w:r>
      <w:r w:rsidR="00DC7E04">
        <w:rPr>
          <w:rFonts w:hint="cs"/>
          <w:rtl/>
          <w:lang w:bidi="ar-EG"/>
        </w:rPr>
        <w:t>رة عن مكتب الاتصالات الراديوية.</w:t>
      </w:r>
    </w:p>
    <w:p w:rsidR="009C795A" w:rsidRPr="003B2257" w:rsidRDefault="009C795A" w:rsidP="009C795A">
      <w:pPr>
        <w:pStyle w:val="Heading1"/>
        <w:rPr>
          <w:rtl/>
        </w:rPr>
      </w:pPr>
      <w:r>
        <w:t>3</w:t>
      </w:r>
      <w:r w:rsidRPr="003B2257">
        <w:rPr>
          <w:rtl/>
        </w:rPr>
        <w:tab/>
      </w:r>
      <w:r w:rsidRPr="003B2257">
        <w:rPr>
          <w:rFonts w:hint="cs"/>
          <w:rtl/>
        </w:rPr>
        <w:t>نتائج المبيعات واتجاهاتها</w:t>
      </w:r>
    </w:p>
    <w:p w:rsidR="009C795A" w:rsidRPr="00787161" w:rsidRDefault="009C795A" w:rsidP="00307374">
      <w:pPr>
        <w:rPr>
          <w:rtl/>
          <w:lang w:bidi="ar-EG"/>
        </w:rPr>
      </w:pPr>
      <w:r w:rsidRPr="00787161">
        <w:rPr>
          <w:rFonts w:hint="cs"/>
          <w:rtl/>
          <w:lang w:bidi="ar-EG"/>
        </w:rPr>
        <w:t xml:space="preserve">بلغت إيرادات مبيعات المنشورات </w:t>
      </w:r>
      <w:r w:rsidRPr="00787161">
        <w:rPr>
          <w:lang w:bidi="ar-EG"/>
        </w:rPr>
        <w:t>19,5</w:t>
      </w:r>
      <w:r w:rsidRPr="00787161">
        <w:rPr>
          <w:rFonts w:hint="cs"/>
          <w:rtl/>
          <w:lang w:bidi="ar-EG"/>
        </w:rPr>
        <w:t xml:space="preserve"> مليون فرنك سويسري في عام </w:t>
      </w:r>
      <w:r w:rsidRPr="00787161">
        <w:rPr>
          <w:lang w:bidi="ar-EG"/>
        </w:rPr>
        <w:t>2017</w:t>
      </w:r>
      <w:r w:rsidRPr="00787161">
        <w:rPr>
          <w:rFonts w:hint="cs"/>
          <w:rtl/>
          <w:lang w:bidi="ar-EG"/>
        </w:rPr>
        <w:t xml:space="preserve">، متجاوزةً بذلك توقعات الميزانية السنوية بمبلغ </w:t>
      </w:r>
      <w:r w:rsidRPr="00787161">
        <w:rPr>
          <w:lang w:bidi="ar-EG"/>
        </w:rPr>
        <w:t>1</w:t>
      </w:r>
      <w:r w:rsidR="0025042B" w:rsidRPr="00787161">
        <w:rPr>
          <w:rFonts w:hint="eastAsia"/>
          <w:rtl/>
          <w:lang w:bidi="ar-EG"/>
        </w:rPr>
        <w:t> </w:t>
      </w:r>
      <w:r w:rsidRPr="00787161">
        <w:rPr>
          <w:rFonts w:hint="cs"/>
          <w:rtl/>
          <w:lang w:bidi="ar-EG"/>
        </w:rPr>
        <w:t>مليون فرنك سويسري ومستفيدةً من استقرار مبيعات المنشورات المتعلقة بالخدمة البحرية. وبذلك تكون مبيعات منشورات الاتحاد قد</w:t>
      </w:r>
      <w:r w:rsidR="00307374">
        <w:rPr>
          <w:rFonts w:hint="eastAsia"/>
          <w:rtl/>
          <w:lang w:bidi="ar-EG"/>
        </w:rPr>
        <w:t> </w:t>
      </w:r>
      <w:r w:rsidRPr="00787161">
        <w:rPr>
          <w:rFonts w:hint="cs"/>
          <w:rtl/>
          <w:lang w:bidi="ar-EG"/>
        </w:rPr>
        <w:t xml:space="preserve">تجاوزت ميزانية المبيعات لفترة السنتين </w:t>
      </w:r>
      <w:r w:rsidRPr="00787161">
        <w:t>2016</w:t>
      </w:r>
      <w:r w:rsidRPr="00787161">
        <w:rPr>
          <w:rFonts w:hint="cs"/>
          <w:rtl/>
        </w:rPr>
        <w:t>-</w:t>
      </w:r>
      <w:r w:rsidRPr="00787161">
        <w:t>2017</w:t>
      </w:r>
      <w:r w:rsidRPr="00787161">
        <w:rPr>
          <w:rFonts w:hint="cs"/>
          <w:rtl/>
        </w:rPr>
        <w:t xml:space="preserve"> </w:t>
      </w:r>
      <w:r w:rsidRPr="00787161">
        <w:rPr>
          <w:rFonts w:hint="cs"/>
          <w:rtl/>
          <w:lang w:bidi="ar-EG"/>
        </w:rPr>
        <w:t xml:space="preserve">البالغة </w:t>
      </w:r>
      <w:r w:rsidRPr="00787161">
        <w:rPr>
          <w:lang w:bidi="ar-EG"/>
        </w:rPr>
        <w:t>37</w:t>
      </w:r>
      <w:r w:rsidRPr="00787161">
        <w:rPr>
          <w:rFonts w:hint="cs"/>
          <w:rtl/>
          <w:lang w:bidi="ar-EG"/>
        </w:rPr>
        <w:t xml:space="preserve"> مليون فرنك سويسري بمبلغ </w:t>
      </w:r>
      <w:r w:rsidRPr="00787161">
        <w:rPr>
          <w:lang w:bidi="ar-EG"/>
        </w:rPr>
        <w:t>1,5</w:t>
      </w:r>
      <w:r w:rsidR="00DC7E04" w:rsidRPr="00787161">
        <w:rPr>
          <w:rFonts w:hint="eastAsia"/>
          <w:rtl/>
          <w:lang w:bidi="ar-EG"/>
        </w:rPr>
        <w:t> </w:t>
      </w:r>
      <w:r w:rsidR="00DC7E04" w:rsidRPr="00787161">
        <w:rPr>
          <w:rFonts w:hint="cs"/>
          <w:rtl/>
          <w:lang w:bidi="ar-EG"/>
        </w:rPr>
        <w:t>مليون فرنك سويسري.</w:t>
      </w:r>
    </w:p>
    <w:p w:rsidR="009C795A" w:rsidRPr="00293D31" w:rsidRDefault="009C795A" w:rsidP="009C795A">
      <w:pPr>
        <w:rPr>
          <w:rtl/>
        </w:rPr>
      </w:pPr>
      <w:r>
        <w:rPr>
          <w:rFonts w:hint="cs"/>
          <w:rtl/>
        </w:rPr>
        <w:t>و</w:t>
      </w:r>
      <w:r w:rsidRPr="003B2257">
        <w:rPr>
          <w:rFonts w:hint="cs"/>
          <w:rtl/>
        </w:rPr>
        <w:t>تبين الجداول الواردة في وثيقة المعل</w:t>
      </w:r>
      <w:r w:rsidRPr="00E44949">
        <w:rPr>
          <w:rFonts w:hint="cs"/>
          <w:rtl/>
        </w:rPr>
        <w:t xml:space="preserve">ومات </w:t>
      </w:r>
      <w:hyperlink r:id="rId12" w:history="1">
        <w:r w:rsidRPr="00E44949">
          <w:rPr>
            <w:rStyle w:val="Hyperlink"/>
          </w:rPr>
          <w:t>C18/INF/2</w:t>
        </w:r>
      </w:hyperlink>
      <w:r w:rsidRPr="00E44949">
        <w:rPr>
          <w:rFonts w:hint="cs"/>
          <w:rtl/>
        </w:rPr>
        <w:t xml:space="preserve"> أرقام المبيعات</w:t>
      </w:r>
      <w:r w:rsidRPr="003B2257">
        <w:rPr>
          <w:rFonts w:hint="cs"/>
          <w:rtl/>
        </w:rPr>
        <w:t xml:space="preserve"> بالتفصيل للفترة</w:t>
      </w:r>
      <w:r w:rsidRPr="003B2257">
        <w:rPr>
          <w:rFonts w:hint="eastAsia"/>
          <w:rtl/>
        </w:rPr>
        <w:t> </w:t>
      </w:r>
      <w:r w:rsidRPr="003B2257">
        <w:t>201</w:t>
      </w:r>
      <w:r>
        <w:t>7</w:t>
      </w:r>
      <w:r w:rsidRPr="003B2257">
        <w:t>-201</w:t>
      </w:r>
      <w:r>
        <w:t>3</w:t>
      </w:r>
      <w:r w:rsidRPr="003B2257">
        <w:rPr>
          <w:rFonts w:hint="cs"/>
          <w:rtl/>
        </w:rPr>
        <w:t xml:space="preserve"> مصنفةً على النحو المطلوب في</w:t>
      </w:r>
      <w:r w:rsidRPr="003B2257">
        <w:rPr>
          <w:rFonts w:hint="eastAsia"/>
          <w:rtl/>
        </w:rPr>
        <w:t> </w:t>
      </w:r>
      <w:r w:rsidRPr="003B2257">
        <w:rPr>
          <w:rFonts w:hint="cs"/>
          <w:rtl/>
        </w:rPr>
        <w:t>المقرر</w:t>
      </w:r>
      <w:r w:rsidRPr="003B2257">
        <w:rPr>
          <w:rFonts w:hint="eastAsia"/>
          <w:rtl/>
        </w:rPr>
        <w:t> </w:t>
      </w:r>
      <w:r w:rsidRPr="003B2257">
        <w:t>12</w:t>
      </w:r>
      <w:r w:rsidRPr="003B2257">
        <w:rPr>
          <w:rFonts w:hint="eastAsia"/>
          <w:rtl/>
        </w:rPr>
        <w:t> </w:t>
      </w:r>
      <w:r w:rsidRPr="003B2257">
        <w:rPr>
          <w:rFonts w:hint="cs"/>
          <w:rtl/>
        </w:rPr>
        <w:t xml:space="preserve">(المراجَع في بوسان، </w:t>
      </w:r>
      <w:r w:rsidRPr="003B2257">
        <w:t>2014</w:t>
      </w:r>
      <w:r w:rsidR="00DC7E04">
        <w:rPr>
          <w:rFonts w:hint="cs"/>
          <w:rtl/>
        </w:rPr>
        <w:t>).</w:t>
      </w:r>
    </w:p>
    <w:p w:rsidR="009C795A" w:rsidRPr="003B2257" w:rsidRDefault="009C795A" w:rsidP="009C795A">
      <w:pPr>
        <w:pStyle w:val="Heading2"/>
        <w:rPr>
          <w:rtl/>
        </w:rPr>
      </w:pPr>
      <w:r w:rsidRPr="003B2257">
        <w:t>1.</w:t>
      </w:r>
      <w:r>
        <w:t>3</w:t>
      </w:r>
      <w:r w:rsidRPr="003B2257">
        <w:rPr>
          <w:rFonts w:hint="cs"/>
          <w:rtl/>
        </w:rPr>
        <w:tab/>
        <w:t xml:space="preserve">أنشطة تطوير المبيعات </w:t>
      </w:r>
      <w:r>
        <w:rPr>
          <w:rFonts w:hint="cs"/>
          <w:rtl/>
        </w:rPr>
        <w:t>في</w:t>
      </w:r>
      <w:r w:rsidRPr="003B2257">
        <w:rPr>
          <w:rFonts w:hint="cs"/>
          <w:rtl/>
        </w:rPr>
        <w:t xml:space="preserve"> </w:t>
      </w:r>
      <w:r w:rsidRPr="003B2257">
        <w:t>201</w:t>
      </w:r>
      <w:r>
        <w:t>7</w:t>
      </w:r>
    </w:p>
    <w:p w:rsidR="009C795A" w:rsidRPr="003B2257" w:rsidRDefault="009C795A" w:rsidP="009C795A">
      <w:pPr>
        <w:rPr>
          <w:rtl/>
          <w:lang w:bidi="ar-EG"/>
        </w:rPr>
      </w:pPr>
      <w:r>
        <w:rPr>
          <w:rFonts w:hint="cs"/>
          <w:rtl/>
        </w:rPr>
        <w:t xml:space="preserve">تواصلت أنشطة </w:t>
      </w:r>
      <w:r w:rsidRPr="003B2257">
        <w:rPr>
          <w:rFonts w:hint="cs"/>
          <w:rtl/>
        </w:rPr>
        <w:t xml:space="preserve">تطوير المبيعات في </w:t>
      </w:r>
      <w:r w:rsidRPr="003B2257">
        <w:t>201</w:t>
      </w:r>
      <w:r>
        <w:t>7</w:t>
      </w:r>
      <w:r w:rsidRPr="003B2257">
        <w:rPr>
          <w:rFonts w:hint="cs"/>
          <w:rtl/>
        </w:rPr>
        <w:t xml:space="preserve"> لضمان زيادة الدخل من المبيعات:</w:t>
      </w:r>
    </w:p>
    <w:p w:rsidR="009C795A" w:rsidRDefault="009C795A" w:rsidP="009C795A">
      <w:pPr>
        <w:pStyle w:val="enumlev1"/>
        <w:rPr>
          <w:spacing w:val="4"/>
          <w:rtl/>
          <w:lang w:bidi="ar-SA"/>
        </w:rPr>
      </w:pPr>
      <w:r w:rsidRPr="009C795A">
        <w:rPr>
          <w:rFonts w:hint="cs"/>
          <w:b/>
          <w:bCs/>
          <w:spacing w:val="4"/>
          <w:rtl/>
          <w:lang w:bidi="ar-EG"/>
        </w:rPr>
        <w:t xml:space="preserve"> </w:t>
      </w:r>
      <w:proofErr w:type="gramStart"/>
      <w:r w:rsidRPr="009C795A">
        <w:rPr>
          <w:rFonts w:hint="cs"/>
          <w:b/>
          <w:bCs/>
          <w:spacing w:val="4"/>
          <w:rtl/>
          <w:lang w:bidi="ar-EG"/>
        </w:rPr>
        <w:t>أ )</w:t>
      </w:r>
      <w:proofErr w:type="gramEnd"/>
      <w:r w:rsidRPr="007712C1">
        <w:rPr>
          <w:rFonts w:hint="cs"/>
          <w:spacing w:val="4"/>
          <w:rtl/>
        </w:rPr>
        <w:tab/>
      </w:r>
      <w:r>
        <w:rPr>
          <w:rFonts w:hint="cs"/>
          <w:spacing w:val="4"/>
          <w:rtl/>
        </w:rPr>
        <w:t>انضم إلى الاتحاد</w:t>
      </w:r>
      <w:r w:rsidRPr="007712C1">
        <w:rPr>
          <w:rFonts w:hint="cs"/>
          <w:spacing w:val="4"/>
          <w:rtl/>
        </w:rPr>
        <w:t xml:space="preserve"> في</w:t>
      </w:r>
      <w:r>
        <w:rPr>
          <w:rFonts w:hint="cs"/>
          <w:spacing w:val="4"/>
          <w:rtl/>
        </w:rPr>
        <w:t xml:space="preserve"> </w:t>
      </w:r>
      <w:r w:rsidRPr="007712C1">
        <w:rPr>
          <w:spacing w:val="4"/>
        </w:rPr>
        <w:t>201</w:t>
      </w:r>
      <w:r>
        <w:rPr>
          <w:spacing w:val="4"/>
        </w:rPr>
        <w:t>7</w:t>
      </w:r>
      <w:r w:rsidRPr="007712C1">
        <w:rPr>
          <w:spacing w:val="4"/>
          <w:rtl/>
        </w:rPr>
        <w:t xml:space="preserve"> </w:t>
      </w:r>
      <w:r>
        <w:rPr>
          <w:rFonts w:hint="cs"/>
          <w:spacing w:val="4"/>
          <w:rtl/>
        </w:rPr>
        <w:t>سبعة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>موزعين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>جدد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>لمواصلة توسيع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>نطاق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>توزيع</w:t>
      </w:r>
      <w:r w:rsidRPr="007712C1">
        <w:rPr>
          <w:spacing w:val="4"/>
          <w:rtl/>
        </w:rPr>
        <w:t>/</w:t>
      </w:r>
      <w:r w:rsidRPr="007712C1">
        <w:rPr>
          <w:rFonts w:hint="cs"/>
          <w:spacing w:val="4"/>
          <w:rtl/>
        </w:rPr>
        <w:t>إتاحة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>منشورات</w:t>
      </w:r>
      <w:r w:rsidRPr="007712C1">
        <w:rPr>
          <w:spacing w:val="4"/>
          <w:rtl/>
        </w:rPr>
        <w:t xml:space="preserve"> </w:t>
      </w:r>
      <w:r w:rsidRPr="007712C1">
        <w:rPr>
          <w:rFonts w:hint="cs"/>
          <w:spacing w:val="4"/>
          <w:rtl/>
        </w:rPr>
        <w:t xml:space="preserve">الاتحاد </w:t>
      </w:r>
      <w:r>
        <w:rPr>
          <w:rFonts w:hint="cs"/>
          <w:spacing w:val="4"/>
          <w:rtl/>
        </w:rPr>
        <w:t xml:space="preserve">المتعلقة بالخدمة البحرية </w:t>
      </w:r>
      <w:r w:rsidRPr="007712C1">
        <w:rPr>
          <w:rFonts w:hint="cs"/>
          <w:spacing w:val="4"/>
          <w:rtl/>
        </w:rPr>
        <w:t xml:space="preserve">عبر </w:t>
      </w:r>
      <w:r w:rsidR="0044189B">
        <w:rPr>
          <w:rFonts w:hint="cs"/>
          <w:spacing w:val="4"/>
          <w:rtl/>
        </w:rPr>
        <w:t>الموزعين التقليديين الرئيسي</w:t>
      </w:r>
      <w:r w:rsidRPr="007712C1">
        <w:rPr>
          <w:rFonts w:hint="cs"/>
          <w:spacing w:val="4"/>
          <w:rtl/>
        </w:rPr>
        <w:t>ين.</w:t>
      </w:r>
    </w:p>
    <w:p w:rsidR="009C795A" w:rsidRPr="003B2257" w:rsidRDefault="009C795A" w:rsidP="0044189B">
      <w:pPr>
        <w:pStyle w:val="enumlev1"/>
        <w:rPr>
          <w:rtl/>
        </w:rPr>
      </w:pPr>
      <w:proofErr w:type="gramStart"/>
      <w:r w:rsidRPr="009C795A">
        <w:rPr>
          <w:rFonts w:hint="cs"/>
          <w:b/>
          <w:bCs/>
          <w:rtl/>
        </w:rPr>
        <w:lastRenderedPageBreak/>
        <w:t>ب)</w:t>
      </w:r>
      <w:r w:rsidRPr="003B2257">
        <w:rPr>
          <w:rtl/>
        </w:rPr>
        <w:tab/>
      </w:r>
      <w:proofErr w:type="gramEnd"/>
      <w:r w:rsidRPr="003B2257">
        <w:rPr>
          <w:rFonts w:hint="cs"/>
          <w:rtl/>
        </w:rPr>
        <w:t xml:space="preserve">تمّ في </w:t>
      </w:r>
      <w:r w:rsidRPr="003B2257">
        <w:rPr>
          <w:lang w:val="fr-CH"/>
        </w:rPr>
        <w:t>201</w:t>
      </w:r>
      <w:r>
        <w:rPr>
          <w:lang w:val="fr-CH"/>
        </w:rPr>
        <w:t>7</w:t>
      </w:r>
      <w:r w:rsidRPr="003B2257">
        <w:rPr>
          <w:rFonts w:hint="cs"/>
          <w:rtl/>
          <w:lang w:bidi="ar-EG"/>
        </w:rPr>
        <w:t xml:space="preserve"> </w:t>
      </w:r>
      <w:r w:rsidRPr="003B2257">
        <w:rPr>
          <w:rFonts w:hint="cs"/>
          <w:rtl/>
        </w:rPr>
        <w:t xml:space="preserve">تجديد </w:t>
      </w:r>
      <w:r>
        <w:rPr>
          <w:rFonts w:hint="cs"/>
          <w:rtl/>
        </w:rPr>
        <w:t xml:space="preserve">العديد من اتفاقات الترخيص، بما في ذلك الاتفاق مع </w:t>
      </w:r>
      <w:r w:rsidRPr="003B2257">
        <w:t>Financial Times</w:t>
      </w:r>
      <w:r w:rsidRPr="003B2257">
        <w:rPr>
          <w:rFonts w:hint="cs"/>
          <w:rtl/>
        </w:rPr>
        <w:t xml:space="preserve"> و</w:t>
      </w:r>
      <w:r>
        <w:rPr>
          <w:rFonts w:hint="cs"/>
          <w:rtl/>
        </w:rPr>
        <w:t xml:space="preserve">مع </w:t>
      </w:r>
      <w:r w:rsidRPr="003B2257">
        <w:t>Ernst &amp; Young</w:t>
      </w:r>
      <w:r w:rsidR="00787161">
        <w:rPr>
          <w:rFonts w:hint="cs"/>
          <w:rtl/>
        </w:rPr>
        <w:t>.</w:t>
      </w:r>
    </w:p>
    <w:p w:rsidR="009C795A" w:rsidRPr="00AF0C78" w:rsidRDefault="009C795A" w:rsidP="00F4301E">
      <w:pPr>
        <w:pStyle w:val="enumlev1"/>
        <w:rPr>
          <w:rtl/>
        </w:rPr>
      </w:pPr>
      <w:proofErr w:type="gramStart"/>
      <w:r w:rsidRPr="009C795A">
        <w:rPr>
          <w:rFonts w:hint="cs"/>
          <w:b/>
          <w:bCs/>
          <w:rtl/>
        </w:rPr>
        <w:t>ج)</w:t>
      </w:r>
      <w:r w:rsidRPr="003B2257">
        <w:rPr>
          <w:rtl/>
        </w:rPr>
        <w:tab/>
      </w:r>
      <w:proofErr w:type="gramEnd"/>
      <w:r>
        <w:rPr>
          <w:rFonts w:hint="cs"/>
          <w:rtl/>
        </w:rPr>
        <w:t xml:space="preserve">أُبرمت اتفاقات مع شعبة المنشورات في منظمة التعاون والتنمية في الميدان الاقتصادي </w:t>
      </w:r>
      <w:r w:rsidR="0044189B" w:rsidRPr="0044189B">
        <w:rPr>
          <w:rFonts w:hint="cs"/>
          <w:lang w:val="en-GB"/>
        </w:rPr>
        <w:t>(</w:t>
      </w:r>
      <w:r w:rsidRPr="00521E0D">
        <w:t>OECD</w:t>
      </w:r>
      <w:r w:rsidR="0044189B" w:rsidRPr="0044189B">
        <w:rPr>
          <w:rFonts w:hint="cs"/>
          <w:lang w:val="en-GB"/>
        </w:rPr>
        <w:t>)</w:t>
      </w:r>
      <w:r>
        <w:rPr>
          <w:rFonts w:hint="cs"/>
          <w:rtl/>
        </w:rPr>
        <w:t xml:space="preserve"> والأمم المتحدة</w:t>
      </w:r>
      <w:r w:rsidR="00F4301E">
        <w:rPr>
          <w:rFonts w:hint="eastAsia"/>
          <w:rtl/>
        </w:rPr>
        <w:t> </w:t>
      </w:r>
      <w:r w:rsidR="0044189B" w:rsidRPr="0044189B">
        <w:rPr>
          <w:rFonts w:hint="cs"/>
          <w:lang w:val="en-GB"/>
        </w:rPr>
        <w:t>(</w:t>
      </w:r>
      <w:r w:rsidRPr="00521E0D">
        <w:t>UN</w:t>
      </w:r>
      <w:r w:rsidR="0044189B" w:rsidRPr="0044189B">
        <w:rPr>
          <w:rFonts w:hint="cs"/>
          <w:lang w:val="en-GB"/>
        </w:rPr>
        <w:t>)</w:t>
      </w:r>
      <w:r>
        <w:rPr>
          <w:rFonts w:hint="cs"/>
          <w:rtl/>
        </w:rPr>
        <w:t xml:space="preserve"> لإدراج مبيعات النسخ الرقمية لمنشورات الاتحاد (مع </w:t>
      </w:r>
      <w:r w:rsidR="0044189B">
        <w:rPr>
          <w:rFonts w:hint="cs"/>
          <w:rtl/>
        </w:rPr>
        <w:t>ع</w:t>
      </w:r>
      <w:r>
        <w:rPr>
          <w:rFonts w:hint="cs"/>
          <w:rtl/>
        </w:rPr>
        <w:t xml:space="preserve">وائد الرسوم) من خلال منصات جديدة تشمل مكتبة الاتحاد الدولي للاتصالات </w:t>
      </w:r>
      <w:r w:rsidR="0044189B" w:rsidRPr="0044189B">
        <w:rPr>
          <w:rFonts w:hint="cs"/>
          <w:lang w:val="en-GB"/>
        </w:rPr>
        <w:t>(</w:t>
      </w:r>
      <w:r w:rsidRPr="00521E0D">
        <w:t>ITU</w:t>
      </w:r>
      <w:r w:rsidR="00F4301E">
        <w:t> </w:t>
      </w:r>
      <w:proofErr w:type="spellStart"/>
      <w:r w:rsidRPr="00521E0D">
        <w:t>iLibrary</w:t>
      </w:r>
      <w:proofErr w:type="spellEnd"/>
      <w:r w:rsidR="0044189B" w:rsidRPr="0044189B">
        <w:rPr>
          <w:rFonts w:hint="cs"/>
          <w:lang w:val="en-GB"/>
        </w:rPr>
        <w:t>)</w:t>
      </w:r>
      <w:r>
        <w:rPr>
          <w:rFonts w:hint="cs"/>
          <w:rtl/>
        </w:rPr>
        <w:t xml:space="preserve"> ومنشورات الأمم المتحدة وشبكات </w:t>
      </w:r>
      <w:r w:rsidRPr="00521E0D">
        <w:t>Amazon.com</w:t>
      </w:r>
      <w:r>
        <w:rPr>
          <w:rFonts w:hint="cs"/>
          <w:bCs/>
          <w:sz w:val="24"/>
          <w:szCs w:val="24"/>
          <w:rtl/>
        </w:rPr>
        <w:t xml:space="preserve"> </w:t>
      </w:r>
      <w:r w:rsidRPr="00AF0C78">
        <w:rPr>
          <w:rFonts w:hint="cs"/>
          <w:rtl/>
        </w:rPr>
        <w:t>و</w:t>
      </w:r>
      <w:r>
        <w:rPr>
          <w:rFonts w:hint="cs"/>
          <w:rtl/>
        </w:rPr>
        <w:t xml:space="preserve">التطبيق </w:t>
      </w:r>
      <w:proofErr w:type="spellStart"/>
      <w:r w:rsidRPr="00521E0D">
        <w:t>iBooks</w:t>
      </w:r>
      <w:proofErr w:type="spellEnd"/>
      <w:r w:rsidRPr="00521E0D">
        <w:rPr>
          <w:rFonts w:hint="cs"/>
          <w:rtl/>
        </w:rPr>
        <w:t>.</w:t>
      </w:r>
    </w:p>
    <w:p w:rsidR="009C795A" w:rsidRPr="003B2257" w:rsidRDefault="009C795A" w:rsidP="009C795A">
      <w:pPr>
        <w:pStyle w:val="Heading2"/>
        <w:rPr>
          <w:rtl/>
        </w:rPr>
      </w:pPr>
      <w:r>
        <w:t>2</w:t>
      </w:r>
      <w:r w:rsidRPr="003B2257">
        <w:t>.</w:t>
      </w:r>
      <w:r>
        <w:t>3</w:t>
      </w:r>
      <w:r w:rsidRPr="003B2257">
        <w:rPr>
          <w:rFonts w:hint="cs"/>
          <w:rtl/>
        </w:rPr>
        <w:tab/>
        <w:t>التوزيع بحسب اللغات</w:t>
      </w:r>
    </w:p>
    <w:p w:rsidR="009C795A" w:rsidRPr="003B2257" w:rsidRDefault="009C795A" w:rsidP="009C795A">
      <w:pPr>
        <w:rPr>
          <w:rtl/>
        </w:rPr>
      </w:pPr>
      <w:r>
        <w:rPr>
          <w:rFonts w:hint="cs"/>
          <w:rtl/>
          <w:lang w:bidi="ar-EG"/>
        </w:rPr>
        <w:t>ت</w:t>
      </w:r>
      <w:r w:rsidRPr="003B2257">
        <w:rPr>
          <w:rFonts w:hint="cs"/>
          <w:rtl/>
        </w:rPr>
        <w:t xml:space="preserve">بقى المنشورات متعددة اللغات الصادرة باللغات الست </w:t>
      </w:r>
      <w:r w:rsidRPr="003B2257">
        <w:t>(M6)</w:t>
      </w:r>
      <w:r w:rsidRPr="003B2257">
        <w:rPr>
          <w:rFonts w:hint="cs"/>
          <w:rtl/>
        </w:rPr>
        <w:t xml:space="preserve"> أكثر المنشورات توزيعاً </w:t>
      </w:r>
      <w:r w:rsidRPr="003B2257">
        <w:t>(%7</w:t>
      </w:r>
      <w:r>
        <w:t>7</w:t>
      </w:r>
      <w:r w:rsidRPr="003B2257">
        <w:t>)</w:t>
      </w:r>
      <w:r w:rsidRPr="003B2257">
        <w:rPr>
          <w:rFonts w:hint="cs"/>
          <w:rtl/>
        </w:rPr>
        <w:t>، وهي في معظمها م</w:t>
      </w:r>
      <w:r>
        <w:rPr>
          <w:rFonts w:hint="cs"/>
          <w:rtl/>
        </w:rPr>
        <w:t>نشورات إلزامية متعلقة بالخدمة</w:t>
      </w:r>
      <w:r w:rsidRPr="003B2257">
        <w:rPr>
          <w:rFonts w:hint="cs"/>
          <w:rtl/>
        </w:rPr>
        <w:t xml:space="preserve"> البحرية</w:t>
      </w:r>
      <w:r>
        <w:rPr>
          <w:rFonts w:hint="cs"/>
          <w:rtl/>
        </w:rPr>
        <w:t xml:space="preserve"> صادرة بنسق القرص المدمج </w:t>
      </w:r>
      <w:r w:rsidR="0044189B" w:rsidRPr="0044189B">
        <w:rPr>
          <w:rFonts w:hint="cs"/>
          <w:lang w:val="en-GB"/>
        </w:rPr>
        <w:t>(</w:t>
      </w:r>
      <w:r>
        <w:t>CD</w:t>
      </w:r>
      <w:r w:rsidR="0044189B" w:rsidRPr="0044189B">
        <w:rPr>
          <w:rFonts w:hint="cs"/>
          <w:lang w:val="en-GB"/>
        </w:rPr>
        <w:t>)</w:t>
      </w:r>
      <w:r>
        <w:rPr>
          <w:rFonts w:hint="cs"/>
          <w:rtl/>
        </w:rPr>
        <w:t>،</w:t>
      </w:r>
      <w:r w:rsidRPr="003B2257">
        <w:rPr>
          <w:rFonts w:hint="cs"/>
          <w:rtl/>
        </w:rPr>
        <w:t xml:space="preserve"> تليها المنشورات الصادرة باللغة الإنكليزية فقط بنسبة</w:t>
      </w:r>
      <w:r w:rsidRPr="003B2257">
        <w:rPr>
          <w:rFonts w:hint="eastAsia"/>
          <w:rtl/>
        </w:rPr>
        <w:t> </w:t>
      </w:r>
      <w:r w:rsidRPr="003B2257">
        <w:t>%2</w:t>
      </w:r>
      <w:r>
        <w:t>1</w:t>
      </w:r>
      <w:r>
        <w:rPr>
          <w:rFonts w:hint="cs"/>
          <w:rtl/>
        </w:rPr>
        <w:t>. وتمثل</w:t>
      </w:r>
      <w:r w:rsidR="0044189B">
        <w:rPr>
          <w:rFonts w:hint="cs"/>
          <w:rtl/>
        </w:rPr>
        <w:t xml:space="preserve"> </w:t>
      </w:r>
      <w:r w:rsidRPr="003B2257">
        <w:rPr>
          <w:rFonts w:hint="cs"/>
          <w:rtl/>
        </w:rPr>
        <w:t xml:space="preserve">المنشورات الصادرة </w:t>
      </w:r>
      <w:r>
        <w:rPr>
          <w:rFonts w:hint="cs"/>
          <w:rtl/>
        </w:rPr>
        <w:t>بالتشكيلات اللغوية الأخرى</w:t>
      </w:r>
      <w:r w:rsidRPr="003B2257">
        <w:rPr>
          <w:rFonts w:hint="cs"/>
          <w:rtl/>
        </w:rPr>
        <w:t xml:space="preserve"> نسبة</w:t>
      </w:r>
      <w:r w:rsidRPr="003B2257">
        <w:rPr>
          <w:rFonts w:hint="eastAsia"/>
          <w:rtl/>
        </w:rPr>
        <w:t> </w:t>
      </w:r>
      <w:r w:rsidRPr="003B2257">
        <w:t>%</w:t>
      </w:r>
      <w:r>
        <w:t>2</w:t>
      </w:r>
      <w:r w:rsidRPr="003B2257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</w:t>
      </w:r>
      <w:r w:rsidRPr="003B2257">
        <w:rPr>
          <w:rFonts w:hint="cs"/>
          <w:rtl/>
        </w:rPr>
        <w:t>المبيعات.</w:t>
      </w:r>
    </w:p>
    <w:p w:rsidR="009C795A" w:rsidRPr="003B2257" w:rsidRDefault="009C795A" w:rsidP="009C795A">
      <w:pPr>
        <w:pStyle w:val="Heading2"/>
        <w:rPr>
          <w:rtl/>
          <w:lang w:bidi="ar-EG"/>
        </w:rPr>
      </w:pPr>
      <w:r>
        <w:t>3</w:t>
      </w:r>
      <w:r w:rsidRPr="003B2257">
        <w:t>.</w:t>
      </w:r>
      <w:r>
        <w:t>3</w:t>
      </w:r>
      <w:r w:rsidRPr="003B2257">
        <w:rPr>
          <w:rFonts w:hint="cs"/>
          <w:rtl/>
        </w:rPr>
        <w:tab/>
        <w:t>مبيعات منشور</w:t>
      </w:r>
      <w:r w:rsidR="00F4301E">
        <w:rPr>
          <w:rFonts w:hint="cs"/>
          <w:rtl/>
        </w:rPr>
        <w:t>ات الاتحاد للأعضاء/لغير الأعضاء</w:t>
      </w:r>
    </w:p>
    <w:p w:rsidR="009C795A" w:rsidRPr="003B2257" w:rsidRDefault="009C795A" w:rsidP="009C795A">
      <w:pPr>
        <w:pStyle w:val="enumlev1"/>
        <w:rPr>
          <w:rtl/>
        </w:rPr>
      </w:pPr>
      <w:r w:rsidRPr="009C795A">
        <w:rPr>
          <w:rFonts w:hint="cs"/>
          <w:b/>
          <w:bCs/>
          <w:rtl/>
          <w:lang w:bidi="ar-EG"/>
        </w:rPr>
        <w:t xml:space="preserve"> </w:t>
      </w:r>
      <w:proofErr w:type="gramStart"/>
      <w:r w:rsidRPr="009C795A">
        <w:rPr>
          <w:rFonts w:hint="cs"/>
          <w:b/>
          <w:bCs/>
          <w:rtl/>
          <w:lang w:bidi="ar-EG"/>
        </w:rPr>
        <w:t>أ )</w:t>
      </w:r>
      <w:proofErr w:type="gramEnd"/>
      <w:r w:rsidRPr="003B2257">
        <w:rPr>
          <w:rFonts w:hint="cs"/>
          <w:rtl/>
        </w:rPr>
        <w:tab/>
        <w:t xml:space="preserve">تظل النسبة المئوية للمبيعات للأعضاء/لغير الأعضاء في الحدود من </w:t>
      </w:r>
      <w:r w:rsidRPr="003B2257">
        <w:t>%5</w:t>
      </w:r>
      <w:r w:rsidRPr="003B2257">
        <w:rPr>
          <w:rFonts w:hint="cs"/>
          <w:rtl/>
        </w:rPr>
        <w:t xml:space="preserve"> إلى </w:t>
      </w:r>
      <w:r w:rsidRPr="003B2257">
        <w:t>%</w:t>
      </w:r>
      <w:r>
        <w:t>95</w:t>
      </w:r>
      <w:r w:rsidRPr="003B2257">
        <w:rPr>
          <w:rFonts w:hint="cs"/>
          <w:rtl/>
        </w:rPr>
        <w:t xml:space="preserve">. وللحصول على مزيد من التفاصيل، يرجى الاطلاع على وثيقة المعلومات </w:t>
      </w:r>
      <w:hyperlink r:id="rId13" w:history="1">
        <w:r w:rsidRPr="001A7E91">
          <w:rPr>
            <w:rStyle w:val="Hyperlink"/>
            <w:szCs w:val="22"/>
          </w:rPr>
          <w:t>C18/INF/2</w:t>
        </w:r>
      </w:hyperlink>
      <w:r w:rsidRPr="003B2257">
        <w:rPr>
          <w:rFonts w:hint="cs"/>
          <w:rtl/>
        </w:rPr>
        <w:t>.</w:t>
      </w:r>
    </w:p>
    <w:p w:rsidR="009C795A" w:rsidRPr="00C04705" w:rsidRDefault="009C795A" w:rsidP="009C795A">
      <w:pPr>
        <w:pStyle w:val="enumlev1"/>
        <w:rPr>
          <w:rFonts w:eastAsia="SimSun"/>
          <w:spacing w:val="-4"/>
          <w:rtl/>
        </w:rPr>
      </w:pPr>
      <w:proofErr w:type="gramStart"/>
      <w:r w:rsidRPr="009C795A">
        <w:rPr>
          <w:rFonts w:eastAsia="SimSun" w:hint="cs"/>
          <w:b/>
          <w:bCs/>
          <w:spacing w:val="-4"/>
          <w:rtl/>
        </w:rPr>
        <w:t>ب)</w:t>
      </w:r>
      <w:r w:rsidRPr="007F0429">
        <w:rPr>
          <w:rFonts w:eastAsia="SimSun" w:hint="cs"/>
          <w:spacing w:val="-4"/>
          <w:rtl/>
        </w:rPr>
        <w:tab/>
      </w:r>
      <w:proofErr w:type="gramEnd"/>
      <w:r w:rsidRPr="00D12A98">
        <w:rPr>
          <w:rFonts w:eastAsia="SimSun" w:hint="cs"/>
          <w:rtl/>
        </w:rPr>
        <w:t>ويمكن الاطلاع على أرقام المبيعات الإجمالية بحسب البلد في العنوان التالي:</w:t>
      </w:r>
      <w:r w:rsidRPr="00D12A98">
        <w:rPr>
          <w:rFonts w:eastAsia="SimSun"/>
        </w:rPr>
        <w:tab/>
      </w:r>
      <w:r>
        <w:rPr>
          <w:rFonts w:eastAsia="SimSun"/>
          <w:rtl/>
        </w:rPr>
        <w:br/>
      </w:r>
      <w:hyperlink r:id="rId14" w:history="1">
        <w:bookmarkStart w:id="2" w:name="lt_pId088"/>
        <w:r w:rsidRPr="0044189B">
          <w:rPr>
            <w:rStyle w:val="Hyperlink"/>
            <w:szCs w:val="22"/>
          </w:rPr>
          <w:t>http://www.itu.int/en/council/2018/Documents/country-sales-2017.docx</w:t>
        </w:r>
        <w:bookmarkEnd w:id="2"/>
      </w:hyperlink>
      <w:r w:rsidR="00D12A98">
        <w:rPr>
          <w:rFonts w:eastAsia="SimSun" w:hint="cs"/>
          <w:spacing w:val="-4"/>
          <w:rtl/>
        </w:rPr>
        <w:t>.</w:t>
      </w:r>
    </w:p>
    <w:p w:rsidR="004E11DC" w:rsidRDefault="0044189B" w:rsidP="0044189B">
      <w:pPr>
        <w:spacing w:before="600"/>
        <w:jc w:val="center"/>
        <w:rPr>
          <w:lang w:bidi="ar-EG"/>
        </w:rPr>
      </w:pPr>
      <w:r>
        <w:rPr>
          <w:rtl/>
          <w:lang w:bidi="ar-EG"/>
        </w:rPr>
        <w:t>___________</w:t>
      </w:r>
    </w:p>
    <w:sectPr w:rsidR="004E11DC" w:rsidSect="006C3242">
      <w:headerReference w:type="default" r:id="rId15"/>
      <w:foot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5A" w:rsidRDefault="009C795A" w:rsidP="006C3242">
      <w:pPr>
        <w:spacing w:before="0" w:line="240" w:lineRule="auto"/>
      </w:pPr>
      <w:r>
        <w:separator/>
      </w:r>
    </w:p>
  </w:endnote>
  <w:endnote w:type="continuationSeparator" w:id="0">
    <w:p w:rsidR="009C795A" w:rsidRDefault="009C795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FF55B6" w:rsidRDefault="006C3242" w:rsidP="0025042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color w:val="D9D9D9" w:themeColor="background1" w:themeShade="D9"/>
        <w:sz w:val="16"/>
        <w:szCs w:val="16"/>
        <w:lang w:val="fr-FR"/>
      </w:rPr>
    </w:pP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begin"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instrText xml:space="preserve"> FILENAME \p \* MERGEFORMAT </w:instrText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separate"/>
    </w:r>
    <w:r w:rsidR="0025042B" w:rsidRPr="00FF55B6">
      <w:rPr>
        <w:rFonts w:ascii="Calibri" w:hAnsi="Calibri" w:cs="Calibri"/>
        <w:noProof/>
        <w:color w:val="D9D9D9" w:themeColor="background1" w:themeShade="D9"/>
        <w:sz w:val="16"/>
        <w:szCs w:val="16"/>
        <w:lang w:val="fr-FR"/>
      </w:rPr>
      <w:t>P:\ARA\SG\CONSEIL\C18\000\021A.docx</w:t>
    </w:r>
    <w:r w:rsidRPr="00FF55B6">
      <w:rPr>
        <w:rFonts w:ascii="Calibri" w:hAnsi="Calibri" w:cs="Calibri"/>
        <w:color w:val="D9D9D9" w:themeColor="background1" w:themeShade="D9"/>
        <w:sz w:val="16"/>
        <w:szCs w:val="16"/>
      </w:rPr>
      <w:fldChar w:fldCharType="end"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CH"/>
      </w:rPr>
      <w:t xml:space="preserve">  </w:t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 xml:space="preserve"> (</w:t>
    </w:r>
    <w:r w:rsidR="0025042B" w:rsidRPr="00FF55B6">
      <w:rPr>
        <w:rFonts w:ascii="Calibri" w:hAnsi="Calibri" w:cs="Calibri" w:hint="cs"/>
        <w:color w:val="D9D9D9" w:themeColor="background1" w:themeShade="D9"/>
        <w:sz w:val="16"/>
        <w:szCs w:val="16"/>
        <w:rtl/>
        <w:lang w:val="fr-FR"/>
      </w:rPr>
      <w:t>425090</w:t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>)</w:t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ab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begin"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instrText xml:space="preserve"> savedate \@ dd.MM.yy </w:instrText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separate"/>
    </w:r>
    <w:r w:rsidR="00FF55B6" w:rsidRPr="00FF55B6">
      <w:rPr>
        <w:rFonts w:ascii="Calibri" w:hAnsi="Calibri" w:cs="Calibri"/>
        <w:noProof/>
        <w:color w:val="D9D9D9" w:themeColor="background1" w:themeShade="D9"/>
        <w:sz w:val="16"/>
        <w:szCs w:val="16"/>
        <w:lang w:val="fr-FR"/>
      </w:rPr>
      <w:t>10.04.18</w:t>
    </w:r>
    <w:r w:rsidRPr="00FF55B6">
      <w:rPr>
        <w:rFonts w:ascii="Calibri" w:hAnsi="Calibri" w:cs="Calibri"/>
        <w:color w:val="D9D9D9" w:themeColor="background1" w:themeShade="D9"/>
        <w:sz w:val="16"/>
        <w:szCs w:val="16"/>
      </w:rPr>
      <w:fldChar w:fldCharType="end"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ab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begin"/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instrText xml:space="preserve"> printdate \@ dd.MM.yy </w:instrText>
    </w:r>
    <w:r w:rsidRPr="00FF55B6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separate"/>
    </w:r>
    <w:r w:rsidR="009C795A" w:rsidRPr="00FF55B6">
      <w:rPr>
        <w:rFonts w:ascii="Calibri" w:hAnsi="Calibri" w:cs="Calibri"/>
        <w:noProof/>
        <w:color w:val="D9D9D9" w:themeColor="background1" w:themeShade="D9"/>
        <w:sz w:val="16"/>
        <w:szCs w:val="16"/>
        <w:lang w:val="fr-FR"/>
      </w:rPr>
      <w:t>00.00.00</w:t>
    </w:r>
    <w:r w:rsidRPr="00FF55B6">
      <w:rPr>
        <w:rFonts w:ascii="Calibri" w:hAnsi="Calibri" w:cs="Calibri"/>
        <w:color w:val="D9D9D9" w:themeColor="background1" w:themeShade="D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920BC4" w:rsidRDefault="006C3242" w:rsidP="006C3242">
    <w:pPr>
      <w:pStyle w:val="Footer"/>
      <w:spacing w:before="120" w:after="120"/>
      <w:jc w:val="center"/>
      <w:rPr>
        <w:rFonts w:ascii="Calibri" w:hAnsi="Calibri" w:cs="Calibri"/>
        <w:sz w:val="22"/>
        <w:szCs w:val="22"/>
        <w:lang w:val="fr-FR"/>
      </w:rPr>
    </w:pPr>
    <w:r w:rsidRPr="00920BC4">
      <w:rPr>
        <w:rFonts w:ascii="Calibri" w:hAnsi="Calibri" w:cs="Calibri"/>
        <w:sz w:val="22"/>
        <w:szCs w:val="22"/>
        <w:lang w:val="fr-FR"/>
      </w:rPr>
      <w:t xml:space="preserve">• </w:t>
    </w:r>
    <w:hyperlink r:id="rId1" w:history="1">
      <w:r w:rsidRPr="00920BC4">
        <w:rPr>
          <w:rStyle w:val="Hyperlink"/>
          <w:rFonts w:ascii="Calibri" w:hAnsi="Calibri" w:cs="Calibri"/>
          <w:sz w:val="22"/>
          <w:szCs w:val="22"/>
          <w:lang w:val="fr-FR"/>
        </w:rPr>
        <w:t>http://www.itu.int/council</w:t>
      </w:r>
    </w:hyperlink>
    <w:r w:rsidRPr="00920BC4">
      <w:rPr>
        <w:rFonts w:ascii="Calibri" w:hAnsi="Calibri" w:cs="Calibri"/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5A" w:rsidRDefault="009C795A" w:rsidP="006C3242">
      <w:pPr>
        <w:spacing w:before="0" w:line="240" w:lineRule="auto"/>
      </w:pPr>
      <w:r>
        <w:separator/>
      </w:r>
    </w:p>
  </w:footnote>
  <w:footnote w:type="continuationSeparator" w:id="0">
    <w:p w:rsidR="009C795A" w:rsidRDefault="009C795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FF55B6" w:rsidP="0025042B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FE7FCA">
          <w:rPr>
            <w:rFonts w:cs="Calibri"/>
            <w:noProof/>
            <w:sz w:val="20"/>
            <w:szCs w:val="20"/>
          </w:rPr>
          <w:t>8</w:t>
        </w:r>
        <w:r w:rsidR="0025042B">
          <w:rPr>
            <w:rFonts w:cs="Calibri"/>
            <w:noProof/>
            <w:sz w:val="20"/>
            <w:szCs w:val="20"/>
          </w:rPr>
          <w:t>/21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5A"/>
    <w:rsid w:val="0004721C"/>
    <w:rsid w:val="00090574"/>
    <w:rsid w:val="000C548A"/>
    <w:rsid w:val="001C0169"/>
    <w:rsid w:val="001D1D50"/>
    <w:rsid w:val="001E446E"/>
    <w:rsid w:val="002154EE"/>
    <w:rsid w:val="0023283D"/>
    <w:rsid w:val="0025042B"/>
    <w:rsid w:val="00271C43"/>
    <w:rsid w:val="00290728"/>
    <w:rsid w:val="002926FC"/>
    <w:rsid w:val="002978F4"/>
    <w:rsid w:val="002B028D"/>
    <w:rsid w:val="002E6541"/>
    <w:rsid w:val="00307374"/>
    <w:rsid w:val="00333171"/>
    <w:rsid w:val="003409BC"/>
    <w:rsid w:val="00357185"/>
    <w:rsid w:val="00383829"/>
    <w:rsid w:val="003F4B29"/>
    <w:rsid w:val="0042686F"/>
    <w:rsid w:val="004317D8"/>
    <w:rsid w:val="0044189B"/>
    <w:rsid w:val="00443869"/>
    <w:rsid w:val="00447F32"/>
    <w:rsid w:val="004E11DC"/>
    <w:rsid w:val="005409AC"/>
    <w:rsid w:val="0055516A"/>
    <w:rsid w:val="0058491B"/>
    <w:rsid w:val="005A3170"/>
    <w:rsid w:val="005D04A0"/>
    <w:rsid w:val="00651F98"/>
    <w:rsid w:val="0069200F"/>
    <w:rsid w:val="006A65CB"/>
    <w:rsid w:val="006C3242"/>
    <w:rsid w:val="006C7CC0"/>
    <w:rsid w:val="006F63F7"/>
    <w:rsid w:val="00706D7A"/>
    <w:rsid w:val="00722F0D"/>
    <w:rsid w:val="0074420E"/>
    <w:rsid w:val="00766AF4"/>
    <w:rsid w:val="00783E26"/>
    <w:rsid w:val="00787161"/>
    <w:rsid w:val="007C3BC7"/>
    <w:rsid w:val="007D4ACF"/>
    <w:rsid w:val="007F0787"/>
    <w:rsid w:val="00810B7B"/>
    <w:rsid w:val="008235CD"/>
    <w:rsid w:val="008247DE"/>
    <w:rsid w:val="00840B10"/>
    <w:rsid w:val="008513CB"/>
    <w:rsid w:val="00920BC4"/>
    <w:rsid w:val="00923B0C"/>
    <w:rsid w:val="0094021C"/>
    <w:rsid w:val="00982B28"/>
    <w:rsid w:val="009C795A"/>
    <w:rsid w:val="009D313F"/>
    <w:rsid w:val="00A115F2"/>
    <w:rsid w:val="00A47A5A"/>
    <w:rsid w:val="00A6683B"/>
    <w:rsid w:val="00A97F94"/>
    <w:rsid w:val="00B05BC8"/>
    <w:rsid w:val="00B64B47"/>
    <w:rsid w:val="00BE1112"/>
    <w:rsid w:val="00C002DE"/>
    <w:rsid w:val="00C53BF8"/>
    <w:rsid w:val="00C66157"/>
    <w:rsid w:val="00C674FE"/>
    <w:rsid w:val="00C75633"/>
    <w:rsid w:val="00CE2EE1"/>
    <w:rsid w:val="00CF3FFD"/>
    <w:rsid w:val="00D12A98"/>
    <w:rsid w:val="00D77D0F"/>
    <w:rsid w:val="00DA1CF0"/>
    <w:rsid w:val="00DC1E02"/>
    <w:rsid w:val="00DC24B4"/>
    <w:rsid w:val="00DC7E04"/>
    <w:rsid w:val="00DF16DC"/>
    <w:rsid w:val="00E45211"/>
    <w:rsid w:val="00EB796D"/>
    <w:rsid w:val="00F24FC4"/>
    <w:rsid w:val="00F2676C"/>
    <w:rsid w:val="00F4301E"/>
    <w:rsid w:val="00F84366"/>
    <w:rsid w:val="00F85089"/>
    <w:rsid w:val="00FA6F46"/>
    <w:rsid w:val="00FE5872"/>
    <w:rsid w:val="00FE7FCA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882466A-E36A-4793-8990-08212696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72"/>
    <w:pPr>
      <w:tabs>
        <w:tab w:val="left" w:pos="794"/>
        <w:tab w:val="left" w:pos="113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60"/>
      <w:ind w:left="1134" w:hanging="113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00"/>
      <w:ind w:left="1134" w:hanging="113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E587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587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FE5872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80"/>
      <w:ind w:left="1134" w:hanging="113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tabs>
        <w:tab w:val="clear" w:pos="1361"/>
      </w:tabs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tabs>
        <w:tab w:val="clear" w:pos="794"/>
        <w:tab w:val="clear" w:pos="1361"/>
        <w:tab w:val="clear" w:pos="1928"/>
        <w:tab w:val="clear" w:pos="2495"/>
      </w:tabs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8-CL-INF-0002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8-CL-INF-0002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S-CONF-ACTF-20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council/Basic-Texts/ResDecRec-PP10-e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8-CL-INF-0002/en" TargetMode="External"/><Relationship Id="rId14" Type="http://schemas.openxmlformats.org/officeDocument/2006/relationships/hyperlink" Target="http://www.itu.int/en/council/2018/Documents/country-sales-2017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B3EC-0B00-481A-916D-A47E1D16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of, and free online access to, ITU publications</dc:title>
  <dc:subject>Council 2018</dc:subject>
  <dc:creator>Saad, Samuel</dc:creator>
  <cp:keywords>C18, C2018</cp:keywords>
  <dc:description/>
  <cp:lastModifiedBy>Brouard, Ricarda</cp:lastModifiedBy>
  <cp:revision>2</cp:revision>
  <dcterms:created xsi:type="dcterms:W3CDTF">2018-04-10T15:22:00Z</dcterms:created>
  <dcterms:modified xsi:type="dcterms:W3CDTF">2018-04-10T15:22:00Z</dcterms:modified>
</cp:coreProperties>
</file>