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0B0D00">
        <w:trPr>
          <w:cantSplit/>
        </w:trPr>
        <w:tc>
          <w:tcPr>
            <w:tcW w:w="6912" w:type="dxa"/>
          </w:tcPr>
          <w:p w:rsidR="00093EEB" w:rsidRPr="000B0D00" w:rsidRDefault="00093EEB" w:rsidP="009F4811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093EEB">
              <w:rPr>
                <w:b/>
                <w:bCs/>
                <w:sz w:val="30"/>
                <w:szCs w:val="30"/>
              </w:rPr>
              <w:t>Consejo 201</w:t>
            </w:r>
            <w:r w:rsidR="009F4811">
              <w:rPr>
                <w:b/>
                <w:bCs/>
                <w:sz w:val="30"/>
                <w:szCs w:val="30"/>
              </w:rPr>
              <w:t>8</w:t>
            </w:r>
            <w:r w:rsidRPr="00093EEB">
              <w:rPr>
                <w:b/>
                <w:bCs/>
                <w:sz w:val="26"/>
                <w:szCs w:val="26"/>
              </w:rPr>
              <w:br/>
            </w:r>
            <w:r w:rsidRPr="00093EEB">
              <w:rPr>
                <w:b/>
                <w:bCs/>
                <w:szCs w:val="24"/>
              </w:rPr>
              <w:t>Ginebra, 1</w:t>
            </w:r>
            <w:r w:rsidR="009F4811">
              <w:rPr>
                <w:b/>
                <w:bCs/>
                <w:szCs w:val="24"/>
              </w:rPr>
              <w:t>7</w:t>
            </w:r>
            <w:r w:rsidRPr="00093EEB">
              <w:rPr>
                <w:b/>
                <w:bCs/>
                <w:szCs w:val="24"/>
              </w:rPr>
              <w:t>-2</w:t>
            </w:r>
            <w:r w:rsidR="009F4811">
              <w:rPr>
                <w:b/>
                <w:bCs/>
                <w:szCs w:val="24"/>
              </w:rPr>
              <w:t>7</w:t>
            </w:r>
            <w:r w:rsidRPr="00093EEB">
              <w:rPr>
                <w:b/>
                <w:bCs/>
                <w:szCs w:val="24"/>
              </w:rPr>
              <w:t xml:space="preserve"> de </w:t>
            </w:r>
            <w:r w:rsidR="009F4811">
              <w:rPr>
                <w:b/>
                <w:bCs/>
                <w:szCs w:val="24"/>
              </w:rPr>
              <w:t>abril</w:t>
            </w:r>
            <w:r w:rsidRPr="00093EEB">
              <w:rPr>
                <w:b/>
                <w:bCs/>
                <w:szCs w:val="24"/>
              </w:rPr>
              <w:t xml:space="preserve"> de 201</w:t>
            </w:r>
            <w:r w:rsidR="009F4811">
              <w:rPr>
                <w:b/>
                <w:bCs/>
                <w:szCs w:val="24"/>
              </w:rPr>
              <w:t>8</w:t>
            </w:r>
          </w:p>
        </w:tc>
        <w:tc>
          <w:tcPr>
            <w:tcW w:w="3261" w:type="dxa"/>
          </w:tcPr>
          <w:p w:rsidR="00093EEB" w:rsidRPr="000B0D00" w:rsidRDefault="00093EEB" w:rsidP="00093EEB">
            <w:pPr>
              <w:spacing w:before="0"/>
              <w:jc w:val="right"/>
              <w:rPr>
                <w:szCs w:val="24"/>
              </w:rPr>
            </w:pPr>
            <w:bookmarkStart w:id="2" w:name="ditulogo"/>
            <w:bookmarkEnd w:id="2"/>
            <w:r w:rsidRPr="00093EEB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20716D67" wp14:editId="3A7EBAD8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0B0D00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093EEB" w:rsidRPr="00EB1212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93EEB" w:rsidRDefault="00044C3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  <w:r w:rsidRPr="00044C3B">
              <w:rPr>
                <w:rFonts w:cs="Times"/>
                <w:b/>
                <w:szCs w:val="24"/>
              </w:rPr>
              <w:t>Punto del orden del día: ADM 9</w:t>
            </w:r>
          </w:p>
        </w:tc>
        <w:tc>
          <w:tcPr>
            <w:tcW w:w="3261" w:type="dxa"/>
          </w:tcPr>
          <w:p w:rsidR="00093EEB" w:rsidRPr="00093EEB" w:rsidRDefault="00093EEB" w:rsidP="00044C3B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Documento C1</w:t>
            </w:r>
            <w:r w:rsidR="009F4811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>/</w:t>
            </w:r>
            <w:r w:rsidR="00044C3B">
              <w:rPr>
                <w:b/>
                <w:bCs/>
                <w:szCs w:val="24"/>
              </w:rPr>
              <w:t>20</w:t>
            </w:r>
            <w:r>
              <w:rPr>
                <w:b/>
                <w:bCs/>
                <w:szCs w:val="24"/>
              </w:rPr>
              <w:t>-S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:rsidR="00093EEB" w:rsidRPr="00093EEB" w:rsidRDefault="00044C3B" w:rsidP="009F4811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8 de febrero </w:t>
            </w:r>
            <w:r w:rsidR="00093EEB">
              <w:rPr>
                <w:b/>
                <w:bCs/>
                <w:szCs w:val="24"/>
              </w:rPr>
              <w:t>de 201</w:t>
            </w:r>
            <w:r w:rsidR="009F4811">
              <w:rPr>
                <w:b/>
                <w:bCs/>
                <w:szCs w:val="24"/>
              </w:rPr>
              <w:t>8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:rsidR="00093EEB" w:rsidRPr="00093EEB" w:rsidRDefault="00093EEB" w:rsidP="00093EEB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0B0D00">
        <w:trPr>
          <w:cantSplit/>
        </w:trPr>
        <w:tc>
          <w:tcPr>
            <w:tcW w:w="10173" w:type="dxa"/>
            <w:gridSpan w:val="2"/>
          </w:tcPr>
          <w:p w:rsidR="00093EEB" w:rsidRPr="000B0D00" w:rsidRDefault="00044C3B" w:rsidP="00044C3B">
            <w:pPr>
              <w:pStyle w:val="Source"/>
            </w:pPr>
            <w:bookmarkStart w:id="7" w:name="dsource" w:colFirst="0" w:colLast="0"/>
            <w:bookmarkEnd w:id="1"/>
            <w:bookmarkEnd w:id="6"/>
            <w:r w:rsidRPr="00044C3B">
              <w:t>Informe del Secretario General</w:t>
            </w:r>
          </w:p>
        </w:tc>
      </w:tr>
      <w:tr w:rsidR="00093EEB" w:rsidRPr="000B0D00">
        <w:trPr>
          <w:cantSplit/>
        </w:trPr>
        <w:tc>
          <w:tcPr>
            <w:tcW w:w="10173" w:type="dxa"/>
            <w:gridSpan w:val="2"/>
          </w:tcPr>
          <w:p w:rsidR="00093EEB" w:rsidRPr="000B0D00" w:rsidRDefault="00044C3B" w:rsidP="00383BAE">
            <w:pPr>
              <w:pStyle w:val="Title1"/>
            </w:pPr>
            <w:bookmarkStart w:id="8" w:name="dtitle1" w:colFirst="0" w:colLast="0"/>
            <w:bookmarkEnd w:id="7"/>
            <w:r>
              <w:t xml:space="preserve">MARCO DE RENDICIÓN DE </w:t>
            </w:r>
            <w:r w:rsidRPr="00044C3B">
              <w:t>CUENTAS</w:t>
            </w:r>
            <w:r w:rsidR="00383BAE">
              <w:t xml:space="preserve"> Y TRANSPARENCIA</w:t>
            </w:r>
            <w:r w:rsidR="00383BAE">
              <w:br/>
            </w:r>
            <w:r>
              <w:t>UNIÓN INTERNACIONAL DE TELECOMUNICACIONES</w:t>
            </w:r>
          </w:p>
        </w:tc>
      </w:tr>
      <w:bookmarkEnd w:id="8"/>
    </w:tbl>
    <w:p w:rsidR="00093EEB" w:rsidRPr="000B0D00" w:rsidRDefault="00093EEB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093EEB" w:rsidRPr="000B0D00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EEB" w:rsidRPr="000B0D00" w:rsidRDefault="00093EEB">
            <w:pPr>
              <w:pStyle w:val="Headingb"/>
              <w:rPr>
                <w:lang w:val="es-ES"/>
              </w:rPr>
            </w:pPr>
            <w:r w:rsidRPr="000B0D00">
              <w:rPr>
                <w:lang w:val="es-ES"/>
              </w:rPr>
              <w:t>Resumen</w:t>
            </w:r>
          </w:p>
          <w:p w:rsidR="00093EEB" w:rsidRDefault="00044C3B">
            <w:pPr>
              <w:rPr>
                <w:lang w:val="es-ES"/>
              </w:rPr>
            </w:pPr>
            <w:r w:rsidRPr="00044C3B">
              <w:rPr>
                <w:lang w:val="es-ES"/>
              </w:rPr>
              <w:t>De conformidad con el examen de la gestión de la UIT realizado por la DCI en 2015 (JIU/REP/2016/1) el Secretario General presentó a la reunión de 2017 del Consejo un Marco Autónomo de Rendición de Cuentas que refunde los elementos fundamentales de la responsabilidad en tres pilares principales y criterios conexos.</w:t>
            </w:r>
          </w:p>
          <w:p w:rsidR="00CC5E23" w:rsidRPr="000B0D00" w:rsidRDefault="00CC5E23">
            <w:pPr>
              <w:rPr>
                <w:lang w:val="es-ES"/>
              </w:rPr>
            </w:pPr>
            <w:r>
              <w:rPr>
                <w:lang w:val="es-ES"/>
              </w:rPr>
              <w:t>En este informe se describen los progresos logrados en la aplicación de los criterios de la DPI para el Marco de Rendición de Cuentas.</w:t>
            </w:r>
          </w:p>
          <w:p w:rsidR="00093EEB" w:rsidRPr="000B0D00" w:rsidRDefault="00093EEB">
            <w:pPr>
              <w:pStyle w:val="Headingb"/>
              <w:rPr>
                <w:lang w:val="es-ES"/>
              </w:rPr>
            </w:pPr>
            <w:r w:rsidRPr="000B0D00">
              <w:rPr>
                <w:lang w:val="es-ES"/>
              </w:rPr>
              <w:t>Acción solicitada</w:t>
            </w:r>
          </w:p>
          <w:p w:rsidR="00093EEB" w:rsidRPr="000B0D00" w:rsidRDefault="00044C3B">
            <w:pPr>
              <w:rPr>
                <w:lang w:val="es-ES"/>
              </w:rPr>
            </w:pPr>
            <w:r w:rsidRPr="00044C3B">
              <w:rPr>
                <w:lang w:val="es-ES"/>
              </w:rPr>
              <w:t xml:space="preserve">Se invita al Consejo a </w:t>
            </w:r>
            <w:r w:rsidRPr="00CC5E23">
              <w:rPr>
                <w:b/>
                <w:bCs/>
                <w:lang w:val="es-ES"/>
              </w:rPr>
              <w:t>tomar nota</w:t>
            </w:r>
            <w:r w:rsidRPr="00044C3B">
              <w:rPr>
                <w:lang w:val="es-ES"/>
              </w:rPr>
              <w:t xml:space="preserve"> del informe.</w:t>
            </w:r>
          </w:p>
          <w:p w:rsidR="00093EEB" w:rsidRPr="000B0D00" w:rsidRDefault="00093EEB">
            <w:pPr>
              <w:pStyle w:val="Table"/>
              <w:keepNext w:val="0"/>
              <w:spacing w:before="0" w:after="0"/>
              <w:rPr>
                <w:caps w:val="0"/>
                <w:sz w:val="22"/>
                <w:lang w:val="es-ES"/>
              </w:rPr>
            </w:pPr>
            <w:r w:rsidRPr="000B0D00">
              <w:rPr>
                <w:caps w:val="0"/>
                <w:sz w:val="22"/>
                <w:lang w:val="es-ES"/>
              </w:rPr>
              <w:t>____________</w:t>
            </w:r>
          </w:p>
          <w:p w:rsidR="00093EEB" w:rsidRPr="000B0D00" w:rsidRDefault="00093EEB">
            <w:pPr>
              <w:pStyle w:val="Headingb"/>
              <w:rPr>
                <w:lang w:val="es-ES"/>
              </w:rPr>
            </w:pPr>
            <w:r w:rsidRPr="000B0D00">
              <w:rPr>
                <w:lang w:val="es-ES"/>
              </w:rPr>
              <w:t>Referencia</w:t>
            </w:r>
          </w:p>
          <w:p w:rsidR="00093EEB" w:rsidRPr="000B0D00" w:rsidRDefault="00E639FD" w:rsidP="00044C3B">
            <w:pPr>
              <w:spacing w:after="120"/>
              <w:rPr>
                <w:i/>
                <w:iCs/>
                <w:lang w:val="es-ES"/>
              </w:rPr>
            </w:pPr>
            <w:hyperlink r:id="rId8" w:history="1">
              <w:r w:rsidR="00044C3B" w:rsidRPr="00C80C6F">
                <w:rPr>
                  <w:rStyle w:val="Hyperlink"/>
                  <w:szCs w:val="24"/>
                </w:rPr>
                <w:t>C17/64</w:t>
              </w:r>
            </w:hyperlink>
            <w:r w:rsidR="00044C3B" w:rsidRPr="00C80C6F">
              <w:rPr>
                <w:szCs w:val="24"/>
              </w:rPr>
              <w:t xml:space="preserve">, </w:t>
            </w:r>
            <w:hyperlink r:id="rId9" w:history="1">
              <w:r w:rsidR="00044C3B" w:rsidRPr="00E70501">
                <w:rPr>
                  <w:rStyle w:val="Hyperlink"/>
                  <w:szCs w:val="24"/>
                </w:rPr>
                <w:t>JIU/REP/2011/5</w:t>
              </w:r>
            </w:hyperlink>
            <w:r w:rsidR="00044C3B" w:rsidRPr="00F96EB4">
              <w:t>,</w:t>
            </w:r>
            <w:r w:rsidR="00044C3B" w:rsidRPr="00E70501">
              <w:rPr>
                <w:rStyle w:val="Hyperlink"/>
                <w:szCs w:val="24"/>
              </w:rPr>
              <w:t xml:space="preserve"> </w:t>
            </w:r>
            <w:hyperlink r:id="rId10" w:history="1">
              <w:r w:rsidR="00044C3B" w:rsidRPr="00E70501">
                <w:rPr>
                  <w:rStyle w:val="Hyperlink"/>
                  <w:szCs w:val="24"/>
                </w:rPr>
                <w:t>JIU/REP/2016/1</w:t>
              </w:r>
            </w:hyperlink>
            <w:r w:rsidR="00044C3B" w:rsidRPr="00E70501">
              <w:rPr>
                <w:rStyle w:val="Hyperlink"/>
                <w:szCs w:val="24"/>
              </w:rPr>
              <w:t xml:space="preserve"> </w:t>
            </w:r>
            <w:r w:rsidR="00044C3B" w:rsidRPr="00F96EB4">
              <w:t>y</w:t>
            </w:r>
            <w:r w:rsidR="00044C3B" w:rsidRPr="00E70501">
              <w:rPr>
                <w:rStyle w:val="Hyperlink"/>
                <w:szCs w:val="24"/>
              </w:rPr>
              <w:t xml:space="preserve"> </w:t>
            </w:r>
            <w:hyperlink r:id="rId11" w:history="1">
              <w:r w:rsidR="00044C3B" w:rsidRPr="00E70501">
                <w:rPr>
                  <w:rStyle w:val="Hyperlink"/>
                  <w:szCs w:val="24"/>
                </w:rPr>
                <w:t>Resolución 64/259</w:t>
              </w:r>
            </w:hyperlink>
            <w:r w:rsidR="00044C3B" w:rsidRPr="00E70501">
              <w:rPr>
                <w:rStyle w:val="Hyperlink"/>
                <w:szCs w:val="24"/>
              </w:rPr>
              <w:t xml:space="preserve"> </w:t>
            </w:r>
            <w:r w:rsidR="00044C3B" w:rsidRPr="00F96EB4">
              <w:t>de la Asamblea General de las Naciones Unidas</w:t>
            </w:r>
            <w:r w:rsidR="00CC5E23">
              <w:t>.</w:t>
            </w:r>
          </w:p>
        </w:tc>
      </w:tr>
    </w:tbl>
    <w:p w:rsidR="00855AF8" w:rsidRDefault="00855AF8" w:rsidP="00855AF8"/>
    <w:p w:rsidR="00855AF8" w:rsidRDefault="00855AF8" w:rsidP="00855AF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855AF8" w:rsidRPr="00E70501" w:rsidRDefault="00855AF8" w:rsidP="00855AF8">
      <w:r w:rsidRPr="00E70501">
        <w:lastRenderedPageBreak/>
        <w:t>1</w:t>
      </w:r>
      <w:r w:rsidRPr="00E70501">
        <w:tab/>
      </w:r>
      <w:r>
        <w:t>La finalidad</w:t>
      </w:r>
      <w:r w:rsidRPr="00E70501">
        <w:t xml:space="preserve"> del presente documento </w:t>
      </w:r>
      <w:r>
        <w:t xml:space="preserve">es proporcionar información actualizada sobre los progresos logrados en </w:t>
      </w:r>
      <w:r>
        <w:rPr>
          <w:color w:val="000000"/>
        </w:rPr>
        <w:t>la aplicación de los criterios de la DCI para el Marco de Rendición de Cuentas</w:t>
      </w:r>
      <w:r>
        <w:t xml:space="preserve"> </w:t>
      </w:r>
      <w:r w:rsidRPr="00E70501">
        <w:t>(MRC).</w:t>
      </w:r>
    </w:p>
    <w:p w:rsidR="00855AF8" w:rsidRPr="00E70501" w:rsidRDefault="00855AF8" w:rsidP="00855AF8">
      <w:pPr>
        <w:spacing w:after="360"/>
      </w:pPr>
      <w:r>
        <w:t>2</w:t>
      </w:r>
      <w:r w:rsidRPr="00E70501">
        <w:tab/>
        <w:t xml:space="preserve">El Marco de rendición de cuentas de la UIT se apoya en tres pilares principales que se fundamentan en la estructura presentada en el informe de la DCI, como se indica a continuación. </w:t>
      </w:r>
    </w:p>
    <w:tbl>
      <w:tblPr>
        <w:tblStyle w:val="TableGrid"/>
        <w:tblpPr w:leftFromText="180" w:rightFromText="180" w:vertAnchor="text" w:horzAnchor="margin" w:tblpY="-18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55AF8" w:rsidRPr="00CC5E23" w:rsidTr="00D62F74">
        <w:tc>
          <w:tcPr>
            <w:tcW w:w="3116" w:type="dxa"/>
            <w:shd w:val="clear" w:color="auto" w:fill="365F91" w:themeFill="accent1" w:themeFillShade="BF"/>
          </w:tcPr>
          <w:p w:rsidR="00855AF8" w:rsidRPr="00CC5E23" w:rsidRDefault="00855AF8" w:rsidP="00383BAE">
            <w:pPr>
              <w:pStyle w:val="Tablehead"/>
              <w:rPr>
                <w:color w:val="FFFFFF" w:themeColor="background1"/>
                <w:sz w:val="18"/>
                <w:szCs w:val="18"/>
              </w:rPr>
            </w:pPr>
            <w:r w:rsidRPr="00CC5E23">
              <w:rPr>
                <w:color w:val="FFFFFF" w:themeColor="background1"/>
                <w:sz w:val="18"/>
                <w:szCs w:val="18"/>
              </w:rPr>
              <w:t>PILAR 1</w:t>
            </w:r>
          </w:p>
          <w:p w:rsidR="00855AF8" w:rsidRPr="00CC5E23" w:rsidRDefault="00855AF8" w:rsidP="00383BAE">
            <w:pPr>
              <w:pStyle w:val="Tablehead"/>
              <w:rPr>
                <w:color w:val="FFFFFF" w:themeColor="background1"/>
                <w:sz w:val="18"/>
                <w:szCs w:val="18"/>
              </w:rPr>
            </w:pPr>
            <w:r w:rsidRPr="00CC5E23">
              <w:rPr>
                <w:color w:val="FFFFFF" w:themeColor="background1"/>
                <w:sz w:val="18"/>
                <w:szCs w:val="18"/>
              </w:rPr>
              <w:t>Pacto político con los Estados Miembros, Miembros de los Sectores, Asociados, Sectores académicos y usuarios de los Servicios de la UIT</w:t>
            </w:r>
          </w:p>
        </w:tc>
        <w:tc>
          <w:tcPr>
            <w:tcW w:w="3117" w:type="dxa"/>
            <w:shd w:val="clear" w:color="auto" w:fill="365F91" w:themeFill="accent1" w:themeFillShade="BF"/>
          </w:tcPr>
          <w:p w:rsidR="00855AF8" w:rsidRPr="00CC5E23" w:rsidRDefault="00855AF8" w:rsidP="00383BAE">
            <w:pPr>
              <w:pStyle w:val="Tablehead"/>
              <w:rPr>
                <w:color w:val="FFFFFF" w:themeColor="background1"/>
                <w:sz w:val="18"/>
                <w:szCs w:val="18"/>
              </w:rPr>
            </w:pPr>
            <w:r w:rsidRPr="00CC5E23">
              <w:rPr>
                <w:color w:val="FFFFFF" w:themeColor="background1"/>
                <w:sz w:val="18"/>
                <w:szCs w:val="18"/>
              </w:rPr>
              <w:t>PILAR 2</w:t>
            </w:r>
          </w:p>
          <w:p w:rsidR="00855AF8" w:rsidRPr="00CC5E23" w:rsidRDefault="00855AF8" w:rsidP="00383BAE">
            <w:pPr>
              <w:pStyle w:val="Tablehead"/>
              <w:rPr>
                <w:color w:val="FFFFFF" w:themeColor="background1"/>
                <w:sz w:val="18"/>
                <w:szCs w:val="18"/>
              </w:rPr>
            </w:pPr>
            <w:r w:rsidRPr="00CC5E23">
              <w:rPr>
                <w:color w:val="FFFFFF" w:themeColor="background1"/>
                <w:sz w:val="18"/>
                <w:szCs w:val="18"/>
              </w:rPr>
              <w:t>Controles internos y gestión de riesgos</w:t>
            </w:r>
          </w:p>
        </w:tc>
        <w:tc>
          <w:tcPr>
            <w:tcW w:w="3117" w:type="dxa"/>
            <w:shd w:val="clear" w:color="auto" w:fill="365F91" w:themeFill="accent1" w:themeFillShade="BF"/>
          </w:tcPr>
          <w:p w:rsidR="00855AF8" w:rsidRPr="00CC5E23" w:rsidRDefault="00855AF8" w:rsidP="00383BAE">
            <w:pPr>
              <w:pStyle w:val="Tablehead"/>
              <w:rPr>
                <w:color w:val="FFFFFF" w:themeColor="background1"/>
                <w:sz w:val="18"/>
                <w:szCs w:val="18"/>
              </w:rPr>
            </w:pPr>
            <w:r w:rsidRPr="00CC5E23">
              <w:rPr>
                <w:color w:val="FFFFFF" w:themeColor="background1"/>
                <w:sz w:val="18"/>
                <w:szCs w:val="18"/>
              </w:rPr>
              <w:t>PILAR 3</w:t>
            </w:r>
          </w:p>
          <w:p w:rsidR="00855AF8" w:rsidRPr="00CC5E23" w:rsidRDefault="00C26591" w:rsidP="00C26591">
            <w:pPr>
              <w:pStyle w:val="Tablehead"/>
              <w:rPr>
                <w:color w:val="FFFFFF" w:themeColor="background1"/>
                <w:sz w:val="18"/>
                <w:szCs w:val="18"/>
              </w:rPr>
            </w:pPr>
            <w:r w:rsidRPr="00CC5E23">
              <w:rPr>
                <w:color w:val="FFFFFF" w:themeColor="background1"/>
                <w:sz w:val="18"/>
                <w:szCs w:val="18"/>
              </w:rPr>
              <w:t>Mecanismos de reclamación y</w:t>
            </w:r>
            <w:r w:rsidRPr="00CC5E23">
              <w:rPr>
                <w:color w:val="FFFFFF" w:themeColor="background1"/>
                <w:sz w:val="18"/>
                <w:szCs w:val="18"/>
              </w:rPr>
              <w:br/>
            </w:r>
            <w:r w:rsidR="00855AF8" w:rsidRPr="00CC5E23">
              <w:rPr>
                <w:color w:val="FFFFFF" w:themeColor="background1"/>
                <w:sz w:val="18"/>
                <w:szCs w:val="18"/>
              </w:rPr>
              <w:t>de</w:t>
            </w:r>
            <w:r w:rsidRPr="00CC5E23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855AF8" w:rsidRPr="00CC5E23">
              <w:rPr>
                <w:color w:val="FFFFFF" w:themeColor="background1"/>
                <w:sz w:val="18"/>
                <w:szCs w:val="18"/>
              </w:rPr>
              <w:t>respuesta</w:t>
            </w:r>
          </w:p>
        </w:tc>
      </w:tr>
      <w:tr w:rsidR="00855AF8" w:rsidRPr="00CC5E23" w:rsidTr="00D62F74">
        <w:tc>
          <w:tcPr>
            <w:tcW w:w="3116" w:type="dxa"/>
            <w:shd w:val="clear" w:color="auto" w:fill="B8CCE4" w:themeFill="accent1" w:themeFillTint="66"/>
          </w:tcPr>
          <w:p w:rsidR="00855AF8" w:rsidRPr="00CC5E23" w:rsidRDefault="00383BAE" w:rsidP="00383BAE">
            <w:pPr>
              <w:pStyle w:val="Tabletext"/>
              <w:ind w:left="720" w:hanging="720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-</w:t>
            </w:r>
            <w:r w:rsidRPr="00CC5E23">
              <w:rPr>
                <w:sz w:val="18"/>
                <w:szCs w:val="18"/>
              </w:rPr>
              <w:tab/>
            </w:r>
            <w:r w:rsidR="00855AF8" w:rsidRPr="00CC5E23">
              <w:rPr>
                <w:sz w:val="18"/>
                <w:szCs w:val="18"/>
              </w:rPr>
              <w:t>Instrumentos básicos de la UIT, acuerdos y tratados pertinentes</w:t>
            </w:r>
          </w:p>
          <w:p w:rsidR="00855AF8" w:rsidRPr="00CC5E23" w:rsidRDefault="00383BAE" w:rsidP="00383BAE">
            <w:pPr>
              <w:pStyle w:val="Tabletext"/>
              <w:ind w:left="720" w:hanging="720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-</w:t>
            </w:r>
            <w:r w:rsidRPr="00CC5E23">
              <w:rPr>
                <w:sz w:val="18"/>
                <w:szCs w:val="18"/>
              </w:rPr>
              <w:tab/>
            </w:r>
            <w:r w:rsidR="00855AF8" w:rsidRPr="00CC5E23">
              <w:rPr>
                <w:sz w:val="18"/>
                <w:szCs w:val="18"/>
              </w:rPr>
              <w:t>Marco de resultados de la UIT</w:t>
            </w:r>
          </w:p>
        </w:tc>
        <w:tc>
          <w:tcPr>
            <w:tcW w:w="3117" w:type="dxa"/>
            <w:shd w:val="clear" w:color="auto" w:fill="B8CCE4" w:themeFill="accent1" w:themeFillTint="66"/>
          </w:tcPr>
          <w:p w:rsidR="00855AF8" w:rsidRPr="00CC5E23" w:rsidRDefault="00383BAE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-</w:t>
            </w:r>
            <w:r w:rsidRPr="00CC5E23">
              <w:rPr>
                <w:sz w:val="18"/>
                <w:szCs w:val="18"/>
              </w:rPr>
              <w:tab/>
            </w:r>
            <w:r w:rsidR="00855AF8" w:rsidRPr="00CC5E23">
              <w:rPr>
                <w:sz w:val="18"/>
                <w:szCs w:val="18"/>
              </w:rPr>
              <w:t>Entorno de control</w:t>
            </w:r>
          </w:p>
          <w:p w:rsidR="00855AF8" w:rsidRPr="00CC5E23" w:rsidRDefault="00383BAE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-</w:t>
            </w:r>
            <w:r w:rsidRPr="00CC5E23">
              <w:rPr>
                <w:sz w:val="18"/>
                <w:szCs w:val="18"/>
              </w:rPr>
              <w:tab/>
            </w:r>
            <w:r w:rsidR="00855AF8" w:rsidRPr="00CC5E23">
              <w:rPr>
                <w:sz w:val="18"/>
                <w:szCs w:val="18"/>
              </w:rPr>
              <w:t>Actividades de control</w:t>
            </w:r>
          </w:p>
          <w:p w:rsidR="00855AF8" w:rsidRPr="00CC5E23" w:rsidRDefault="00383BAE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-</w:t>
            </w:r>
            <w:r w:rsidRPr="00CC5E23">
              <w:rPr>
                <w:sz w:val="18"/>
                <w:szCs w:val="18"/>
              </w:rPr>
              <w:tab/>
            </w:r>
            <w:r w:rsidR="00855AF8" w:rsidRPr="00CC5E23">
              <w:rPr>
                <w:sz w:val="18"/>
                <w:szCs w:val="18"/>
              </w:rPr>
              <w:t>Evaluación del riesgo</w:t>
            </w:r>
          </w:p>
          <w:p w:rsidR="00855AF8" w:rsidRPr="00CC5E23" w:rsidRDefault="00383BAE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-</w:t>
            </w:r>
            <w:r w:rsidRPr="00CC5E23">
              <w:rPr>
                <w:sz w:val="18"/>
                <w:szCs w:val="18"/>
              </w:rPr>
              <w:tab/>
            </w:r>
            <w:r w:rsidR="00855AF8" w:rsidRPr="00CC5E23">
              <w:rPr>
                <w:sz w:val="18"/>
                <w:szCs w:val="18"/>
              </w:rPr>
              <w:t xml:space="preserve">Supervisión </w:t>
            </w:r>
          </w:p>
        </w:tc>
        <w:tc>
          <w:tcPr>
            <w:tcW w:w="3117" w:type="dxa"/>
            <w:shd w:val="clear" w:color="auto" w:fill="B8CCE4" w:themeFill="accent1" w:themeFillTint="66"/>
          </w:tcPr>
          <w:p w:rsidR="00855AF8" w:rsidRPr="00CC5E23" w:rsidRDefault="00383BAE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-</w:t>
            </w:r>
            <w:r w:rsidRPr="00CC5E23">
              <w:rPr>
                <w:sz w:val="18"/>
                <w:szCs w:val="18"/>
              </w:rPr>
              <w:tab/>
            </w:r>
            <w:r w:rsidR="00855AF8" w:rsidRPr="00CC5E23">
              <w:rPr>
                <w:sz w:val="18"/>
                <w:szCs w:val="18"/>
              </w:rPr>
              <w:t>Adquisiciones</w:t>
            </w:r>
          </w:p>
          <w:p w:rsidR="00855AF8" w:rsidRPr="00CC5E23" w:rsidRDefault="00383BAE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-</w:t>
            </w:r>
            <w:r w:rsidRPr="00CC5E23">
              <w:rPr>
                <w:sz w:val="18"/>
                <w:szCs w:val="18"/>
              </w:rPr>
              <w:tab/>
            </w:r>
            <w:r w:rsidR="00855AF8" w:rsidRPr="00CC5E23">
              <w:rPr>
                <w:sz w:val="18"/>
                <w:szCs w:val="18"/>
              </w:rPr>
              <w:t>Personal de la UIT</w:t>
            </w:r>
          </w:p>
          <w:p w:rsidR="00855AF8" w:rsidRPr="00CC5E23" w:rsidRDefault="00383BAE" w:rsidP="00383BAE">
            <w:pPr>
              <w:pStyle w:val="Tabletext"/>
              <w:ind w:left="720" w:hanging="720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-</w:t>
            </w:r>
            <w:r w:rsidRPr="00CC5E23">
              <w:rPr>
                <w:sz w:val="18"/>
                <w:szCs w:val="18"/>
              </w:rPr>
              <w:tab/>
            </w:r>
            <w:r w:rsidR="00855AF8" w:rsidRPr="00CC5E23">
              <w:rPr>
                <w:sz w:val="18"/>
                <w:szCs w:val="18"/>
              </w:rPr>
              <w:t>Miembros y demás usuarios de los servicios de la UIT</w:t>
            </w:r>
          </w:p>
        </w:tc>
      </w:tr>
    </w:tbl>
    <w:p w:rsidR="00855AF8" w:rsidRDefault="00855AF8" w:rsidP="00855AF8">
      <w:r>
        <w:t>3</w:t>
      </w:r>
      <w:r w:rsidRPr="00E70501">
        <w:tab/>
      </w:r>
      <w:r>
        <w:t>E</w:t>
      </w:r>
      <w:r w:rsidRPr="00E70501">
        <w:t xml:space="preserve">l Marco de Rendición de Cuentas de la UIT se revisará periódicamente para </w:t>
      </w:r>
      <w:r>
        <w:t>fortalecer</w:t>
      </w:r>
      <w:r w:rsidRPr="00E70501">
        <w:t xml:space="preserve"> la capacidad institucional y garantizar la continuidad de su pertinencia. Se pondrá al día para recoger los nuevos requisitos o las mejoras que dimanen de las nuevas iniciativas o de las experiencias adquiridas. La UIT garantizará que el Marco de Rendición de Cuentas siga siendo pertinente al mandato y los objetivos de la Unión.</w:t>
      </w:r>
      <w:r w:rsidRPr="009318D3">
        <w:t xml:space="preserve"> </w:t>
      </w:r>
      <w:r w:rsidRPr="00E70501">
        <w:t>La UIT continuará garantizando que el Marco de Rendición de Cuentas de la Unión responda a las circunstancias en evolución y tenga en cuenta las prácticas recomendadas en el sistema de las Naciones Unidas.</w:t>
      </w:r>
    </w:p>
    <w:p w:rsidR="00855AF8" w:rsidRPr="00E70501" w:rsidRDefault="00855AF8" w:rsidP="00855AF8">
      <w:r>
        <w:t>4</w:t>
      </w:r>
      <w:r>
        <w:tab/>
        <w:t xml:space="preserve">En el cuadro Anexo se actualizan los progresos logrados en </w:t>
      </w:r>
      <w:r>
        <w:rPr>
          <w:color w:val="000000"/>
        </w:rPr>
        <w:t>la aplicación de los criterios de la DCI para el Marco de Rendición de Cuentas</w:t>
      </w:r>
      <w:r>
        <w:t xml:space="preserve"> </w:t>
      </w:r>
      <w:r w:rsidRPr="00E70501">
        <w:t>(MRC</w:t>
      </w:r>
      <w:r>
        <w:t>) para los tres pilares antes descritos.</w:t>
      </w:r>
    </w:p>
    <w:p w:rsidR="00855AF8" w:rsidRPr="00E70501" w:rsidRDefault="00855AF8" w:rsidP="00855AF8"/>
    <w:p w:rsidR="00855AF8" w:rsidRPr="00E70501" w:rsidRDefault="00855AF8" w:rsidP="00855AF8"/>
    <w:p w:rsidR="00855AF8" w:rsidRPr="00E70501" w:rsidRDefault="00855AF8" w:rsidP="00855AF8">
      <w:pPr>
        <w:jc w:val="both"/>
      </w:pPr>
    </w:p>
    <w:p w:rsidR="00855AF8" w:rsidRPr="00E70501" w:rsidRDefault="00855AF8" w:rsidP="00855AF8">
      <w:pPr>
        <w:jc w:val="both"/>
        <w:sectPr w:rsidR="00855AF8" w:rsidRPr="00E70501" w:rsidSect="007D3334">
          <w:headerReference w:type="default" r:id="rId12"/>
          <w:footerReference w:type="default" r:id="rId13"/>
          <w:footerReference w:type="first" r:id="rId14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  <w:docGrid w:linePitch="326"/>
        </w:sectPr>
      </w:pPr>
    </w:p>
    <w:p w:rsidR="00855AF8" w:rsidRPr="00E70501" w:rsidRDefault="00855AF8" w:rsidP="00855AF8">
      <w:pPr>
        <w:pStyle w:val="AnnexNo"/>
        <w:spacing w:before="0"/>
        <w:rPr>
          <w:rFonts w:eastAsiaTheme="majorEastAsia"/>
        </w:rPr>
      </w:pPr>
      <w:r w:rsidRPr="00E70501">
        <w:rPr>
          <w:rFonts w:eastAsiaTheme="majorEastAsia"/>
        </w:rPr>
        <w:lastRenderedPageBreak/>
        <w:t>ANEXO</w:t>
      </w:r>
    </w:p>
    <w:p w:rsidR="00855AF8" w:rsidRPr="00E70501" w:rsidRDefault="00855AF8" w:rsidP="00855AF8">
      <w:pPr>
        <w:pStyle w:val="Annextitle"/>
        <w:rPr>
          <w:rFonts w:eastAsiaTheme="majorEastAsia"/>
        </w:rPr>
      </w:pPr>
      <w:r w:rsidRPr="00E70501">
        <w:rPr>
          <w:rFonts w:eastAsiaTheme="majorEastAsia"/>
        </w:rPr>
        <w:t>Progreso</w:t>
      </w:r>
      <w:r>
        <w:rPr>
          <w:rFonts w:eastAsiaTheme="majorEastAsia"/>
        </w:rPr>
        <w:t>s logrados en</w:t>
      </w:r>
      <w:r w:rsidRPr="00E70501">
        <w:rPr>
          <w:rFonts w:eastAsiaTheme="majorEastAsia"/>
        </w:rPr>
        <w:t xml:space="preserve"> la aplicación de los criterios de la DCI para el Marco de Rendición de Cuentas</w:t>
      </w:r>
    </w:p>
    <w:p w:rsidR="00855AF8" w:rsidRPr="00E70501" w:rsidRDefault="00855AF8" w:rsidP="00855AF8">
      <w:pPr>
        <w:pStyle w:val="Headingb"/>
      </w:pPr>
      <w:r w:rsidRPr="00E70501">
        <w:t>Pilar 1</w:t>
      </w:r>
    </w:p>
    <w:tbl>
      <w:tblPr>
        <w:tblStyle w:val="TableGrid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3969"/>
        <w:gridCol w:w="1276"/>
        <w:gridCol w:w="6379"/>
      </w:tblGrid>
      <w:tr w:rsidR="00855AF8" w:rsidRPr="00CC5E23" w:rsidTr="00D62F74">
        <w:trPr>
          <w:tblHeader/>
        </w:trPr>
        <w:tc>
          <w:tcPr>
            <w:tcW w:w="2977" w:type="dxa"/>
            <w:shd w:val="clear" w:color="auto" w:fill="B8CCE4" w:themeFill="accent1" w:themeFillTint="66"/>
          </w:tcPr>
          <w:p w:rsidR="00855AF8" w:rsidRPr="00CC5E23" w:rsidRDefault="00855AF8" w:rsidP="00383BAE">
            <w:pPr>
              <w:pStyle w:val="Tablehead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Criterio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855AF8" w:rsidRPr="00CC5E23" w:rsidRDefault="00855AF8" w:rsidP="00383BAE">
            <w:pPr>
              <w:pStyle w:val="Tablehead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Instrumentos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855AF8" w:rsidRPr="00CC5E23" w:rsidRDefault="00855AF8" w:rsidP="00383BAE">
            <w:pPr>
              <w:pStyle w:val="Tablehead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Estado</w:t>
            </w:r>
          </w:p>
        </w:tc>
        <w:tc>
          <w:tcPr>
            <w:tcW w:w="6379" w:type="dxa"/>
            <w:shd w:val="clear" w:color="auto" w:fill="B8CCE4" w:themeFill="accent1" w:themeFillTint="66"/>
          </w:tcPr>
          <w:p w:rsidR="00855AF8" w:rsidRPr="00CC5E23" w:rsidRDefault="00855AF8" w:rsidP="00383BAE">
            <w:pPr>
              <w:pStyle w:val="Tablehead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Observaciones</w:t>
            </w:r>
          </w:p>
        </w:tc>
      </w:tr>
      <w:tr w:rsidR="00855AF8" w:rsidRPr="00CC5E23" w:rsidTr="00D62F74">
        <w:trPr>
          <w:trHeight w:val="255"/>
        </w:trPr>
        <w:tc>
          <w:tcPr>
            <w:tcW w:w="2977" w:type="dxa"/>
            <w:vMerge w:val="restart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1. Existe un marco de rendición de cuentas claro, en el que se define la rendición de cuentas, se delimitan las responsabilidades relativas a la aplicación general del marco y se vinculan entre sí todos los componentes</w:t>
            </w:r>
            <w:r w:rsidR="00CC5E2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Documento de política sobre el marco</w:t>
            </w:r>
          </w:p>
        </w:tc>
        <w:tc>
          <w:tcPr>
            <w:tcW w:w="1276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379" w:type="dxa"/>
            <w:vMerge w:val="restart"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A tenor de esta propuesta, la UIT está implementando este marco. Se complementará su implementación una vez adoptada por el Consejo en 2017.</w:t>
            </w:r>
          </w:p>
        </w:tc>
      </w:tr>
      <w:tr w:rsidR="00855AF8" w:rsidRPr="00CC5E23" w:rsidTr="00D62F74">
        <w:trPr>
          <w:trHeight w:val="256"/>
        </w:trPr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Definición de rendición de cuentas</w:t>
            </w:r>
          </w:p>
        </w:tc>
        <w:tc>
          <w:tcPr>
            <w:tcW w:w="1276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379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rPr>
          <w:trHeight w:val="255"/>
        </w:trPr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Funciones y responsabilidades de los directivos superiores, los departamentos de ejecución y el personal</w:t>
            </w:r>
          </w:p>
        </w:tc>
        <w:tc>
          <w:tcPr>
            <w:tcW w:w="1276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379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rPr>
          <w:trHeight w:val="256"/>
        </w:trPr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Documento de política disponible en el sitio web y para el personal</w:t>
            </w:r>
          </w:p>
        </w:tc>
        <w:tc>
          <w:tcPr>
            <w:tcW w:w="1276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En curso</w:t>
            </w:r>
          </w:p>
        </w:tc>
        <w:tc>
          <w:tcPr>
            <w:tcW w:w="6379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rPr>
          <w:trHeight w:val="256"/>
        </w:trPr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Inclusión en el marco de los componentes fundamentales de la rendición de cuentas.</w:t>
            </w:r>
          </w:p>
        </w:tc>
        <w:tc>
          <w:tcPr>
            <w:tcW w:w="1276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379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rPr>
          <w:trHeight w:val="479"/>
        </w:trPr>
        <w:tc>
          <w:tcPr>
            <w:tcW w:w="2977" w:type="dxa"/>
            <w:vMerge w:val="restart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2. La gestión basada en los resultados es operacional y coherente con los mandatos y los objetivos de la organización, y se traduce en planes de trabajo de las dependencias y personales</w:t>
            </w:r>
            <w:r w:rsidR="00CC5E2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Planes estratégicos</w:t>
            </w:r>
          </w:p>
        </w:tc>
        <w:tc>
          <w:tcPr>
            <w:tcW w:w="1276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379" w:type="dxa"/>
            <w:vMerge w:val="restart"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La gestión basada en los resultados es operacional y coherente con los mandatos y los objetivos de la organización (objetivos y metas estratégicas, Objetivos/Resultados sectoriales e intersectoriales, Productos y Servicios de apoyo e instrumentales).</w:t>
            </w:r>
          </w:p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Se están elaborando planes de trabajo para las dependencias y las personas tomando como base el marco de resultados de la organización. En enero de 2018 se pondrá en marcha un nuevo sistema de evaluación del rendimiento y de gestión del desarrollo. Los objetivos personales de trabajo se armonizarán con los objetivos estratégicos de la Unión</w:t>
            </w:r>
            <w:r w:rsidR="00CC5E23">
              <w:rPr>
                <w:sz w:val="18"/>
                <w:szCs w:val="18"/>
              </w:rPr>
              <w:t>.</w:t>
            </w:r>
          </w:p>
        </w:tc>
      </w:tr>
      <w:tr w:rsidR="00855AF8" w:rsidRPr="00CC5E23" w:rsidTr="00D62F74">
        <w:trPr>
          <w:trHeight w:val="454"/>
        </w:trPr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Planes de trabajo de las dependencias</w:t>
            </w:r>
          </w:p>
        </w:tc>
        <w:tc>
          <w:tcPr>
            <w:tcW w:w="1276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En curso</w:t>
            </w:r>
          </w:p>
        </w:tc>
        <w:tc>
          <w:tcPr>
            <w:tcW w:w="6379" w:type="dxa"/>
            <w:vMerge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rPr>
          <w:trHeight w:val="287"/>
        </w:trPr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Objetivos personales de trabajo</w:t>
            </w:r>
          </w:p>
        </w:tc>
        <w:tc>
          <w:tcPr>
            <w:tcW w:w="1276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379" w:type="dxa"/>
            <w:vMerge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977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 xml:space="preserve">3. Las organizaciones realizan evaluaciones creíbles y útiles y comunican las constataciones, </w:t>
            </w:r>
            <w:r w:rsidRPr="00CC5E23">
              <w:rPr>
                <w:sz w:val="18"/>
                <w:szCs w:val="18"/>
              </w:rPr>
              <w:lastRenderedPageBreak/>
              <w:t>conclusiones y recomendaciones a las partes interesadas</w:t>
            </w:r>
            <w:r w:rsidR="00CC5E2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lastRenderedPageBreak/>
              <w:t>Función de evaluación</w:t>
            </w:r>
          </w:p>
        </w:tc>
        <w:tc>
          <w:tcPr>
            <w:tcW w:w="1276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En curso</w:t>
            </w:r>
          </w:p>
        </w:tc>
        <w:tc>
          <w:tcPr>
            <w:tcW w:w="6379" w:type="dxa"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 xml:space="preserve">Se está llevando a cabo un estudio de viabilidad de la evaluación en la UIT que se plasme en: a) Un breve informe sobre el desempeño identificado y recomendado para su inclusión en el proceso de </w:t>
            </w:r>
            <w:r w:rsidRPr="00CC5E23">
              <w:rPr>
                <w:sz w:val="18"/>
                <w:szCs w:val="18"/>
              </w:rPr>
              <w:lastRenderedPageBreak/>
              <w:t>evaluación, b) Un breve informe sobre la necesidades de evaluación en la UIT, tomando como base el alcance y los objetivos de la evaluación recomendados, y c) Un documento con la política de evaluación, las directrices, el plan de trabajo y las fases adicionales. El Plan de la Unidad de Auditoría Interna para 2018 contiene un proyecto piloto de evaluación que se ejecutará en el primer y segundo trimestres sobre el tema de “ciudades inteligentes”, según lo convenido con el Director de la TSB</w:t>
            </w:r>
            <w:r w:rsidR="00CC5E23">
              <w:rPr>
                <w:sz w:val="18"/>
                <w:szCs w:val="18"/>
              </w:rPr>
              <w:t>.</w:t>
            </w:r>
          </w:p>
        </w:tc>
      </w:tr>
      <w:tr w:rsidR="00855AF8" w:rsidRPr="00CC5E23" w:rsidTr="00D62F74">
        <w:trPr>
          <w:trHeight w:val="576"/>
        </w:trPr>
        <w:tc>
          <w:tcPr>
            <w:tcW w:w="2977" w:type="dxa"/>
            <w:vMerge w:val="restart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lastRenderedPageBreak/>
              <w:t>4. Las organizaciones han establecido una política de divulgación de información que aplican de forma efectiva y por la que se comunican periódicamente los resultados de las actividades de la organización a los órganos legislativos, los Estados miembros y otros interesados, en particular los donantes, los beneficiarios y el público en general</w:t>
            </w:r>
            <w:r w:rsidR="00CC5E2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Política de divulgación de información</w:t>
            </w:r>
          </w:p>
        </w:tc>
        <w:tc>
          <w:tcPr>
            <w:tcW w:w="1276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379" w:type="dxa"/>
            <w:vMerge w:val="restart"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Con el ánimo de conseguir una mayor transparencia en la rendición de cuentas, el Consejo de la UIT adoptó en su reunión de 2016 una política de acceso a la información y los documentos de la UIT que "asegura que el público pueda acceder a la información guardada, gestionada o generada por la UIT"; esta política entrará en vigor el 1 de enero de 2017 con carácter provisional.</w:t>
            </w:r>
          </w:p>
        </w:tc>
      </w:tr>
      <w:tr w:rsidR="00855AF8" w:rsidRPr="00CC5E23" w:rsidTr="00D62F74"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Resultados de las evaluaciones y auditorías</w:t>
            </w:r>
          </w:p>
        </w:tc>
        <w:tc>
          <w:tcPr>
            <w:tcW w:w="1276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379" w:type="dxa"/>
            <w:vMerge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Informes financieros anuales consolidados</w:t>
            </w:r>
          </w:p>
        </w:tc>
        <w:tc>
          <w:tcPr>
            <w:tcW w:w="1276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379" w:type="dxa"/>
            <w:vMerge w:val="restart"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Se presentan al Consejo informes anuales consolidados</w:t>
            </w:r>
            <w:r w:rsidR="00CC5E23">
              <w:rPr>
                <w:sz w:val="18"/>
                <w:szCs w:val="18"/>
              </w:rPr>
              <w:t>.</w:t>
            </w:r>
          </w:p>
        </w:tc>
      </w:tr>
      <w:tr w:rsidR="00855AF8" w:rsidRPr="00CC5E23" w:rsidTr="00D62F74">
        <w:tc>
          <w:tcPr>
            <w:tcW w:w="2977" w:type="dxa"/>
            <w:vMerge/>
          </w:tcPr>
          <w:p w:rsidR="00855AF8" w:rsidRPr="00CC5E23" w:rsidRDefault="00855AF8" w:rsidP="00D62F7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D62F74">
            <w:pPr>
              <w:spacing w:before="40" w:after="40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Resultados de los programas</w:t>
            </w:r>
          </w:p>
        </w:tc>
        <w:tc>
          <w:tcPr>
            <w:tcW w:w="1276" w:type="dxa"/>
            <w:vAlign w:val="center"/>
          </w:tcPr>
          <w:p w:rsidR="00855AF8" w:rsidRPr="00CC5E23" w:rsidRDefault="00855AF8" w:rsidP="00CC5E2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379" w:type="dxa"/>
            <w:vMerge/>
          </w:tcPr>
          <w:p w:rsidR="00855AF8" w:rsidRPr="00CC5E23" w:rsidRDefault="00855AF8" w:rsidP="00D62F74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:rsidR="00855AF8" w:rsidRPr="00E70501" w:rsidRDefault="00855AF8" w:rsidP="00855AF8">
      <w:r w:rsidRPr="00E70501">
        <w:br w:type="page"/>
      </w:r>
    </w:p>
    <w:p w:rsidR="00855AF8" w:rsidRPr="00E70501" w:rsidRDefault="00855AF8" w:rsidP="00855AF8">
      <w:pPr>
        <w:pStyle w:val="Headingb"/>
      </w:pPr>
      <w:r w:rsidRPr="00E70501">
        <w:lastRenderedPageBreak/>
        <w:t>Pilar 2</w:t>
      </w:r>
    </w:p>
    <w:tbl>
      <w:tblPr>
        <w:tblStyle w:val="TableGrid"/>
        <w:tblW w:w="146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3969"/>
        <w:gridCol w:w="1134"/>
        <w:gridCol w:w="6522"/>
      </w:tblGrid>
      <w:tr w:rsidR="00855AF8" w:rsidRPr="00CC5E23" w:rsidTr="00D62F74">
        <w:trPr>
          <w:tblHeader/>
        </w:trPr>
        <w:tc>
          <w:tcPr>
            <w:tcW w:w="2977" w:type="dxa"/>
            <w:shd w:val="clear" w:color="auto" w:fill="B8CCE4" w:themeFill="accent1" w:themeFillTint="66"/>
          </w:tcPr>
          <w:p w:rsidR="00855AF8" w:rsidRPr="00CC5E23" w:rsidRDefault="00855AF8" w:rsidP="00383BAE">
            <w:pPr>
              <w:pStyle w:val="Tablehead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Criterio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855AF8" w:rsidRPr="00CC5E23" w:rsidRDefault="00855AF8" w:rsidP="00383BAE">
            <w:pPr>
              <w:pStyle w:val="Tablehead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Instrumentos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855AF8" w:rsidRPr="00CC5E23" w:rsidRDefault="00855AF8" w:rsidP="00383BAE">
            <w:pPr>
              <w:pStyle w:val="Tablehead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Estado</w:t>
            </w:r>
          </w:p>
        </w:tc>
        <w:tc>
          <w:tcPr>
            <w:tcW w:w="6522" w:type="dxa"/>
            <w:shd w:val="clear" w:color="auto" w:fill="B8CCE4" w:themeFill="accent1" w:themeFillTint="66"/>
          </w:tcPr>
          <w:p w:rsidR="00855AF8" w:rsidRPr="00CC5E23" w:rsidRDefault="00855AF8" w:rsidP="00383BAE">
            <w:pPr>
              <w:pStyle w:val="Tablehead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Observaciones</w:t>
            </w:r>
          </w:p>
        </w:tc>
      </w:tr>
      <w:tr w:rsidR="00855AF8" w:rsidRPr="00CC5E23" w:rsidTr="00D62F74">
        <w:tc>
          <w:tcPr>
            <w:tcW w:w="2977" w:type="dxa"/>
            <w:vMerge w:val="restart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5. Existen y se aplican políticas en materia de conducta ética, integridad y lucha contra la corrupción y el fraude</w:t>
            </w:r>
            <w:r w:rsidR="00CC5E2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Reglamentos y códigos de conducta para el personal, incluidas normas referentes al acoso</w:t>
            </w:r>
          </w:p>
        </w:tc>
        <w:tc>
          <w:tcPr>
            <w:tcW w:w="1134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vMerge w:val="restart"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Función de ética</w:t>
            </w:r>
          </w:p>
        </w:tc>
        <w:tc>
          <w:tcPr>
            <w:tcW w:w="1134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Política en materia de obsequios, distinciones y atenciones sociales</w:t>
            </w:r>
          </w:p>
        </w:tc>
        <w:tc>
          <w:tcPr>
            <w:tcW w:w="1134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En curso</w:t>
            </w:r>
          </w:p>
        </w:tc>
        <w:tc>
          <w:tcPr>
            <w:tcW w:w="6522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 xml:space="preserve">El funcionario de ética publicó una nota orientativa sobre regalos, en relación con el evento ITU Telecom </w:t>
            </w:r>
            <w:proofErr w:type="spellStart"/>
            <w:r w:rsidRPr="00CC5E23">
              <w:rPr>
                <w:sz w:val="18"/>
                <w:szCs w:val="18"/>
              </w:rPr>
              <w:t>World</w:t>
            </w:r>
            <w:proofErr w:type="spellEnd"/>
            <w:r w:rsidRPr="00CC5E23">
              <w:rPr>
                <w:sz w:val="18"/>
                <w:szCs w:val="18"/>
              </w:rPr>
              <w:t xml:space="preserve"> 2017. Se está preparando una política mejorada y ampliada sobre el tema.</w:t>
            </w:r>
          </w:p>
        </w:tc>
      </w:tr>
      <w:tr w:rsidR="00855AF8" w:rsidRPr="00CC5E23" w:rsidTr="00D62F74"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Protección contra represalias por la denuncia de faltas de conducta (política de protección de los denunciantes de irregularidades)</w:t>
            </w:r>
          </w:p>
        </w:tc>
        <w:tc>
          <w:tcPr>
            <w:tcW w:w="1134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vMerge w:val="restart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Estos temas se están examinando en vista de los exámenes que está realizando la Dependencia Común de Inspección en relación con los conflictos de intereses y delatores / protección de delatores</w:t>
            </w:r>
            <w:r w:rsidR="00CC5E23">
              <w:rPr>
                <w:sz w:val="18"/>
                <w:szCs w:val="18"/>
              </w:rPr>
              <w:t>.</w:t>
            </w:r>
          </w:p>
        </w:tc>
      </w:tr>
      <w:tr w:rsidR="00855AF8" w:rsidRPr="00CC5E23" w:rsidTr="00D62F74"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Política relativa a las actividades externas (conflicto de intereses)</w:t>
            </w:r>
          </w:p>
        </w:tc>
        <w:tc>
          <w:tcPr>
            <w:tcW w:w="1134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Política contra el fraude y la corrupción</w:t>
            </w:r>
          </w:p>
        </w:tc>
        <w:tc>
          <w:tcPr>
            <w:tcW w:w="1134" w:type="dxa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En curso</w:t>
            </w:r>
          </w:p>
        </w:tc>
        <w:tc>
          <w:tcPr>
            <w:tcW w:w="6522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  <w:highlight w:val="yellow"/>
              </w:rPr>
            </w:pPr>
          </w:p>
        </w:tc>
      </w:tr>
      <w:tr w:rsidR="00855AF8" w:rsidRPr="00CC5E23" w:rsidTr="00D62F74"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Capacitación.</w:t>
            </w:r>
          </w:p>
        </w:tc>
        <w:tc>
          <w:tcPr>
            <w:tcW w:w="1134" w:type="dxa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En curso</w:t>
            </w:r>
          </w:p>
        </w:tc>
        <w:tc>
          <w:tcPr>
            <w:tcW w:w="6522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977" w:type="dxa"/>
            <w:vMerge w:val="restart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6. El incumplimiento de las políticas o reglamentos establecidos tiene consecuencias inequívocas. Las sanciones han de ser claras y proporcionadas y aplicarse en todos los niveles. Además, las actuaciones profesionales destacadas se deberían distinguir mediante reconocimientos, premios o recompensas</w:t>
            </w:r>
            <w:r w:rsidR="00CC5E2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Documentos de política sobre sanciones y medidas disciplinarias</w:t>
            </w:r>
          </w:p>
        </w:tc>
        <w:tc>
          <w:tcPr>
            <w:tcW w:w="1134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No aplicable</w:t>
            </w:r>
          </w:p>
        </w:tc>
        <w:tc>
          <w:tcPr>
            <w:tcW w:w="6522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Se aplica el Capítulo X de los Estatutos y Reglamento del Personal.</w:t>
            </w:r>
          </w:p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Publicación en los informes anuales de las sanciones impuestas por el jefe ejecutivo;</w:t>
            </w:r>
          </w:p>
        </w:tc>
        <w:tc>
          <w:tcPr>
            <w:tcW w:w="1134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No se ha aplicado</w:t>
            </w:r>
          </w:p>
        </w:tc>
        <w:tc>
          <w:tcPr>
            <w:tcW w:w="6522" w:type="dxa"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No la imponen los instrumentos fundamentales de la UIT.</w:t>
            </w:r>
          </w:p>
        </w:tc>
      </w:tr>
      <w:tr w:rsidR="00855AF8" w:rsidRPr="00CC5E23" w:rsidTr="00D62F74"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Programas de premios o recompensas concedidos por comités o grupos especiales sobre la base de criterios claros;</w:t>
            </w:r>
          </w:p>
        </w:tc>
        <w:tc>
          <w:tcPr>
            <w:tcW w:w="1134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vMerge w:val="restart"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Se conceden anualmente premios por desempeño sobresaliente del personal y se les da publicidad.</w:t>
            </w:r>
          </w:p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Publicación de los nombres de los funcionarios que reciban premios y recompensas</w:t>
            </w:r>
          </w:p>
        </w:tc>
        <w:tc>
          <w:tcPr>
            <w:tcW w:w="1134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rPr>
          <w:cantSplit/>
        </w:trPr>
        <w:tc>
          <w:tcPr>
            <w:tcW w:w="2977" w:type="dxa"/>
            <w:vMerge w:val="restart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7. Todo el personal ha de rendir cuentas de su trabajo sobre la base de una descripción de las funciones actualizada y por escrito que refleje fielmente sus tareas concretas</w:t>
            </w:r>
            <w:r w:rsidR="00CC5E2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Descripción de las funciones para todo el personal</w:t>
            </w:r>
          </w:p>
        </w:tc>
        <w:tc>
          <w:tcPr>
            <w:tcW w:w="1134" w:type="dxa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vMerge w:val="restart"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No siempre es viable la conexión total entre el trabajo real y la descripción de las funciones, sin embargo la evaluación anual del desempeño personal define los objetivos y las tareas diarias de los funcionarios así como su participación en las comisiones estatutarias y grupos especiales.</w:t>
            </w:r>
          </w:p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rPr>
          <w:trHeight w:val="732"/>
        </w:trPr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Coherencia entre la descripción de las funciones y el trabajo diario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En curso</w:t>
            </w:r>
          </w:p>
        </w:tc>
        <w:tc>
          <w:tcPr>
            <w:tcW w:w="6522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  <w:highlight w:val="yellow"/>
              </w:rPr>
            </w:pPr>
          </w:p>
        </w:tc>
      </w:tr>
      <w:tr w:rsidR="00855AF8" w:rsidRPr="00CC5E23" w:rsidTr="00D62F74">
        <w:trPr>
          <w:trHeight w:val="218"/>
        </w:trPr>
        <w:tc>
          <w:tcPr>
            <w:tcW w:w="2977" w:type="dxa"/>
            <w:vMerge w:val="restart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8. Concretización de las políticas de selección, de contratación y de restricciones posteriores a la separación del servicio</w:t>
            </w:r>
            <w:r w:rsidR="00CC5E2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Política de contratación por la que se restringe la contratación de familiares y parientes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shd w:val="clear" w:color="auto" w:fill="auto"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Artículo 4.7.1 de los Estatutos y Reglamento del Personal.</w:t>
            </w:r>
          </w:p>
        </w:tc>
      </w:tr>
      <w:tr w:rsidR="00855AF8" w:rsidRPr="00CC5E23" w:rsidTr="00D62F74">
        <w:trPr>
          <w:trHeight w:val="217"/>
        </w:trPr>
        <w:tc>
          <w:tcPr>
            <w:tcW w:w="2977" w:type="dxa"/>
            <w:vMerge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Restricciones posteriores a la separación del servicio para el personal que se jubila o renuncia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shd w:val="clear" w:color="auto" w:fill="auto"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Ya hay definida una política para los jubilados (la UIT aplica las limitaciones de las Naciones Unidas) y para los funcionarios que abandonan la organización en el marco de un programa de separación anticipada.</w:t>
            </w:r>
          </w:p>
        </w:tc>
      </w:tr>
      <w:tr w:rsidR="00855AF8" w:rsidRPr="00CC5E23" w:rsidTr="00D62F74">
        <w:tc>
          <w:tcPr>
            <w:tcW w:w="2977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9. La organización tiene una política formal en materia de GRI que se aplica con una metodología coherente.</w:t>
            </w: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En cada dependencia, proyecto o proceso se lleva a cabo un análisis del riesgo y la</w:t>
            </w:r>
          </w:p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organización cuenta con un plan general de gestión del riesgo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5AF8" w:rsidRPr="00CC5E23" w:rsidRDefault="00CC5E23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La política oficial de gestión de riesgos y la declaración de asunción de riesgos fueron aprobadas en la reunión de 2017 del Consejo</w:t>
            </w:r>
            <w:r w:rsidR="00CC5E23">
              <w:rPr>
                <w:sz w:val="18"/>
                <w:szCs w:val="18"/>
              </w:rPr>
              <w:t>.</w:t>
            </w:r>
          </w:p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El análisis de riesgos se realiza a todos los niveles de la organización, se llevan registros y se elaboran informes a través de los Planes Operacionales de los Sectores y la Secretaría General.</w:t>
            </w:r>
          </w:p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En la Reunión del Consejo correspondiente a 2017 se refrendará la Política de Gestión de Riesgos y de Asunción de Riesgos.</w:t>
            </w:r>
          </w:p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977" w:type="dxa"/>
            <w:vMerge w:val="restart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10. La cadena de mando y la delegación de autoridad son claras y coherentes y se integran en los sistemas existentes de planificación de los recursos institucionales</w:t>
            </w:r>
            <w:r w:rsidR="00CC5E2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Definición clara de la delegación de autoridad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shd w:val="clear" w:color="auto" w:fill="auto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977" w:type="dxa"/>
            <w:vMerge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Coherencia entre la línea de gestión y la delegación de autoridad, y líneas</w:t>
            </w:r>
          </w:p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claras de presentación de informes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shd w:val="clear" w:color="auto" w:fill="auto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977" w:type="dxa"/>
            <w:vMerge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Delegación de autoridad incorporada a los sistemas existentes de planificación de los recursos institucionales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shd w:val="clear" w:color="auto" w:fill="auto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El acceso al sistema de planificación de los recursos se basa en la separación de funciones</w:t>
            </w:r>
            <w:r w:rsidR="00CC5E23">
              <w:rPr>
                <w:sz w:val="18"/>
                <w:szCs w:val="18"/>
              </w:rPr>
              <w:t>.</w:t>
            </w:r>
          </w:p>
        </w:tc>
      </w:tr>
      <w:tr w:rsidR="00855AF8" w:rsidRPr="00CC5E23" w:rsidTr="00D62F74">
        <w:tc>
          <w:tcPr>
            <w:tcW w:w="2977" w:type="dxa"/>
            <w:vMerge w:val="restart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11. Los reglamentos financieros y las reglamentaciones financieras detalladas de las organizaciones del sistema de las Naciones Unidas comprenden políticas contra el fraude y las faltas de conducta en materia financiera y se aplican en la práctica</w:t>
            </w:r>
            <w:r w:rsidR="00CC5E2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Reglamentos financieros y reglamentaciones financieras detalladas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shd w:val="clear" w:color="auto" w:fill="auto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977" w:type="dxa"/>
            <w:vMerge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Declaraciones de conflictos de intereses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vMerge w:val="restart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La UIT presenta anualmente una declaración de posibles conflictos de intereses que afecten a cuestiones financieras o de adquisiciones con arreglo a las normas éticas.</w:t>
            </w:r>
          </w:p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977" w:type="dxa"/>
            <w:vMerge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Declaraciones de la situación financiera</w:t>
            </w:r>
          </w:p>
        </w:tc>
        <w:tc>
          <w:tcPr>
            <w:tcW w:w="1134" w:type="dxa"/>
            <w:shd w:val="clear" w:color="auto" w:fill="FFFFFF" w:themeFill="background1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vMerge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977" w:type="dxa"/>
            <w:vMerge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Políticas de lucha contra el fraude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En curso</w:t>
            </w:r>
          </w:p>
        </w:tc>
        <w:tc>
          <w:tcPr>
            <w:tcW w:w="6522" w:type="dxa"/>
            <w:tcBorders>
              <w:bottom w:val="single" w:sz="4" w:space="0" w:color="auto"/>
            </w:tcBorders>
            <w:shd w:val="clear" w:color="auto" w:fill="auto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En estudio.</w:t>
            </w:r>
          </w:p>
        </w:tc>
      </w:tr>
      <w:tr w:rsidR="00855AF8" w:rsidRPr="00CC5E23" w:rsidTr="00D62F74">
        <w:tc>
          <w:tcPr>
            <w:tcW w:w="2977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12. Los directivos velan por la aplicación de los controles internos en el marco de su autoridad delegada</w:t>
            </w:r>
            <w:r w:rsidR="00CC5E2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Carta o formulario de representación/garantía/afirmación presentada anualmente a los jefes ejecutivos</w:t>
            </w:r>
          </w:p>
        </w:tc>
        <w:tc>
          <w:tcPr>
            <w:tcW w:w="1134" w:type="dxa"/>
            <w:shd w:val="clear" w:color="auto" w:fill="FFFFFF" w:themeFill="background1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Se exige a cada funcionario de elección, jefe de departamento y jefe de dependencia de SG que presente una Carta Interna de Representación que constituya la confirmación por escrito de que han ejercido debidamente las atribuciones y responsabilidades delegadas.</w:t>
            </w:r>
          </w:p>
        </w:tc>
      </w:tr>
      <w:tr w:rsidR="00855AF8" w:rsidRPr="00CC5E23" w:rsidTr="00D62F74">
        <w:tc>
          <w:tcPr>
            <w:tcW w:w="2977" w:type="dxa"/>
            <w:vMerge w:val="restart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13. El personal tiene acceso a toda la información pertinente y fiable que pueda facilitar la adopción de decisiones de conformidad con su autoridad delegada, y la organización cuenta con un sistema de comunicación interna y externa</w:t>
            </w:r>
            <w:r w:rsidR="00CC5E2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Existencia de un sistema de planificación de los recursos institucionales o sistema similar para reunir y documentar la información pertinente</w:t>
            </w:r>
          </w:p>
        </w:tc>
        <w:tc>
          <w:tcPr>
            <w:tcW w:w="1134" w:type="dxa"/>
            <w:shd w:val="clear" w:color="auto" w:fill="auto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En curso</w:t>
            </w:r>
          </w:p>
        </w:tc>
        <w:tc>
          <w:tcPr>
            <w:tcW w:w="6522" w:type="dxa"/>
            <w:vMerge w:val="restart"/>
            <w:shd w:val="clear" w:color="auto" w:fill="auto"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La UIT gestiona la información y el conocimiento a través de un sistema de gestión de la información normalizado, a saber, ERP, SharePoint, repositorios de ficheros y herramientas de BI, que facilita al personal el acceso a la información dependiendo de su misión y funciones.</w:t>
            </w:r>
          </w:p>
        </w:tc>
      </w:tr>
      <w:tr w:rsidR="00855AF8" w:rsidRPr="00CC5E23" w:rsidTr="00D62F74">
        <w:tc>
          <w:tcPr>
            <w:tcW w:w="2977" w:type="dxa"/>
            <w:vMerge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Pleno aprovechamiento de los canales de comunicación interna</w:t>
            </w:r>
          </w:p>
        </w:tc>
        <w:tc>
          <w:tcPr>
            <w:tcW w:w="1134" w:type="dxa"/>
            <w:shd w:val="clear" w:color="auto" w:fill="auto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En curso</w:t>
            </w:r>
          </w:p>
        </w:tc>
        <w:tc>
          <w:tcPr>
            <w:tcW w:w="6522" w:type="dxa"/>
            <w:vMerge/>
            <w:shd w:val="clear" w:color="auto" w:fill="FFFF00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977" w:type="dxa"/>
            <w:vMerge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Funcionamiento de un sistema de divulgación de información</w:t>
            </w:r>
          </w:p>
        </w:tc>
        <w:tc>
          <w:tcPr>
            <w:tcW w:w="1134" w:type="dxa"/>
            <w:shd w:val="clear" w:color="auto" w:fill="auto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En curso</w:t>
            </w:r>
          </w:p>
        </w:tc>
        <w:tc>
          <w:tcPr>
            <w:tcW w:w="6522" w:type="dxa"/>
            <w:vMerge/>
            <w:shd w:val="clear" w:color="auto" w:fill="FFFF00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977" w:type="dxa"/>
            <w:vMerge w:val="restart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14. Se supervisa la actuación profesional de los jefes ejecutivos, los directivos superiores y los funcionarios y se adoptan cuando es necesario las medidas correctivas pertinentes</w:t>
            </w:r>
            <w:r w:rsidR="00CC5E2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Evaluaciones de la actuación profesional del personal de todas las categorías, incluida retroinformación de 360 grados</w:t>
            </w:r>
          </w:p>
        </w:tc>
        <w:tc>
          <w:tcPr>
            <w:tcW w:w="1134" w:type="dxa"/>
            <w:shd w:val="clear" w:color="auto" w:fill="FFFFFF" w:themeFill="background1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En curso</w:t>
            </w:r>
          </w:p>
        </w:tc>
        <w:tc>
          <w:tcPr>
            <w:tcW w:w="6522" w:type="dxa"/>
            <w:shd w:val="clear" w:color="auto" w:fill="auto"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El nuevo sistema de evaluación no incluye retroinformación de 360 grados.</w:t>
            </w:r>
          </w:p>
        </w:tc>
      </w:tr>
      <w:tr w:rsidR="00855AF8" w:rsidRPr="00CC5E23" w:rsidTr="00D62F74">
        <w:tc>
          <w:tcPr>
            <w:tcW w:w="2977" w:type="dxa"/>
            <w:vMerge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Pactos del personal directivo superior o sistemas de puntuación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No se ha aplicado</w:t>
            </w:r>
          </w:p>
        </w:tc>
        <w:tc>
          <w:tcPr>
            <w:tcW w:w="6522" w:type="dxa"/>
            <w:shd w:val="clear" w:color="auto" w:fill="auto"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977" w:type="dxa"/>
            <w:vMerge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Medidas correctivas para el personal que no rinda lo suficiente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shd w:val="clear" w:color="auto" w:fill="auto"/>
            <w:vAlign w:val="center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Se invita a los funcionarios a adoptar medidas a través del establecimiento de planes formativos para subsanar esta situación, en colaboración con sus supervisores.</w:t>
            </w:r>
          </w:p>
        </w:tc>
      </w:tr>
      <w:tr w:rsidR="00855AF8" w:rsidRPr="00CC5E23" w:rsidTr="00D62F74">
        <w:tc>
          <w:tcPr>
            <w:tcW w:w="2977" w:type="dxa"/>
            <w:vMerge w:val="restart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15. Las recomendaciones de los órganos de supervisión/auditorías y evaluaciones internas se aplican y son objeto de seguimiento, y en caso contrario se aporta una justificación clara</w:t>
            </w:r>
            <w:r w:rsidR="00CC5E2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Política de divulgación de información</w:t>
            </w:r>
          </w:p>
        </w:tc>
        <w:tc>
          <w:tcPr>
            <w:tcW w:w="1134" w:type="dxa"/>
            <w:shd w:val="clear" w:color="auto" w:fill="auto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En curso</w:t>
            </w:r>
          </w:p>
        </w:tc>
        <w:tc>
          <w:tcPr>
            <w:tcW w:w="6522" w:type="dxa"/>
            <w:shd w:val="clear" w:color="auto" w:fill="auto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El Consejo de la UIT adoptó en su reunión de 2016 la política de acceso a la información y los documentos de la UIT que "asegura que el público pueda acceder a la información guardada, gestionada o generada por la UIT"; esta política entró en vigor el 1 de enero de 2017 con carácter provisional.</w:t>
            </w:r>
          </w:p>
        </w:tc>
      </w:tr>
      <w:tr w:rsidR="00855AF8" w:rsidRPr="00CC5E23" w:rsidTr="00D62F74">
        <w:tc>
          <w:tcPr>
            <w:tcW w:w="2977" w:type="dxa"/>
            <w:vMerge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Presentación de informes sobre las recomendaciones de supervisión externa e interna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shd w:val="clear" w:color="auto" w:fill="auto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La SG y el CAIG reciben periódicamente novedades sobre la implementación de las recomendaciones de los auditores externos e internos.</w:t>
            </w:r>
          </w:p>
        </w:tc>
      </w:tr>
      <w:tr w:rsidR="00855AF8" w:rsidRPr="00CC5E23" w:rsidTr="00D62F74">
        <w:tc>
          <w:tcPr>
            <w:tcW w:w="2977" w:type="dxa"/>
            <w:vMerge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Seguimiento de las recomendaciones de las auditorías internas y externas, de los órganos de supervisión y de las evaluaciones internas, las evaluaciones independientes y las autoevaluaciones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2" w:type="dxa"/>
            <w:shd w:val="clear" w:color="auto" w:fill="auto"/>
          </w:tcPr>
          <w:p w:rsidR="00855AF8" w:rsidRPr="00CC5E23" w:rsidRDefault="00855AF8" w:rsidP="00383BAE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 xml:space="preserve">El GTC-RHF está controlando y supervisando todas las recomendaciones de los auditores externos y el CAIG. Las recomendaciones del CAIG se supervisan y aplican, y se informa detalladamente de los resultados al </w:t>
            </w:r>
            <w:r w:rsidRPr="00CC5E23">
              <w:rPr>
                <w:rFonts w:asciiTheme="minorHAnsi" w:eastAsia="Times New Roman" w:hAnsiTheme="minorHAnsi"/>
                <w:sz w:val="18"/>
                <w:szCs w:val="18"/>
              </w:rPr>
              <w:t>CWG-FHR y al Consejo</w:t>
            </w:r>
            <w:r w:rsidR="00CC5E23">
              <w:rPr>
                <w:rFonts w:asciiTheme="minorHAnsi" w:eastAsia="Times New Roman" w:hAnsiTheme="minorHAnsi"/>
                <w:sz w:val="18"/>
                <w:szCs w:val="18"/>
              </w:rPr>
              <w:t>.</w:t>
            </w:r>
          </w:p>
        </w:tc>
      </w:tr>
    </w:tbl>
    <w:p w:rsidR="00CC5E23" w:rsidRDefault="00CC5E2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br w:type="page"/>
      </w:r>
    </w:p>
    <w:p w:rsidR="00855AF8" w:rsidRPr="00E70501" w:rsidRDefault="00855AF8" w:rsidP="00383BAE">
      <w:pPr>
        <w:pStyle w:val="Headingb"/>
      </w:pPr>
      <w:r w:rsidRPr="00E70501">
        <w:t>Pilar 3</w:t>
      </w:r>
    </w:p>
    <w:tbl>
      <w:tblPr>
        <w:tblStyle w:val="TableGrid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1134"/>
        <w:gridCol w:w="6521"/>
      </w:tblGrid>
      <w:tr w:rsidR="00855AF8" w:rsidRPr="00CC5E23" w:rsidTr="00D62F74">
        <w:tc>
          <w:tcPr>
            <w:tcW w:w="2694" w:type="dxa"/>
            <w:shd w:val="clear" w:color="auto" w:fill="B8CCE4" w:themeFill="accent1" w:themeFillTint="66"/>
          </w:tcPr>
          <w:p w:rsidR="00855AF8" w:rsidRPr="00CC5E23" w:rsidRDefault="00855AF8" w:rsidP="00C26591">
            <w:pPr>
              <w:pStyle w:val="Tablehead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Criterio</w:t>
            </w:r>
          </w:p>
        </w:tc>
        <w:tc>
          <w:tcPr>
            <w:tcW w:w="4252" w:type="dxa"/>
            <w:shd w:val="clear" w:color="auto" w:fill="B8CCE4" w:themeFill="accent1" w:themeFillTint="66"/>
          </w:tcPr>
          <w:p w:rsidR="00855AF8" w:rsidRPr="00CC5E23" w:rsidRDefault="00855AF8" w:rsidP="00C26591">
            <w:pPr>
              <w:pStyle w:val="Tablehead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Instrumentos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855AF8" w:rsidRPr="00CC5E23" w:rsidRDefault="00855AF8" w:rsidP="00C26591">
            <w:pPr>
              <w:pStyle w:val="Tablehead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Estado</w:t>
            </w:r>
          </w:p>
        </w:tc>
        <w:tc>
          <w:tcPr>
            <w:tcW w:w="6521" w:type="dxa"/>
            <w:shd w:val="clear" w:color="auto" w:fill="B8CCE4" w:themeFill="accent1" w:themeFillTint="66"/>
          </w:tcPr>
          <w:p w:rsidR="00855AF8" w:rsidRPr="00CC5E23" w:rsidRDefault="00855AF8" w:rsidP="00C26591">
            <w:pPr>
              <w:pStyle w:val="Tablehead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Observaciones</w:t>
            </w:r>
          </w:p>
        </w:tc>
      </w:tr>
      <w:tr w:rsidR="00855AF8" w:rsidRPr="00CC5E23" w:rsidTr="00D62F74">
        <w:tc>
          <w:tcPr>
            <w:tcW w:w="2694" w:type="dxa"/>
            <w:vMerge w:val="restart"/>
            <w:shd w:val="clear" w:color="auto" w:fill="FFFFFF" w:themeFill="background1"/>
          </w:tcPr>
          <w:p w:rsidR="00855AF8" w:rsidRPr="00CC5E23" w:rsidRDefault="00855AF8" w:rsidP="00C26591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16. Los funcionarios pueden recurrir a mecanismos informales de reclamación</w:t>
            </w:r>
            <w:r w:rsidR="00CC5E23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:rsidR="00855AF8" w:rsidRPr="00CC5E23" w:rsidRDefault="00855AF8" w:rsidP="00C26591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Documento de política y/o manual en el que se esbozan procedimientos para la presentación de reclamaciones/impugnaciones informales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No se ha aplicado</w:t>
            </w:r>
          </w:p>
        </w:tc>
        <w:tc>
          <w:tcPr>
            <w:tcW w:w="6521" w:type="dxa"/>
            <w:shd w:val="clear" w:color="auto" w:fill="auto"/>
          </w:tcPr>
          <w:p w:rsidR="00855AF8" w:rsidRPr="00CC5E23" w:rsidRDefault="00855AF8" w:rsidP="00C26591">
            <w:pPr>
              <w:pStyle w:val="Tabletext"/>
              <w:rPr>
                <w:b/>
                <w:bCs/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Cada procedimiento se incluye en la Orden de Servicio pertinente.</w:t>
            </w:r>
          </w:p>
        </w:tc>
      </w:tr>
      <w:tr w:rsidR="00855AF8" w:rsidRPr="00CC5E23" w:rsidTr="00D62F74">
        <w:tc>
          <w:tcPr>
            <w:tcW w:w="2694" w:type="dxa"/>
            <w:vMerge/>
            <w:shd w:val="clear" w:color="auto" w:fill="FFFFFF" w:themeFill="background1"/>
          </w:tcPr>
          <w:p w:rsidR="00855AF8" w:rsidRPr="00CC5E23" w:rsidRDefault="00855AF8" w:rsidP="00C26591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55AF8" w:rsidRPr="00CC5E23" w:rsidRDefault="00855AF8" w:rsidP="00C26591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 xml:space="preserve">Existencia de un mediador u </w:t>
            </w:r>
            <w:proofErr w:type="spellStart"/>
            <w:r w:rsidRPr="00CC5E23">
              <w:rPr>
                <w:i/>
                <w:sz w:val="18"/>
                <w:szCs w:val="18"/>
              </w:rPr>
              <w:t>ombudsperson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1" w:type="dxa"/>
            <w:shd w:val="clear" w:color="auto" w:fill="auto"/>
          </w:tcPr>
          <w:p w:rsidR="00855AF8" w:rsidRPr="00CC5E23" w:rsidRDefault="00855AF8" w:rsidP="00C26591">
            <w:pPr>
              <w:pStyle w:val="Tabletext"/>
              <w:rPr>
                <w:sz w:val="18"/>
                <w:szCs w:val="18"/>
              </w:rPr>
            </w:pPr>
          </w:p>
        </w:tc>
      </w:tr>
      <w:tr w:rsidR="00855AF8" w:rsidRPr="00CC5E23" w:rsidTr="00D62F74">
        <w:tc>
          <w:tcPr>
            <w:tcW w:w="2694" w:type="dxa"/>
            <w:vMerge w:val="restart"/>
            <w:shd w:val="clear" w:color="auto" w:fill="FFFFFF" w:themeFill="background1"/>
          </w:tcPr>
          <w:p w:rsidR="00855AF8" w:rsidRPr="00CC5E23" w:rsidRDefault="00855AF8" w:rsidP="00C26591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lastRenderedPageBreak/>
              <w:t>17. Los funcionarios, consultores, personas ajenas al personal, partes interesadas/beneficiarios y proveedores pueden recurrir a mecanismos formales de reclamación, y las organizaciones cuentan con mecanismos para responder a esas reclamaciones</w:t>
            </w:r>
            <w:r w:rsidR="00CC5E23">
              <w:rPr>
                <w:sz w:val="18"/>
                <w:szCs w:val="18"/>
              </w:rPr>
              <w:t>.</w:t>
            </w:r>
            <w:bookmarkStart w:id="9" w:name="_GoBack"/>
            <w:bookmarkEnd w:id="9"/>
          </w:p>
        </w:tc>
        <w:tc>
          <w:tcPr>
            <w:tcW w:w="4252" w:type="dxa"/>
            <w:shd w:val="clear" w:color="auto" w:fill="FFFFFF" w:themeFill="background1"/>
          </w:tcPr>
          <w:p w:rsidR="00855AF8" w:rsidRPr="00CC5E23" w:rsidRDefault="00855AF8" w:rsidP="00C26591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Función de investigación, líneas permanentes de ayuda, impresos de reclamaciones, etc., tanto para el personal como para personas ajenas a la organización;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1" w:type="dxa"/>
            <w:shd w:val="clear" w:color="auto" w:fill="auto"/>
          </w:tcPr>
          <w:p w:rsidR="00855AF8" w:rsidRPr="00CC5E23" w:rsidRDefault="00855AF8" w:rsidP="00C26591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Los consultores y las personas ajenas al personal no tienen acceso al TAOIT ni al TANU. En los contratos SSA figura una disposición para la resolución informal de los conflictos y el recurso al arbitraje.</w:t>
            </w:r>
          </w:p>
        </w:tc>
      </w:tr>
      <w:tr w:rsidR="00855AF8" w:rsidRPr="00CC5E23" w:rsidTr="00D62F74">
        <w:tc>
          <w:tcPr>
            <w:tcW w:w="2694" w:type="dxa"/>
            <w:vMerge/>
            <w:shd w:val="clear" w:color="auto" w:fill="FFFFFF" w:themeFill="background1"/>
          </w:tcPr>
          <w:p w:rsidR="00855AF8" w:rsidRPr="00CC5E23" w:rsidRDefault="00855AF8" w:rsidP="00C26591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55AF8" w:rsidRPr="00CC5E23" w:rsidRDefault="00855AF8" w:rsidP="00C26591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Mecanismos de reclamación: Tribunal Contencioso-Administrativo de las Naciones Unidas o Tribunal Administrativo de la OIT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sym w:font="Wingdings" w:char="F0FC"/>
            </w:r>
          </w:p>
        </w:tc>
        <w:tc>
          <w:tcPr>
            <w:tcW w:w="6521" w:type="dxa"/>
            <w:shd w:val="clear" w:color="auto" w:fill="auto"/>
          </w:tcPr>
          <w:p w:rsidR="00855AF8" w:rsidRPr="00CC5E23" w:rsidRDefault="00855AF8" w:rsidP="00C26591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Disponibles para las funcionarios permanentes y el personal que disfruta de contratos de corta duración, y arbitraje para los consultores y los supernumerarios.</w:t>
            </w:r>
          </w:p>
        </w:tc>
      </w:tr>
      <w:tr w:rsidR="00855AF8" w:rsidRPr="00CC5E23" w:rsidTr="00D62F74">
        <w:tc>
          <w:tcPr>
            <w:tcW w:w="2694" w:type="dxa"/>
            <w:vMerge/>
            <w:shd w:val="clear" w:color="auto" w:fill="FFFFFF" w:themeFill="background1"/>
          </w:tcPr>
          <w:p w:rsidR="00855AF8" w:rsidRPr="00CC5E23" w:rsidRDefault="00855AF8" w:rsidP="00C26591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55AF8" w:rsidRPr="00CC5E23" w:rsidRDefault="00855AF8" w:rsidP="00C26591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Procedimiento de impugnación de adquisiciones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5AF8" w:rsidRPr="00CC5E23" w:rsidRDefault="00855AF8" w:rsidP="00CC5E23">
            <w:pPr>
              <w:pStyle w:val="Tabletext"/>
              <w:jc w:val="center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En curso</w:t>
            </w:r>
          </w:p>
        </w:tc>
        <w:tc>
          <w:tcPr>
            <w:tcW w:w="6521" w:type="dxa"/>
            <w:shd w:val="clear" w:color="auto" w:fill="FFFFFF" w:themeFill="background1"/>
          </w:tcPr>
          <w:p w:rsidR="00855AF8" w:rsidRPr="00CC5E23" w:rsidRDefault="00855AF8" w:rsidP="00C26591">
            <w:pPr>
              <w:pStyle w:val="Tabletext"/>
              <w:rPr>
                <w:sz w:val="18"/>
                <w:szCs w:val="18"/>
              </w:rPr>
            </w:pPr>
            <w:r w:rsidRPr="00CC5E23">
              <w:rPr>
                <w:sz w:val="18"/>
                <w:szCs w:val="18"/>
              </w:rPr>
              <w:t>La UIT mantiene el compromiso de garantizar que la adquisición de bienes y servicios se lleve a cabo con justicia y transparencia y en régimen de libre competencia y en un marco internacional en su caso. Para resolver los problemas de adquisición, la UIT está considerando la implementación de un mecanismo de interrogación a los licitadores infructuosos en adjudicaciones de alto valor.</w:t>
            </w:r>
          </w:p>
        </w:tc>
      </w:tr>
    </w:tbl>
    <w:p w:rsidR="00C26591" w:rsidRDefault="00C26591" w:rsidP="0032202E">
      <w:pPr>
        <w:pStyle w:val="Reasons"/>
      </w:pPr>
    </w:p>
    <w:p w:rsidR="00C26591" w:rsidRDefault="00C26591">
      <w:pPr>
        <w:jc w:val="center"/>
      </w:pPr>
      <w:r>
        <w:t>______________</w:t>
      </w:r>
    </w:p>
    <w:sectPr w:rsidR="00C26591" w:rsidSect="00855AF8">
      <w:headerReference w:type="default" r:id="rId15"/>
      <w:footerReference w:type="default" r:id="rId16"/>
      <w:headerReference w:type="first" r:id="rId17"/>
      <w:footerReference w:type="first" r:id="rId18"/>
      <w:pgSz w:w="16834" w:h="11907" w:orient="landscape"/>
      <w:pgMar w:top="1134" w:right="1418" w:bottom="1134" w:left="1418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C3B" w:rsidRDefault="00044C3B">
      <w:r>
        <w:separator/>
      </w:r>
    </w:p>
  </w:endnote>
  <w:endnote w:type="continuationSeparator" w:id="0">
    <w:p w:rsidR="00044C3B" w:rsidRDefault="0004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F8" w:rsidRPr="006949D5" w:rsidRDefault="007D3334" w:rsidP="007D3334">
    <w:pPr>
      <w:pStyle w:val="Footer"/>
      <w:rPr>
        <w:lang w:val="fr-CH"/>
      </w:rPr>
    </w:pPr>
    <w:r w:rsidRPr="007D3334">
      <w:fldChar w:fldCharType="begin"/>
    </w:r>
    <w:r w:rsidRPr="007D3334">
      <w:rPr>
        <w:lang w:val="fr-CH"/>
      </w:rPr>
      <w:instrText xml:space="preserve"> FILENAME \p  \* MERGEFORMAT </w:instrText>
    </w:r>
    <w:r w:rsidRPr="007D3334">
      <w:fldChar w:fldCharType="separate"/>
    </w:r>
    <w:r w:rsidR="00C26591">
      <w:rPr>
        <w:lang w:val="fr-CH"/>
      </w:rPr>
      <w:t>P:\ESP\SG\CONSEIL\C18\000\020S.docx</w:t>
    </w:r>
    <w:r w:rsidRPr="007D3334">
      <w:fldChar w:fldCharType="end"/>
    </w:r>
    <w:r>
      <w:rPr>
        <w:lang w:val="fr-CH"/>
      </w:rPr>
      <w:t xml:space="preserve"> </w:t>
    </w:r>
    <w:r w:rsidR="00855AF8" w:rsidRPr="006949D5">
      <w:rPr>
        <w:lang w:val="fr-CH"/>
      </w:rPr>
      <w:t>(413124)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F8" w:rsidRDefault="00855AF8" w:rsidP="006226A9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Pr="007D3334" w:rsidRDefault="007D3334" w:rsidP="007D3334">
    <w:pPr>
      <w:pStyle w:val="Footer"/>
      <w:rPr>
        <w:lang w:val="fr-CH"/>
      </w:rPr>
    </w:pPr>
    <w:r w:rsidRPr="007D3334">
      <w:fldChar w:fldCharType="begin"/>
    </w:r>
    <w:r w:rsidRPr="007D3334">
      <w:rPr>
        <w:lang w:val="fr-CH"/>
      </w:rPr>
      <w:instrText xml:space="preserve"> FILENAME \p  \* MERGEFORMAT </w:instrText>
    </w:r>
    <w:r w:rsidRPr="007D3334">
      <w:fldChar w:fldCharType="separate"/>
    </w:r>
    <w:r w:rsidR="00C26591">
      <w:rPr>
        <w:lang w:val="fr-CH"/>
      </w:rPr>
      <w:t>P:\ESP\SG\CONSEIL\C18\000\020S.docx</w:t>
    </w:r>
    <w:r w:rsidRPr="007D3334">
      <w:fldChar w:fldCharType="end"/>
    </w:r>
    <w:r>
      <w:rPr>
        <w:lang w:val="fr-CH"/>
      </w:rPr>
      <w:t xml:space="preserve"> </w:t>
    </w:r>
    <w:r w:rsidRPr="006949D5">
      <w:rPr>
        <w:lang w:val="fr-CH"/>
      </w:rPr>
      <w:t>(413124)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760F1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760F1C" w:rsidRPr="00134AB7" w:rsidRDefault="007D3334" w:rsidP="007D3334">
    <w:pPr>
      <w:pStyle w:val="Footer"/>
      <w:rPr>
        <w:lang w:val="fr-CH"/>
      </w:rPr>
    </w:pPr>
    <w:r w:rsidRPr="007D3334">
      <w:fldChar w:fldCharType="begin"/>
    </w:r>
    <w:r w:rsidRPr="007D3334">
      <w:rPr>
        <w:lang w:val="fr-CH"/>
      </w:rPr>
      <w:instrText xml:space="preserve"> FILENAME \p  \* MERGEFORMAT </w:instrText>
    </w:r>
    <w:r w:rsidRPr="007D3334">
      <w:fldChar w:fldCharType="separate"/>
    </w:r>
    <w:r w:rsidR="00C26591">
      <w:rPr>
        <w:lang w:val="fr-CH"/>
      </w:rPr>
      <w:t>P:\ESP\SG\CONSEIL\C18\000\020S.docx</w:t>
    </w:r>
    <w:r w:rsidRPr="007D3334">
      <w:fldChar w:fldCharType="end"/>
    </w:r>
    <w:r>
      <w:rPr>
        <w:lang w:val="fr-CH"/>
      </w:rPr>
      <w:t xml:space="preserve"> </w:t>
    </w:r>
    <w:r w:rsidRPr="006949D5">
      <w:rPr>
        <w:lang w:val="fr-CH"/>
      </w:rPr>
      <w:t>(413124)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C3B" w:rsidRDefault="00044C3B">
      <w:r>
        <w:t>____________________</w:t>
      </w:r>
    </w:p>
  </w:footnote>
  <w:footnote w:type="continuationSeparator" w:id="0">
    <w:p w:rsidR="00044C3B" w:rsidRDefault="00044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334" w:rsidRDefault="007D3334" w:rsidP="007D3334">
    <w:pPr>
      <w:pStyle w:val="Header"/>
    </w:pPr>
    <w:r>
      <w:fldChar w:fldCharType="begin"/>
    </w:r>
    <w:r>
      <w:instrText>PAGE</w:instrText>
    </w:r>
    <w:r>
      <w:fldChar w:fldCharType="separate"/>
    </w:r>
    <w:r w:rsidR="00CC5E23">
      <w:rPr>
        <w:noProof/>
      </w:rPr>
      <w:t>2</w:t>
    </w:r>
    <w:r>
      <w:rPr>
        <w:noProof/>
      </w:rPr>
      <w:fldChar w:fldCharType="end"/>
    </w:r>
  </w:p>
  <w:p w:rsidR="007D3334" w:rsidRPr="007D3334" w:rsidRDefault="007D3334" w:rsidP="007D3334">
    <w:pPr>
      <w:pStyle w:val="Header"/>
    </w:pPr>
    <w:r>
      <w:t>C18/20-S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CC5E23">
      <w:rPr>
        <w:noProof/>
      </w:rPr>
      <w:t>5</w:t>
    </w:r>
    <w:r>
      <w:rPr>
        <w:noProof/>
      </w:rPr>
      <w:fldChar w:fldCharType="end"/>
    </w:r>
  </w:p>
  <w:p w:rsidR="00760F1C" w:rsidRDefault="00760F1C" w:rsidP="009F4811">
    <w:pPr>
      <w:pStyle w:val="Header"/>
    </w:pPr>
    <w:r>
      <w:t>C</w:t>
    </w:r>
    <w:r w:rsidR="007F350B">
      <w:t>1</w:t>
    </w:r>
    <w:r w:rsidR="009F4811">
      <w:t>8</w:t>
    </w:r>
    <w:r w:rsidR="007D3334">
      <w:t>/20</w:t>
    </w:r>
    <w:r>
      <w:t>-S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334" w:rsidRDefault="007D3334" w:rsidP="007D3334">
    <w:pPr>
      <w:pStyle w:val="Header"/>
    </w:pPr>
    <w:r>
      <w:fldChar w:fldCharType="begin"/>
    </w:r>
    <w:r>
      <w:instrText>PAGE</w:instrText>
    </w:r>
    <w:r>
      <w:fldChar w:fldCharType="separate"/>
    </w:r>
    <w:r w:rsidR="00CC5E23">
      <w:rPr>
        <w:noProof/>
      </w:rPr>
      <w:t>3</w:t>
    </w:r>
    <w:r>
      <w:rPr>
        <w:noProof/>
      </w:rPr>
      <w:fldChar w:fldCharType="end"/>
    </w:r>
  </w:p>
  <w:p w:rsidR="007D3334" w:rsidRDefault="007D3334" w:rsidP="007D3334">
    <w:pPr>
      <w:pStyle w:val="Header"/>
    </w:pPr>
    <w:r>
      <w:t>C18/20-S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1007D"/>
    <w:multiLevelType w:val="hybridMultilevel"/>
    <w:tmpl w:val="F6EC4846"/>
    <w:lvl w:ilvl="0" w:tplc="F326B6B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921EF"/>
    <w:multiLevelType w:val="hybridMultilevel"/>
    <w:tmpl w:val="0974F76C"/>
    <w:lvl w:ilvl="0" w:tplc="F326B6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3B"/>
    <w:rsid w:val="00044C3B"/>
    <w:rsid w:val="00093EEB"/>
    <w:rsid w:val="000B0D00"/>
    <w:rsid w:val="000B7C15"/>
    <w:rsid w:val="000D1D0F"/>
    <w:rsid w:val="000F5290"/>
    <w:rsid w:val="0010165C"/>
    <w:rsid w:val="00134AB7"/>
    <w:rsid w:val="00146BFB"/>
    <w:rsid w:val="001F14A2"/>
    <w:rsid w:val="002801AA"/>
    <w:rsid w:val="002C4676"/>
    <w:rsid w:val="002C70B0"/>
    <w:rsid w:val="002F3CC4"/>
    <w:rsid w:val="00383BAE"/>
    <w:rsid w:val="00513630"/>
    <w:rsid w:val="00560125"/>
    <w:rsid w:val="00585553"/>
    <w:rsid w:val="005B34D9"/>
    <w:rsid w:val="005D0CCF"/>
    <w:rsid w:val="005F3BCB"/>
    <w:rsid w:val="005F410F"/>
    <w:rsid w:val="0060149A"/>
    <w:rsid w:val="00601924"/>
    <w:rsid w:val="006447EA"/>
    <w:rsid w:val="0064731F"/>
    <w:rsid w:val="006710F6"/>
    <w:rsid w:val="006C1B56"/>
    <w:rsid w:val="006D4761"/>
    <w:rsid w:val="00726872"/>
    <w:rsid w:val="00760F1C"/>
    <w:rsid w:val="007657F0"/>
    <w:rsid w:val="0077252D"/>
    <w:rsid w:val="007D3334"/>
    <w:rsid w:val="007E5DD3"/>
    <w:rsid w:val="007F350B"/>
    <w:rsid w:val="00820BE4"/>
    <w:rsid w:val="008451E8"/>
    <w:rsid w:val="00855AF8"/>
    <w:rsid w:val="00913B9C"/>
    <w:rsid w:val="00956E77"/>
    <w:rsid w:val="009F4811"/>
    <w:rsid w:val="00AA390C"/>
    <w:rsid w:val="00B0200A"/>
    <w:rsid w:val="00B574DB"/>
    <w:rsid w:val="00B826C2"/>
    <w:rsid w:val="00B8298E"/>
    <w:rsid w:val="00BD0723"/>
    <w:rsid w:val="00BD2518"/>
    <w:rsid w:val="00BF1D1C"/>
    <w:rsid w:val="00C20C59"/>
    <w:rsid w:val="00C26591"/>
    <w:rsid w:val="00C55B1F"/>
    <w:rsid w:val="00CC5E23"/>
    <w:rsid w:val="00CF1A67"/>
    <w:rsid w:val="00D2750E"/>
    <w:rsid w:val="00D62446"/>
    <w:rsid w:val="00DA4EA2"/>
    <w:rsid w:val="00DC3D3E"/>
    <w:rsid w:val="00DE2C90"/>
    <w:rsid w:val="00DE3B24"/>
    <w:rsid w:val="00E06947"/>
    <w:rsid w:val="00E3592D"/>
    <w:rsid w:val="00E92DE8"/>
    <w:rsid w:val="00EB1212"/>
    <w:rsid w:val="00ED65AB"/>
    <w:rsid w:val="00F12850"/>
    <w:rsid w:val="00F33BF4"/>
    <w:rsid w:val="00F7105E"/>
    <w:rsid w:val="00F75F57"/>
    <w:rsid w:val="00F82FEE"/>
    <w:rsid w:val="00FD57D3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E9AEAF2-1894-4C79-B12F-B1F14FF0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link w:val="Foot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table" w:styleId="TableGrid">
    <w:name w:val="Table Grid"/>
    <w:basedOn w:val="TableNormal"/>
    <w:uiPriority w:val="39"/>
    <w:rsid w:val="00855AF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AF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55AF8"/>
    <w:rPr>
      <w:rFonts w:ascii="Calibri" w:hAnsi="Calibri"/>
      <w:sz w:val="18"/>
      <w:lang w:val="es-ES_tradnl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55AF8"/>
    <w:rPr>
      <w:rFonts w:ascii="Calibri" w:hAnsi="Calibri"/>
      <w:caps/>
      <w:noProof/>
      <w:sz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7-CL-C-0064/en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.org/en/ga/search/view_doc.asp?symbol=A/RES/64/25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unjiu.org/en/reports-notes/JIU%20Products/JIU_REP_2016_1_English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jiu.org/en/reports-notes/JIU%20Products/JIU_REP_2011_5_English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mat\AppData\Roaming\Microsoft\Templates\POOL%20S%20-%20ITU\PS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PS_C18.dotx</Template>
  <TotalTime>68</TotalTime>
  <Pages>8</Pages>
  <Words>2512</Words>
  <Characters>13998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16478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2018</dc:subject>
  <dc:creator>Spanish</dc:creator>
  <cp:keywords>C2018, C18</cp:keywords>
  <dc:description/>
  <cp:lastModifiedBy>Marin Matas, Juan Gabriel</cp:lastModifiedBy>
  <cp:revision>5</cp:revision>
  <cp:lastPrinted>2018-03-02T14:37:00Z</cp:lastPrinted>
  <dcterms:created xsi:type="dcterms:W3CDTF">2018-03-02T13:39:00Z</dcterms:created>
  <dcterms:modified xsi:type="dcterms:W3CDTF">2018-03-02T15:20:00Z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