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2A2188" w:rsidRPr="00813E5E" w:rsidTr="00464B6C">
        <w:trPr>
          <w:cantSplit/>
        </w:trPr>
        <w:tc>
          <w:tcPr>
            <w:tcW w:w="6911" w:type="dxa"/>
          </w:tcPr>
          <w:p w:rsidR="002A2188" w:rsidRPr="00813E5E" w:rsidRDefault="002A2188" w:rsidP="00623AE3">
            <w:pPr>
              <w:spacing w:before="360" w:after="48" w:line="240" w:lineRule="atLeast"/>
              <w:rPr>
                <w:position w:val="6"/>
              </w:rPr>
            </w:pPr>
            <w:bookmarkStart w:id="0" w:name="dc06"/>
            <w:bookmarkStart w:id="1" w:name="_GoBack"/>
            <w:bookmarkEnd w:id="0"/>
            <w:bookmarkEnd w:id="1"/>
            <w:r w:rsidRPr="00E85629">
              <w:rPr>
                <w:b/>
                <w:bCs/>
                <w:position w:val="6"/>
                <w:sz w:val="30"/>
                <w:szCs w:val="30"/>
                <w:lang w:val="fr-CH"/>
              </w:rPr>
              <w:t>Council 201</w:t>
            </w:r>
            <w:r w:rsidR="00623AE3">
              <w:rPr>
                <w:b/>
                <w:bCs/>
                <w:position w:val="6"/>
                <w:sz w:val="30"/>
                <w:szCs w:val="30"/>
                <w:lang w:val="fr-CH"/>
              </w:rPr>
              <w:t>8</w:t>
            </w:r>
            <w:r w:rsidRPr="00E85629">
              <w:rPr>
                <w:rFonts w:cs="Times"/>
                <w:b/>
                <w:position w:val="6"/>
                <w:sz w:val="26"/>
                <w:szCs w:val="26"/>
                <w:lang w:val="en-US"/>
              </w:rPr>
              <w:br/>
            </w:r>
            <w:r w:rsidRPr="00E85629">
              <w:rPr>
                <w:b/>
                <w:bCs/>
                <w:position w:val="6"/>
                <w:szCs w:val="24"/>
                <w:lang w:val="fr-CH"/>
              </w:rPr>
              <w:t>Geneva, 1</w:t>
            </w:r>
            <w:r w:rsidR="00623AE3">
              <w:rPr>
                <w:b/>
                <w:bCs/>
                <w:position w:val="6"/>
                <w:szCs w:val="24"/>
                <w:lang w:val="fr-CH"/>
              </w:rPr>
              <w:t>7</w:t>
            </w:r>
            <w:r w:rsidRPr="00E85629">
              <w:rPr>
                <w:b/>
                <w:bCs/>
                <w:position w:val="6"/>
                <w:szCs w:val="24"/>
                <w:lang w:val="fr-CH"/>
              </w:rPr>
              <w:t>-2</w:t>
            </w:r>
            <w:r w:rsidR="00623AE3">
              <w:rPr>
                <w:b/>
                <w:bCs/>
                <w:position w:val="6"/>
                <w:szCs w:val="24"/>
                <w:lang w:val="fr-CH"/>
              </w:rPr>
              <w:t>7</w:t>
            </w:r>
            <w:r w:rsidRPr="00E85629">
              <w:rPr>
                <w:b/>
                <w:bCs/>
                <w:position w:val="6"/>
                <w:szCs w:val="24"/>
                <w:lang w:val="fr-CH"/>
              </w:rPr>
              <w:t xml:space="preserve"> </w:t>
            </w:r>
            <w:r w:rsidR="00623AE3">
              <w:rPr>
                <w:b/>
                <w:bCs/>
                <w:position w:val="6"/>
                <w:szCs w:val="24"/>
                <w:lang w:val="fr-CH"/>
              </w:rPr>
              <w:t>April</w:t>
            </w:r>
            <w:r w:rsidRPr="00E85629">
              <w:rPr>
                <w:b/>
                <w:bCs/>
                <w:position w:val="6"/>
                <w:szCs w:val="24"/>
                <w:lang w:val="fr-CH"/>
              </w:rPr>
              <w:t xml:space="preserve"> 201</w:t>
            </w:r>
            <w:r w:rsidR="00623AE3">
              <w:rPr>
                <w:b/>
                <w:bCs/>
                <w:position w:val="6"/>
                <w:szCs w:val="24"/>
                <w:lang w:val="fr-CH"/>
              </w:rPr>
              <w:t>8</w:t>
            </w:r>
          </w:p>
        </w:tc>
        <w:tc>
          <w:tcPr>
            <w:tcW w:w="3120" w:type="dxa"/>
          </w:tcPr>
          <w:p w:rsidR="002A2188" w:rsidRPr="00813E5E" w:rsidRDefault="002A2188" w:rsidP="00464B6C">
            <w:pPr>
              <w:spacing w:before="0" w:line="240" w:lineRule="atLeast"/>
              <w:jc w:val="right"/>
            </w:pPr>
            <w:bookmarkStart w:id="2" w:name="ditulogo"/>
            <w:bookmarkEnd w:id="2"/>
            <w:r w:rsidRPr="00F21593">
              <w:rPr>
                <w:rFonts w:ascii="Verdana" w:hAnsi="Verdana"/>
                <w:noProof/>
                <w:color w:val="FFFFFF"/>
                <w:sz w:val="26"/>
                <w:szCs w:val="26"/>
                <w:lang w:val="en-US" w:eastAsia="zh-CN"/>
              </w:rPr>
              <w:drawing>
                <wp:inline distT="0" distB="0" distL="0" distR="0" wp14:anchorId="18F94E10" wp14:editId="2F347762">
                  <wp:extent cx="1765300" cy="7429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0" cy="742950"/>
                          </a:xfrm>
                          <a:prstGeom prst="rect">
                            <a:avLst/>
                          </a:prstGeom>
                          <a:noFill/>
                          <a:ln>
                            <a:noFill/>
                          </a:ln>
                        </pic:spPr>
                      </pic:pic>
                    </a:graphicData>
                  </a:graphic>
                </wp:inline>
              </w:drawing>
            </w:r>
          </w:p>
        </w:tc>
      </w:tr>
      <w:tr w:rsidR="002A2188" w:rsidRPr="00813E5E" w:rsidTr="00464B6C">
        <w:trPr>
          <w:cantSplit/>
        </w:trPr>
        <w:tc>
          <w:tcPr>
            <w:tcW w:w="6911" w:type="dxa"/>
            <w:tcBorders>
              <w:bottom w:val="single" w:sz="12" w:space="0" w:color="auto"/>
            </w:tcBorders>
          </w:tcPr>
          <w:p w:rsidR="002A2188" w:rsidRPr="00813E5E" w:rsidRDefault="002A2188" w:rsidP="00374649">
            <w:pPr>
              <w:spacing w:before="0" w:line="240" w:lineRule="atLeast"/>
              <w:rPr>
                <w:b/>
                <w:smallCaps/>
                <w:szCs w:val="24"/>
              </w:rPr>
            </w:pPr>
          </w:p>
        </w:tc>
        <w:tc>
          <w:tcPr>
            <w:tcW w:w="3120" w:type="dxa"/>
            <w:tcBorders>
              <w:bottom w:val="single" w:sz="12" w:space="0" w:color="auto"/>
            </w:tcBorders>
          </w:tcPr>
          <w:p w:rsidR="002A2188" w:rsidRPr="00813E5E" w:rsidRDefault="002A2188" w:rsidP="00374649">
            <w:pPr>
              <w:spacing w:before="0" w:line="240" w:lineRule="atLeast"/>
              <w:rPr>
                <w:szCs w:val="24"/>
              </w:rPr>
            </w:pPr>
          </w:p>
        </w:tc>
      </w:tr>
      <w:tr w:rsidR="002A2188" w:rsidRPr="00813E5E" w:rsidTr="00464B6C">
        <w:trPr>
          <w:cantSplit/>
        </w:trPr>
        <w:tc>
          <w:tcPr>
            <w:tcW w:w="6911" w:type="dxa"/>
            <w:tcBorders>
              <w:top w:val="single" w:sz="12" w:space="0" w:color="auto"/>
            </w:tcBorders>
          </w:tcPr>
          <w:p w:rsidR="002A2188" w:rsidRPr="00813E5E" w:rsidRDefault="002A2188" w:rsidP="00374649">
            <w:pPr>
              <w:spacing w:before="0" w:line="240" w:lineRule="atLeast"/>
              <w:rPr>
                <w:b/>
                <w:smallCaps/>
                <w:szCs w:val="24"/>
              </w:rPr>
            </w:pPr>
          </w:p>
        </w:tc>
        <w:tc>
          <w:tcPr>
            <w:tcW w:w="3120" w:type="dxa"/>
            <w:tcBorders>
              <w:top w:val="single" w:sz="12" w:space="0" w:color="auto"/>
            </w:tcBorders>
          </w:tcPr>
          <w:p w:rsidR="002A2188" w:rsidRPr="00813E5E" w:rsidRDefault="002A2188" w:rsidP="00374649">
            <w:pPr>
              <w:spacing w:before="0" w:line="240" w:lineRule="atLeast"/>
              <w:rPr>
                <w:szCs w:val="24"/>
              </w:rPr>
            </w:pPr>
          </w:p>
        </w:tc>
      </w:tr>
      <w:tr w:rsidR="002A2188" w:rsidRPr="00813E5E" w:rsidTr="00464B6C">
        <w:trPr>
          <w:cantSplit/>
          <w:trHeight w:val="23"/>
        </w:trPr>
        <w:tc>
          <w:tcPr>
            <w:tcW w:w="6911" w:type="dxa"/>
            <w:vMerge w:val="restart"/>
          </w:tcPr>
          <w:p w:rsidR="002A2188" w:rsidRPr="00E85629" w:rsidRDefault="00D04E39" w:rsidP="00374649">
            <w:pPr>
              <w:tabs>
                <w:tab w:val="left" w:pos="851"/>
              </w:tabs>
              <w:spacing w:before="0" w:line="240" w:lineRule="atLeast"/>
              <w:rPr>
                <w:b/>
              </w:rPr>
            </w:pPr>
            <w:bookmarkStart w:id="3" w:name="dmeeting" w:colFirst="0" w:colLast="0"/>
            <w:bookmarkStart w:id="4" w:name="dnum" w:colFirst="1" w:colLast="1"/>
            <w:r>
              <w:rPr>
                <w:b/>
              </w:rPr>
              <w:t xml:space="preserve">Agenda item: </w:t>
            </w:r>
            <w:r w:rsidR="00374649">
              <w:rPr>
                <w:b/>
              </w:rPr>
              <w:t>ADM 9</w:t>
            </w:r>
          </w:p>
        </w:tc>
        <w:tc>
          <w:tcPr>
            <w:tcW w:w="3120" w:type="dxa"/>
          </w:tcPr>
          <w:p w:rsidR="002A2188" w:rsidRPr="00E85629" w:rsidRDefault="002A2188" w:rsidP="00374649">
            <w:pPr>
              <w:tabs>
                <w:tab w:val="left" w:pos="851"/>
              </w:tabs>
              <w:spacing w:before="0" w:line="240" w:lineRule="atLeast"/>
              <w:rPr>
                <w:b/>
              </w:rPr>
            </w:pPr>
            <w:r>
              <w:rPr>
                <w:b/>
              </w:rPr>
              <w:t>Document C1</w:t>
            </w:r>
            <w:r w:rsidR="00623AE3">
              <w:rPr>
                <w:b/>
              </w:rPr>
              <w:t>8</w:t>
            </w:r>
            <w:r>
              <w:rPr>
                <w:b/>
              </w:rPr>
              <w:t>/</w:t>
            </w:r>
            <w:r w:rsidR="00374649">
              <w:rPr>
                <w:b/>
              </w:rPr>
              <w:t>20</w:t>
            </w:r>
            <w:r>
              <w:rPr>
                <w:b/>
              </w:rPr>
              <w:t>-E</w:t>
            </w:r>
          </w:p>
        </w:tc>
      </w:tr>
      <w:tr w:rsidR="002A2188" w:rsidRPr="00813E5E" w:rsidTr="00464B6C">
        <w:trPr>
          <w:cantSplit/>
          <w:trHeight w:val="23"/>
        </w:trPr>
        <w:tc>
          <w:tcPr>
            <w:tcW w:w="6911" w:type="dxa"/>
            <w:vMerge/>
          </w:tcPr>
          <w:p w:rsidR="002A2188" w:rsidRPr="00813E5E" w:rsidRDefault="002A2188" w:rsidP="00464B6C">
            <w:pPr>
              <w:tabs>
                <w:tab w:val="left" w:pos="851"/>
              </w:tabs>
              <w:spacing w:line="240" w:lineRule="atLeast"/>
              <w:rPr>
                <w:b/>
              </w:rPr>
            </w:pPr>
            <w:bookmarkStart w:id="5" w:name="ddate" w:colFirst="1" w:colLast="1"/>
            <w:bookmarkEnd w:id="3"/>
            <w:bookmarkEnd w:id="4"/>
          </w:p>
        </w:tc>
        <w:tc>
          <w:tcPr>
            <w:tcW w:w="3120" w:type="dxa"/>
          </w:tcPr>
          <w:p w:rsidR="002A2188" w:rsidRPr="00E85629" w:rsidRDefault="00374649" w:rsidP="00623AE3">
            <w:pPr>
              <w:tabs>
                <w:tab w:val="left" w:pos="993"/>
              </w:tabs>
              <w:spacing w:before="0"/>
              <w:rPr>
                <w:b/>
              </w:rPr>
            </w:pPr>
            <w:r>
              <w:rPr>
                <w:b/>
              </w:rPr>
              <w:t>8 February</w:t>
            </w:r>
            <w:r w:rsidR="002A2188">
              <w:rPr>
                <w:b/>
              </w:rPr>
              <w:t xml:space="preserve"> 201</w:t>
            </w:r>
            <w:r w:rsidR="00623AE3">
              <w:rPr>
                <w:b/>
              </w:rPr>
              <w:t>8</w:t>
            </w:r>
          </w:p>
        </w:tc>
      </w:tr>
      <w:tr w:rsidR="002A2188" w:rsidRPr="00813E5E" w:rsidTr="00464B6C">
        <w:trPr>
          <w:cantSplit/>
          <w:trHeight w:val="23"/>
        </w:trPr>
        <w:tc>
          <w:tcPr>
            <w:tcW w:w="6911" w:type="dxa"/>
            <w:vMerge/>
          </w:tcPr>
          <w:p w:rsidR="002A2188" w:rsidRPr="00813E5E" w:rsidRDefault="002A2188" w:rsidP="00464B6C">
            <w:pPr>
              <w:tabs>
                <w:tab w:val="left" w:pos="851"/>
              </w:tabs>
              <w:spacing w:line="240" w:lineRule="atLeast"/>
              <w:rPr>
                <w:b/>
              </w:rPr>
            </w:pPr>
            <w:bookmarkStart w:id="6" w:name="dorlang" w:colFirst="1" w:colLast="1"/>
            <w:bookmarkEnd w:id="5"/>
          </w:p>
        </w:tc>
        <w:tc>
          <w:tcPr>
            <w:tcW w:w="3120" w:type="dxa"/>
          </w:tcPr>
          <w:p w:rsidR="002A2188" w:rsidRPr="00E85629" w:rsidRDefault="002A2188" w:rsidP="00464B6C">
            <w:pPr>
              <w:tabs>
                <w:tab w:val="left" w:pos="993"/>
              </w:tabs>
              <w:spacing w:before="0"/>
              <w:rPr>
                <w:b/>
              </w:rPr>
            </w:pPr>
            <w:r>
              <w:rPr>
                <w:b/>
              </w:rPr>
              <w:t>Original: English</w:t>
            </w:r>
          </w:p>
        </w:tc>
      </w:tr>
      <w:tr w:rsidR="002A2188" w:rsidRPr="00813E5E" w:rsidTr="00464B6C">
        <w:trPr>
          <w:cantSplit/>
        </w:trPr>
        <w:tc>
          <w:tcPr>
            <w:tcW w:w="10031" w:type="dxa"/>
            <w:gridSpan w:val="2"/>
          </w:tcPr>
          <w:p w:rsidR="002A2188" w:rsidRPr="00813E5E" w:rsidRDefault="00D04E39" w:rsidP="00464B6C">
            <w:pPr>
              <w:pStyle w:val="Source"/>
            </w:pPr>
            <w:bookmarkStart w:id="7" w:name="dsource" w:colFirst="0" w:colLast="0"/>
            <w:bookmarkEnd w:id="6"/>
            <w:r w:rsidRPr="00D04E39">
              <w:t>Report by the Secretary-General</w:t>
            </w:r>
          </w:p>
        </w:tc>
      </w:tr>
      <w:tr w:rsidR="002A2188" w:rsidRPr="00813E5E" w:rsidTr="00464B6C">
        <w:trPr>
          <w:cantSplit/>
        </w:trPr>
        <w:tc>
          <w:tcPr>
            <w:tcW w:w="10031" w:type="dxa"/>
            <w:gridSpan w:val="2"/>
          </w:tcPr>
          <w:p w:rsidR="002A2188" w:rsidRPr="00813E5E" w:rsidRDefault="00374649" w:rsidP="00374649">
            <w:pPr>
              <w:pStyle w:val="Title1"/>
            </w:pPr>
            <w:bookmarkStart w:id="8" w:name="dtitle1" w:colFirst="0" w:colLast="0"/>
            <w:bookmarkEnd w:id="7"/>
            <w:r>
              <w:t xml:space="preserve">ACCOUNTABILITY AND TRANSPARENCY FRAMEWORK </w:t>
            </w:r>
            <w:r>
              <w:br/>
              <w:t>INTERNATIONAL TELECOMMUNICATION UNION</w:t>
            </w:r>
          </w:p>
        </w:tc>
      </w:tr>
      <w:bookmarkEnd w:id="8"/>
    </w:tbl>
    <w:p w:rsidR="002A2188" w:rsidRPr="00813E5E" w:rsidRDefault="002A2188" w:rsidP="002A2188"/>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2A2188" w:rsidRPr="00813E5E" w:rsidTr="00464B6C">
        <w:trPr>
          <w:trHeight w:val="3372"/>
        </w:trPr>
        <w:tc>
          <w:tcPr>
            <w:tcW w:w="8080" w:type="dxa"/>
            <w:tcBorders>
              <w:top w:val="single" w:sz="12" w:space="0" w:color="auto"/>
              <w:left w:val="single" w:sz="12" w:space="0" w:color="auto"/>
              <w:bottom w:val="single" w:sz="12" w:space="0" w:color="auto"/>
              <w:right w:val="single" w:sz="12" w:space="0" w:color="auto"/>
            </w:tcBorders>
          </w:tcPr>
          <w:p w:rsidR="00374649" w:rsidRPr="003834E5" w:rsidRDefault="00374649" w:rsidP="00374649">
            <w:pPr>
              <w:keepNext/>
              <w:keepLines/>
              <w:spacing w:after="120"/>
              <w:ind w:left="567" w:hanging="567"/>
              <w:outlineLvl w:val="0"/>
              <w:rPr>
                <w:b/>
                <w:szCs w:val="24"/>
              </w:rPr>
            </w:pPr>
            <w:r w:rsidRPr="003834E5">
              <w:rPr>
                <w:b/>
                <w:szCs w:val="24"/>
              </w:rPr>
              <w:t>Summary</w:t>
            </w:r>
          </w:p>
          <w:p w:rsidR="00374649" w:rsidRDefault="00374649" w:rsidP="00374649">
            <w:pPr>
              <w:spacing w:after="120"/>
              <w:jc w:val="both"/>
              <w:rPr>
                <w:szCs w:val="24"/>
              </w:rPr>
            </w:pPr>
            <w:r>
              <w:rPr>
                <w:szCs w:val="24"/>
              </w:rPr>
              <w:t xml:space="preserve">Pursuant to the JIU </w:t>
            </w:r>
            <w:r w:rsidRPr="001F0007">
              <w:rPr>
                <w:szCs w:val="24"/>
              </w:rPr>
              <w:t>review of ITU management undertaken in 2015 (</w:t>
            </w:r>
            <w:hyperlink r:id="rId9" w:history="1">
              <w:r w:rsidRPr="001F0007">
                <w:rPr>
                  <w:rStyle w:val="Hyperlink"/>
                  <w:szCs w:val="24"/>
                </w:rPr>
                <w:t>JIU/REP/2016/1</w:t>
              </w:r>
            </w:hyperlink>
            <w:r w:rsidRPr="001F0007">
              <w:rPr>
                <w:szCs w:val="24"/>
              </w:rPr>
              <w:t>)</w:t>
            </w:r>
            <w:r>
              <w:rPr>
                <w:szCs w:val="24"/>
              </w:rPr>
              <w:t>,</w:t>
            </w:r>
            <w:r w:rsidRPr="001F0007">
              <w:rPr>
                <w:szCs w:val="24"/>
              </w:rPr>
              <w:t xml:space="preserve"> </w:t>
            </w:r>
            <w:r>
              <w:rPr>
                <w:szCs w:val="24"/>
              </w:rPr>
              <w:t xml:space="preserve">the </w:t>
            </w:r>
            <w:r w:rsidRPr="001F0007">
              <w:rPr>
                <w:szCs w:val="24"/>
              </w:rPr>
              <w:t xml:space="preserve">Secretary-General </w:t>
            </w:r>
            <w:r>
              <w:rPr>
                <w:szCs w:val="24"/>
              </w:rPr>
              <w:t xml:space="preserve">presented to the </w:t>
            </w:r>
            <w:r w:rsidRPr="001F0007">
              <w:rPr>
                <w:szCs w:val="24"/>
              </w:rPr>
              <w:t xml:space="preserve">2017 </w:t>
            </w:r>
            <w:r>
              <w:rPr>
                <w:szCs w:val="24"/>
              </w:rPr>
              <w:t xml:space="preserve">Council </w:t>
            </w:r>
            <w:r w:rsidRPr="001F0007">
              <w:rPr>
                <w:szCs w:val="24"/>
              </w:rPr>
              <w:t xml:space="preserve">session </w:t>
            </w:r>
            <w:r>
              <w:rPr>
                <w:szCs w:val="24"/>
              </w:rPr>
              <w:t xml:space="preserve">a </w:t>
            </w:r>
            <w:r w:rsidRPr="001F0007">
              <w:rPr>
                <w:szCs w:val="24"/>
              </w:rPr>
              <w:t xml:space="preserve">stand-alone ITU Accountability Framework </w:t>
            </w:r>
            <w:r>
              <w:rPr>
                <w:szCs w:val="24"/>
              </w:rPr>
              <w:t xml:space="preserve">that consolidates the </w:t>
            </w:r>
            <w:r w:rsidRPr="001F0007">
              <w:rPr>
                <w:szCs w:val="24"/>
              </w:rPr>
              <w:t>core elements of accountability</w:t>
            </w:r>
            <w:r>
              <w:rPr>
                <w:szCs w:val="24"/>
              </w:rPr>
              <w:t xml:space="preserve"> around three main pillars and related benchmarks.</w:t>
            </w:r>
          </w:p>
          <w:p w:rsidR="00374649" w:rsidRPr="00A97260" w:rsidRDefault="00374649" w:rsidP="00374649">
            <w:pPr>
              <w:spacing w:after="120"/>
              <w:jc w:val="both"/>
              <w:rPr>
                <w:szCs w:val="24"/>
              </w:rPr>
            </w:pPr>
            <w:r>
              <w:rPr>
                <w:szCs w:val="24"/>
              </w:rPr>
              <w:t>This report provides an update of the p</w:t>
            </w:r>
            <w:r w:rsidRPr="00C2571A">
              <w:rPr>
                <w:szCs w:val="24"/>
              </w:rPr>
              <w:t xml:space="preserve">rogress </w:t>
            </w:r>
            <w:r>
              <w:rPr>
                <w:szCs w:val="24"/>
              </w:rPr>
              <w:t xml:space="preserve">achieved </w:t>
            </w:r>
            <w:r w:rsidRPr="00C2571A">
              <w:rPr>
                <w:szCs w:val="24"/>
              </w:rPr>
              <w:t>towards the implementation of the JIU benchmarks for the Accountability Framework</w:t>
            </w:r>
            <w:r>
              <w:rPr>
                <w:szCs w:val="24"/>
              </w:rPr>
              <w:t>.</w:t>
            </w:r>
          </w:p>
          <w:p w:rsidR="00374649" w:rsidRPr="003834E5" w:rsidRDefault="00374649" w:rsidP="00374649">
            <w:pPr>
              <w:keepNext/>
              <w:keepLines/>
              <w:spacing w:after="120"/>
              <w:ind w:left="567" w:hanging="567"/>
              <w:jc w:val="both"/>
              <w:outlineLvl w:val="0"/>
              <w:rPr>
                <w:b/>
                <w:szCs w:val="24"/>
              </w:rPr>
            </w:pPr>
            <w:r w:rsidRPr="003834E5">
              <w:rPr>
                <w:b/>
                <w:szCs w:val="24"/>
              </w:rPr>
              <w:t>Action required</w:t>
            </w:r>
          </w:p>
          <w:p w:rsidR="00374649" w:rsidRPr="003834E5" w:rsidRDefault="00374649" w:rsidP="00AD29D6">
            <w:pPr>
              <w:spacing w:after="120"/>
              <w:jc w:val="both"/>
              <w:rPr>
                <w:szCs w:val="24"/>
              </w:rPr>
            </w:pPr>
            <w:r w:rsidRPr="001F0007">
              <w:rPr>
                <w:szCs w:val="24"/>
              </w:rPr>
              <w:t xml:space="preserve">The Council is invited to </w:t>
            </w:r>
            <w:r w:rsidRPr="001F0007">
              <w:rPr>
                <w:b/>
                <w:bCs/>
                <w:szCs w:val="24"/>
              </w:rPr>
              <w:t xml:space="preserve">take note </w:t>
            </w:r>
            <w:r w:rsidRPr="001F0007">
              <w:rPr>
                <w:szCs w:val="24"/>
              </w:rPr>
              <w:t>of</w:t>
            </w:r>
            <w:r>
              <w:rPr>
                <w:szCs w:val="24"/>
              </w:rPr>
              <w:t xml:space="preserve"> the</w:t>
            </w:r>
            <w:r w:rsidR="005F6D92">
              <w:rPr>
                <w:szCs w:val="24"/>
              </w:rPr>
              <w:t xml:space="preserve"> report. </w:t>
            </w:r>
          </w:p>
          <w:p w:rsidR="00374649" w:rsidRPr="003834E5" w:rsidRDefault="00374649" w:rsidP="00374649">
            <w:pPr>
              <w:keepNext/>
              <w:keepLines/>
              <w:spacing w:after="120"/>
              <w:ind w:left="567" w:hanging="567"/>
              <w:outlineLvl w:val="0"/>
              <w:rPr>
                <w:b/>
                <w:szCs w:val="24"/>
              </w:rPr>
            </w:pPr>
            <w:r w:rsidRPr="003834E5">
              <w:rPr>
                <w:b/>
                <w:szCs w:val="24"/>
              </w:rPr>
              <w:t>References</w:t>
            </w:r>
          </w:p>
          <w:p w:rsidR="002A2188" w:rsidRPr="00813E5E" w:rsidRDefault="00AD29D6" w:rsidP="00374649">
            <w:pPr>
              <w:spacing w:after="120"/>
              <w:rPr>
                <w:i/>
                <w:iCs/>
              </w:rPr>
            </w:pPr>
            <w:hyperlink r:id="rId10" w:history="1">
              <w:r w:rsidR="00374649" w:rsidRPr="00C80C6F">
                <w:rPr>
                  <w:rStyle w:val="Hyperlink"/>
                  <w:szCs w:val="24"/>
                </w:rPr>
                <w:t>C17/64</w:t>
              </w:r>
            </w:hyperlink>
            <w:r w:rsidR="00374649" w:rsidRPr="00C80C6F">
              <w:rPr>
                <w:szCs w:val="24"/>
              </w:rPr>
              <w:t xml:space="preserve">, </w:t>
            </w:r>
            <w:hyperlink r:id="rId11" w:history="1">
              <w:r w:rsidR="00374649" w:rsidRPr="00C80C6F">
                <w:rPr>
                  <w:rStyle w:val="Hyperlink"/>
                  <w:szCs w:val="24"/>
                </w:rPr>
                <w:t>JIU/REP/2011/5</w:t>
              </w:r>
            </w:hyperlink>
            <w:r w:rsidR="00374649" w:rsidRPr="00C80C6F">
              <w:rPr>
                <w:rStyle w:val="Hyperlink"/>
                <w:szCs w:val="24"/>
              </w:rPr>
              <w:t xml:space="preserve">, </w:t>
            </w:r>
            <w:hyperlink r:id="rId12" w:history="1">
              <w:r w:rsidR="00374649" w:rsidRPr="00C80C6F">
                <w:rPr>
                  <w:rStyle w:val="Hyperlink"/>
                  <w:szCs w:val="24"/>
                </w:rPr>
                <w:t>JIU/REP/2016/1</w:t>
              </w:r>
            </w:hyperlink>
            <w:r w:rsidR="00374649" w:rsidRPr="00C80C6F">
              <w:rPr>
                <w:rStyle w:val="Hyperlink"/>
                <w:szCs w:val="24"/>
              </w:rPr>
              <w:t xml:space="preserve"> and UN General Assembly </w:t>
            </w:r>
            <w:hyperlink r:id="rId13" w:history="1">
              <w:r w:rsidR="00374649" w:rsidRPr="00C80C6F">
                <w:rPr>
                  <w:rStyle w:val="Hyperlink"/>
                  <w:szCs w:val="24"/>
                </w:rPr>
                <w:t>Resolution 64/259</w:t>
              </w:r>
            </w:hyperlink>
          </w:p>
        </w:tc>
      </w:tr>
    </w:tbl>
    <w:p w:rsidR="002A2188" w:rsidRDefault="002A2188" w:rsidP="002A2188">
      <w:pPr>
        <w:tabs>
          <w:tab w:val="clear" w:pos="567"/>
          <w:tab w:val="clear" w:pos="1134"/>
          <w:tab w:val="clear" w:pos="1701"/>
          <w:tab w:val="clear" w:pos="2268"/>
          <w:tab w:val="clear" w:pos="2835"/>
        </w:tabs>
        <w:overflowPunct/>
        <w:autoSpaceDE/>
        <w:autoSpaceDN/>
        <w:adjustRightInd/>
        <w:spacing w:before="0"/>
        <w:textAlignment w:val="auto"/>
      </w:pPr>
      <w:bookmarkStart w:id="9" w:name="dstart"/>
      <w:bookmarkStart w:id="10" w:name="dbreak"/>
      <w:bookmarkEnd w:id="9"/>
      <w:bookmarkEnd w:id="10"/>
      <w:r>
        <w:br w:type="page"/>
      </w:r>
    </w:p>
    <w:p w:rsidR="00374649" w:rsidRPr="00692FED" w:rsidRDefault="00374649" w:rsidP="00374649">
      <w:pPr>
        <w:tabs>
          <w:tab w:val="clear" w:pos="567"/>
          <w:tab w:val="clear" w:pos="1134"/>
          <w:tab w:val="clear" w:pos="1701"/>
          <w:tab w:val="clear" w:pos="2268"/>
          <w:tab w:val="clear" w:pos="2835"/>
        </w:tabs>
        <w:snapToGrid w:val="0"/>
        <w:spacing w:after="120"/>
        <w:jc w:val="both"/>
        <w:rPr>
          <w:szCs w:val="24"/>
        </w:rPr>
      </w:pPr>
      <w:r>
        <w:rPr>
          <w:szCs w:val="24"/>
        </w:rPr>
        <w:lastRenderedPageBreak/>
        <w:t>1</w:t>
      </w:r>
      <w:r w:rsidRPr="00692FED">
        <w:rPr>
          <w:szCs w:val="24"/>
        </w:rPr>
        <w:tab/>
        <w:t xml:space="preserve">The </w:t>
      </w:r>
      <w:r>
        <w:rPr>
          <w:szCs w:val="24"/>
        </w:rPr>
        <w:t>purpose</w:t>
      </w:r>
      <w:r w:rsidRPr="00692FED">
        <w:rPr>
          <w:szCs w:val="24"/>
        </w:rPr>
        <w:t xml:space="preserve"> of this document is to </w:t>
      </w:r>
      <w:r>
        <w:rPr>
          <w:szCs w:val="24"/>
        </w:rPr>
        <w:t>provide</w:t>
      </w:r>
      <w:r w:rsidRPr="00692FED">
        <w:rPr>
          <w:szCs w:val="24"/>
        </w:rPr>
        <w:t xml:space="preserve"> </w:t>
      </w:r>
      <w:r>
        <w:rPr>
          <w:szCs w:val="24"/>
        </w:rPr>
        <w:t>an update of the p</w:t>
      </w:r>
      <w:r w:rsidRPr="00C2571A">
        <w:rPr>
          <w:szCs w:val="24"/>
        </w:rPr>
        <w:t xml:space="preserve">rogress </w:t>
      </w:r>
      <w:r>
        <w:rPr>
          <w:szCs w:val="24"/>
        </w:rPr>
        <w:t xml:space="preserve">achieved </w:t>
      </w:r>
      <w:r w:rsidRPr="00C2571A">
        <w:rPr>
          <w:szCs w:val="24"/>
        </w:rPr>
        <w:t>towards the implementation of the JIU benchmarks for the Accountability Framework</w:t>
      </w:r>
      <w:r>
        <w:rPr>
          <w:szCs w:val="24"/>
        </w:rPr>
        <w:t xml:space="preserve"> (AF)</w:t>
      </w:r>
      <w:r w:rsidRPr="00692FED">
        <w:rPr>
          <w:szCs w:val="24"/>
        </w:rPr>
        <w:t>.</w:t>
      </w:r>
    </w:p>
    <w:p w:rsidR="00374649" w:rsidRPr="00692FED" w:rsidRDefault="00374649" w:rsidP="00374649">
      <w:pPr>
        <w:tabs>
          <w:tab w:val="clear" w:pos="567"/>
          <w:tab w:val="clear" w:pos="1134"/>
          <w:tab w:val="clear" w:pos="1701"/>
          <w:tab w:val="clear" w:pos="2268"/>
          <w:tab w:val="clear" w:pos="2835"/>
        </w:tabs>
        <w:snapToGrid w:val="0"/>
        <w:spacing w:after="360"/>
        <w:jc w:val="both"/>
        <w:rPr>
          <w:szCs w:val="24"/>
        </w:rPr>
      </w:pPr>
      <w:r>
        <w:rPr>
          <w:szCs w:val="24"/>
        </w:rPr>
        <w:t>2</w:t>
      </w:r>
      <w:r w:rsidRPr="00692FED">
        <w:rPr>
          <w:szCs w:val="24"/>
        </w:rPr>
        <w:tab/>
        <w:t>ITU’s accountability framework builds upon the three main pillars based on a structure presented in the JIU report as shown below.</w:t>
      </w:r>
    </w:p>
    <w:tbl>
      <w:tblPr>
        <w:tblStyle w:val="TableGrid"/>
        <w:tblpPr w:leftFromText="180" w:rightFromText="180" w:vertAnchor="text" w:horzAnchor="margin" w:tblpY="-18"/>
        <w:tblW w:w="0" w:type="auto"/>
        <w:tblLook w:val="04A0" w:firstRow="1" w:lastRow="0" w:firstColumn="1" w:lastColumn="0" w:noHBand="0" w:noVBand="1"/>
      </w:tblPr>
      <w:tblGrid>
        <w:gridCol w:w="3116"/>
        <w:gridCol w:w="3117"/>
        <w:gridCol w:w="3117"/>
      </w:tblGrid>
      <w:tr w:rsidR="00374649" w:rsidTr="005774D9">
        <w:tc>
          <w:tcPr>
            <w:tcW w:w="3116" w:type="dxa"/>
            <w:shd w:val="clear" w:color="auto" w:fill="365F91" w:themeFill="accent1" w:themeFillShade="BF"/>
          </w:tcPr>
          <w:p w:rsidR="00374649" w:rsidRPr="0019674E" w:rsidRDefault="00374649" w:rsidP="005774D9">
            <w:pPr>
              <w:spacing w:before="40" w:after="40"/>
              <w:jc w:val="center"/>
              <w:rPr>
                <w:b/>
                <w:bCs/>
                <w:color w:val="FFFFFF" w:themeColor="background1"/>
                <w:sz w:val="20"/>
                <w:szCs w:val="20"/>
              </w:rPr>
            </w:pPr>
            <w:r w:rsidRPr="0019674E">
              <w:rPr>
                <w:b/>
                <w:bCs/>
                <w:color w:val="FFFFFF" w:themeColor="background1"/>
                <w:sz w:val="20"/>
                <w:szCs w:val="20"/>
              </w:rPr>
              <w:t>PILLAR 1</w:t>
            </w:r>
          </w:p>
          <w:p w:rsidR="00374649" w:rsidRPr="0019674E" w:rsidRDefault="00374649" w:rsidP="005774D9">
            <w:pPr>
              <w:spacing w:before="40" w:after="40"/>
              <w:jc w:val="center"/>
              <w:rPr>
                <w:b/>
                <w:bCs/>
                <w:color w:val="FFFFFF" w:themeColor="background1"/>
                <w:sz w:val="20"/>
                <w:szCs w:val="20"/>
              </w:rPr>
            </w:pPr>
            <w:r w:rsidRPr="0019674E">
              <w:rPr>
                <w:b/>
                <w:bCs/>
                <w:color w:val="FFFFFF" w:themeColor="background1"/>
                <w:sz w:val="20"/>
                <w:szCs w:val="20"/>
              </w:rPr>
              <w:t>Covenant with Member States, Sector Members, Associates</w:t>
            </w:r>
            <w:r>
              <w:rPr>
                <w:b/>
                <w:bCs/>
                <w:color w:val="FFFFFF" w:themeColor="background1"/>
                <w:sz w:val="20"/>
                <w:szCs w:val="20"/>
              </w:rPr>
              <w:t>, Academia, and users of ITU’s S</w:t>
            </w:r>
            <w:r w:rsidRPr="0019674E">
              <w:rPr>
                <w:b/>
                <w:bCs/>
                <w:color w:val="FFFFFF" w:themeColor="background1"/>
                <w:sz w:val="20"/>
                <w:szCs w:val="20"/>
              </w:rPr>
              <w:t>ervices</w:t>
            </w:r>
          </w:p>
        </w:tc>
        <w:tc>
          <w:tcPr>
            <w:tcW w:w="3117" w:type="dxa"/>
            <w:shd w:val="clear" w:color="auto" w:fill="365F91" w:themeFill="accent1" w:themeFillShade="BF"/>
          </w:tcPr>
          <w:p w:rsidR="00374649" w:rsidRPr="0019674E" w:rsidRDefault="00374649" w:rsidP="005774D9">
            <w:pPr>
              <w:spacing w:before="40" w:after="40"/>
              <w:jc w:val="center"/>
              <w:rPr>
                <w:b/>
                <w:bCs/>
                <w:color w:val="FFFFFF" w:themeColor="background1"/>
                <w:sz w:val="20"/>
                <w:szCs w:val="20"/>
              </w:rPr>
            </w:pPr>
            <w:r w:rsidRPr="0019674E">
              <w:rPr>
                <w:b/>
                <w:bCs/>
                <w:color w:val="FFFFFF" w:themeColor="background1"/>
                <w:sz w:val="20"/>
                <w:szCs w:val="20"/>
              </w:rPr>
              <w:t>PILLAR 2</w:t>
            </w:r>
          </w:p>
          <w:p w:rsidR="00374649" w:rsidRPr="0019674E" w:rsidRDefault="00374649" w:rsidP="005774D9">
            <w:pPr>
              <w:spacing w:before="40" w:after="40"/>
              <w:jc w:val="center"/>
              <w:rPr>
                <w:b/>
                <w:bCs/>
                <w:color w:val="FFFFFF" w:themeColor="background1"/>
                <w:sz w:val="20"/>
                <w:szCs w:val="20"/>
              </w:rPr>
            </w:pPr>
            <w:r>
              <w:rPr>
                <w:b/>
                <w:bCs/>
                <w:color w:val="FFFFFF" w:themeColor="background1"/>
                <w:sz w:val="20"/>
                <w:szCs w:val="20"/>
              </w:rPr>
              <w:t>Internal Controls and Risk M</w:t>
            </w:r>
            <w:r w:rsidRPr="0019674E">
              <w:rPr>
                <w:b/>
                <w:bCs/>
                <w:color w:val="FFFFFF" w:themeColor="background1"/>
                <w:sz w:val="20"/>
                <w:szCs w:val="20"/>
              </w:rPr>
              <w:t>anagement</w:t>
            </w:r>
          </w:p>
        </w:tc>
        <w:tc>
          <w:tcPr>
            <w:tcW w:w="3117" w:type="dxa"/>
            <w:shd w:val="clear" w:color="auto" w:fill="365F91" w:themeFill="accent1" w:themeFillShade="BF"/>
          </w:tcPr>
          <w:p w:rsidR="00374649" w:rsidRPr="0019674E" w:rsidRDefault="00374649" w:rsidP="005774D9">
            <w:pPr>
              <w:spacing w:before="40" w:after="40"/>
              <w:jc w:val="center"/>
              <w:rPr>
                <w:b/>
                <w:bCs/>
                <w:color w:val="FFFFFF" w:themeColor="background1"/>
                <w:sz w:val="20"/>
                <w:szCs w:val="20"/>
              </w:rPr>
            </w:pPr>
            <w:r w:rsidRPr="0019674E">
              <w:rPr>
                <w:b/>
                <w:bCs/>
                <w:color w:val="FFFFFF" w:themeColor="background1"/>
                <w:sz w:val="20"/>
                <w:szCs w:val="20"/>
              </w:rPr>
              <w:t>PILLAR 3</w:t>
            </w:r>
          </w:p>
          <w:p w:rsidR="00374649" w:rsidRPr="0019674E" w:rsidRDefault="00374649" w:rsidP="005774D9">
            <w:pPr>
              <w:spacing w:before="40" w:after="40"/>
              <w:jc w:val="center"/>
              <w:rPr>
                <w:b/>
                <w:bCs/>
                <w:color w:val="FFFFFF" w:themeColor="background1"/>
                <w:sz w:val="20"/>
                <w:szCs w:val="20"/>
              </w:rPr>
            </w:pPr>
            <w:r>
              <w:rPr>
                <w:b/>
                <w:bCs/>
                <w:color w:val="FFFFFF" w:themeColor="background1"/>
                <w:sz w:val="20"/>
                <w:szCs w:val="20"/>
              </w:rPr>
              <w:t>Complaints and Response M</w:t>
            </w:r>
            <w:r w:rsidRPr="0019674E">
              <w:rPr>
                <w:b/>
                <w:bCs/>
                <w:color w:val="FFFFFF" w:themeColor="background1"/>
                <w:sz w:val="20"/>
                <w:szCs w:val="20"/>
              </w:rPr>
              <w:t>echanism</w:t>
            </w:r>
          </w:p>
        </w:tc>
      </w:tr>
      <w:tr w:rsidR="00374649" w:rsidTr="005774D9">
        <w:tc>
          <w:tcPr>
            <w:tcW w:w="3116" w:type="dxa"/>
            <w:shd w:val="clear" w:color="auto" w:fill="B8CCE4" w:themeFill="accent1" w:themeFillTint="66"/>
          </w:tcPr>
          <w:p w:rsidR="00374649" w:rsidRPr="0019674E" w:rsidRDefault="00374649" w:rsidP="00374649">
            <w:pPr>
              <w:pStyle w:val="ListParagraph"/>
              <w:numPr>
                <w:ilvl w:val="0"/>
                <w:numId w:val="2"/>
              </w:numPr>
              <w:snapToGrid w:val="0"/>
              <w:spacing w:before="40" w:after="0" w:line="240" w:lineRule="auto"/>
              <w:contextualSpacing w:val="0"/>
              <w:rPr>
                <w:sz w:val="20"/>
                <w:szCs w:val="20"/>
              </w:rPr>
            </w:pPr>
            <w:r>
              <w:rPr>
                <w:sz w:val="20"/>
                <w:szCs w:val="20"/>
              </w:rPr>
              <w:t>ITU’s Basic Instruments, relevant agreements and treaties</w:t>
            </w:r>
          </w:p>
          <w:p w:rsidR="00374649" w:rsidRPr="0019674E" w:rsidRDefault="00374649" w:rsidP="00374649">
            <w:pPr>
              <w:pStyle w:val="ListParagraph"/>
              <w:numPr>
                <w:ilvl w:val="0"/>
                <w:numId w:val="2"/>
              </w:numPr>
              <w:snapToGrid w:val="0"/>
              <w:spacing w:after="40" w:line="240" w:lineRule="auto"/>
              <w:contextualSpacing w:val="0"/>
              <w:rPr>
                <w:sz w:val="20"/>
                <w:szCs w:val="20"/>
              </w:rPr>
            </w:pPr>
            <w:r>
              <w:rPr>
                <w:sz w:val="20"/>
                <w:szCs w:val="20"/>
              </w:rPr>
              <w:t>ITU’s Results Framework</w:t>
            </w:r>
          </w:p>
        </w:tc>
        <w:tc>
          <w:tcPr>
            <w:tcW w:w="3117" w:type="dxa"/>
            <w:shd w:val="clear" w:color="auto" w:fill="B8CCE4" w:themeFill="accent1" w:themeFillTint="66"/>
          </w:tcPr>
          <w:p w:rsidR="00374649" w:rsidRPr="0019674E" w:rsidRDefault="00374649" w:rsidP="00374649">
            <w:pPr>
              <w:pStyle w:val="ListParagraph"/>
              <w:numPr>
                <w:ilvl w:val="0"/>
                <w:numId w:val="2"/>
              </w:numPr>
              <w:snapToGrid w:val="0"/>
              <w:spacing w:before="40" w:after="0" w:line="240" w:lineRule="auto"/>
              <w:contextualSpacing w:val="0"/>
              <w:rPr>
                <w:sz w:val="20"/>
                <w:szCs w:val="20"/>
              </w:rPr>
            </w:pPr>
            <w:r w:rsidRPr="0019674E">
              <w:rPr>
                <w:sz w:val="20"/>
                <w:szCs w:val="20"/>
              </w:rPr>
              <w:t>Control Environment</w:t>
            </w:r>
          </w:p>
          <w:p w:rsidR="00374649" w:rsidRPr="0019674E" w:rsidRDefault="00374649" w:rsidP="00374649">
            <w:pPr>
              <w:pStyle w:val="ListParagraph"/>
              <w:numPr>
                <w:ilvl w:val="0"/>
                <w:numId w:val="2"/>
              </w:numPr>
              <w:snapToGrid w:val="0"/>
              <w:spacing w:after="0" w:line="240" w:lineRule="auto"/>
              <w:contextualSpacing w:val="0"/>
              <w:rPr>
                <w:sz w:val="20"/>
                <w:szCs w:val="20"/>
              </w:rPr>
            </w:pPr>
            <w:r w:rsidRPr="0019674E">
              <w:rPr>
                <w:sz w:val="20"/>
                <w:szCs w:val="20"/>
              </w:rPr>
              <w:t>Control activities</w:t>
            </w:r>
          </w:p>
          <w:p w:rsidR="00374649" w:rsidRPr="0019674E" w:rsidRDefault="00374649" w:rsidP="00374649">
            <w:pPr>
              <w:pStyle w:val="ListParagraph"/>
              <w:numPr>
                <w:ilvl w:val="0"/>
                <w:numId w:val="2"/>
              </w:numPr>
              <w:snapToGrid w:val="0"/>
              <w:spacing w:after="0" w:line="240" w:lineRule="auto"/>
              <w:contextualSpacing w:val="0"/>
              <w:rPr>
                <w:sz w:val="20"/>
                <w:szCs w:val="20"/>
              </w:rPr>
            </w:pPr>
            <w:r w:rsidRPr="0019674E">
              <w:rPr>
                <w:sz w:val="20"/>
                <w:szCs w:val="20"/>
              </w:rPr>
              <w:t>Risk assessment</w:t>
            </w:r>
          </w:p>
          <w:p w:rsidR="00374649" w:rsidRPr="0019674E" w:rsidRDefault="00374649" w:rsidP="00374649">
            <w:pPr>
              <w:pStyle w:val="ListParagraph"/>
              <w:numPr>
                <w:ilvl w:val="0"/>
                <w:numId w:val="2"/>
              </w:numPr>
              <w:snapToGrid w:val="0"/>
              <w:spacing w:after="40" w:line="240" w:lineRule="auto"/>
              <w:contextualSpacing w:val="0"/>
              <w:rPr>
                <w:sz w:val="20"/>
                <w:szCs w:val="20"/>
              </w:rPr>
            </w:pPr>
            <w:r w:rsidRPr="0019674E">
              <w:rPr>
                <w:sz w:val="20"/>
                <w:szCs w:val="20"/>
              </w:rPr>
              <w:t xml:space="preserve">Monitoring </w:t>
            </w:r>
          </w:p>
        </w:tc>
        <w:tc>
          <w:tcPr>
            <w:tcW w:w="3117" w:type="dxa"/>
            <w:shd w:val="clear" w:color="auto" w:fill="B8CCE4" w:themeFill="accent1" w:themeFillTint="66"/>
          </w:tcPr>
          <w:p w:rsidR="00374649" w:rsidRPr="0019674E" w:rsidRDefault="00374649" w:rsidP="00374649">
            <w:pPr>
              <w:pStyle w:val="ListParagraph"/>
              <w:numPr>
                <w:ilvl w:val="0"/>
                <w:numId w:val="3"/>
              </w:numPr>
              <w:snapToGrid w:val="0"/>
              <w:spacing w:before="40" w:after="0" w:line="240" w:lineRule="auto"/>
              <w:ind w:left="317" w:hanging="284"/>
              <w:contextualSpacing w:val="0"/>
              <w:jc w:val="both"/>
              <w:rPr>
                <w:sz w:val="20"/>
                <w:szCs w:val="20"/>
              </w:rPr>
            </w:pPr>
            <w:r w:rsidRPr="0019674E">
              <w:rPr>
                <w:sz w:val="20"/>
                <w:szCs w:val="20"/>
              </w:rPr>
              <w:t>Procurement</w:t>
            </w:r>
          </w:p>
          <w:p w:rsidR="00374649" w:rsidRPr="0019674E" w:rsidRDefault="00374649" w:rsidP="00374649">
            <w:pPr>
              <w:pStyle w:val="ListParagraph"/>
              <w:numPr>
                <w:ilvl w:val="0"/>
                <w:numId w:val="3"/>
              </w:numPr>
              <w:snapToGrid w:val="0"/>
              <w:spacing w:after="0" w:line="240" w:lineRule="auto"/>
              <w:ind w:left="317" w:hanging="284"/>
              <w:contextualSpacing w:val="0"/>
              <w:jc w:val="both"/>
              <w:rPr>
                <w:sz w:val="20"/>
                <w:szCs w:val="20"/>
              </w:rPr>
            </w:pPr>
            <w:r w:rsidRPr="0019674E">
              <w:rPr>
                <w:sz w:val="20"/>
                <w:szCs w:val="20"/>
              </w:rPr>
              <w:t>ITU’s staff</w:t>
            </w:r>
          </w:p>
          <w:p w:rsidR="00374649" w:rsidRPr="0019674E" w:rsidRDefault="00374649" w:rsidP="00374649">
            <w:pPr>
              <w:pStyle w:val="ListParagraph"/>
              <w:numPr>
                <w:ilvl w:val="0"/>
                <w:numId w:val="3"/>
              </w:numPr>
              <w:snapToGrid w:val="0"/>
              <w:spacing w:after="40" w:line="240" w:lineRule="auto"/>
              <w:ind w:left="317" w:hanging="284"/>
              <w:contextualSpacing w:val="0"/>
              <w:jc w:val="both"/>
              <w:rPr>
                <w:sz w:val="20"/>
                <w:szCs w:val="20"/>
              </w:rPr>
            </w:pPr>
            <w:r w:rsidRPr="0019674E">
              <w:rPr>
                <w:sz w:val="20"/>
                <w:szCs w:val="20"/>
              </w:rPr>
              <w:t>Membership</w:t>
            </w:r>
            <w:r>
              <w:rPr>
                <w:sz w:val="20"/>
                <w:szCs w:val="20"/>
              </w:rPr>
              <w:t xml:space="preserve"> &amp; other users of ITU services</w:t>
            </w:r>
          </w:p>
        </w:tc>
      </w:tr>
    </w:tbl>
    <w:p w:rsidR="00374649" w:rsidRDefault="00374649" w:rsidP="00374649">
      <w:pPr>
        <w:tabs>
          <w:tab w:val="clear" w:pos="567"/>
          <w:tab w:val="clear" w:pos="1134"/>
          <w:tab w:val="clear" w:pos="1701"/>
          <w:tab w:val="clear" w:pos="2268"/>
          <w:tab w:val="clear" w:pos="2835"/>
        </w:tabs>
        <w:snapToGrid w:val="0"/>
        <w:spacing w:before="480" w:after="120"/>
        <w:jc w:val="both"/>
        <w:rPr>
          <w:szCs w:val="24"/>
        </w:rPr>
      </w:pPr>
      <w:r>
        <w:rPr>
          <w:szCs w:val="24"/>
        </w:rPr>
        <w:t>3</w:t>
      </w:r>
      <w:r w:rsidRPr="00692FED">
        <w:rPr>
          <w:szCs w:val="24"/>
        </w:rPr>
        <w:tab/>
        <w:t xml:space="preserve">ITU’s Accountability Framework will be reviewed periodically in order to strengthen </w:t>
      </w:r>
      <w:r>
        <w:rPr>
          <w:szCs w:val="24"/>
        </w:rPr>
        <w:t xml:space="preserve">the </w:t>
      </w:r>
      <w:r w:rsidRPr="00692FED">
        <w:rPr>
          <w:szCs w:val="24"/>
        </w:rPr>
        <w:t>organizational capacity and to ensure continued relevance. It will be updated to reflect new requirements or improvements arising from new initiatives or lessons learned. ITU will ensure that the Accountability Framework remains relevant to the mandate and objectives of the Union.</w:t>
      </w:r>
      <w:r>
        <w:rPr>
          <w:szCs w:val="24"/>
        </w:rPr>
        <w:t xml:space="preserve"> </w:t>
      </w:r>
      <w:r w:rsidRPr="008235ED">
        <w:rPr>
          <w:szCs w:val="24"/>
        </w:rPr>
        <w:t xml:space="preserve">ITU will </w:t>
      </w:r>
      <w:r>
        <w:rPr>
          <w:szCs w:val="24"/>
        </w:rPr>
        <w:t xml:space="preserve">also </w:t>
      </w:r>
      <w:r w:rsidRPr="008235ED">
        <w:rPr>
          <w:szCs w:val="24"/>
        </w:rPr>
        <w:t>continue to ensure that the Union’s Accountability Framework responds to evolving circumstances and takes into account the best practices in the UN system</w:t>
      </w:r>
      <w:r>
        <w:rPr>
          <w:szCs w:val="24"/>
        </w:rPr>
        <w:t>.</w:t>
      </w:r>
    </w:p>
    <w:p w:rsidR="00374649" w:rsidRPr="00692FED" w:rsidRDefault="00374649" w:rsidP="00374649">
      <w:pPr>
        <w:tabs>
          <w:tab w:val="clear" w:pos="567"/>
          <w:tab w:val="clear" w:pos="1134"/>
          <w:tab w:val="clear" w:pos="1701"/>
          <w:tab w:val="clear" w:pos="2268"/>
          <w:tab w:val="clear" w:pos="2835"/>
        </w:tabs>
        <w:snapToGrid w:val="0"/>
        <w:spacing w:after="120"/>
        <w:jc w:val="both"/>
        <w:rPr>
          <w:szCs w:val="24"/>
        </w:rPr>
      </w:pPr>
      <w:r>
        <w:rPr>
          <w:szCs w:val="24"/>
        </w:rPr>
        <w:t>4</w:t>
      </w:r>
      <w:r>
        <w:rPr>
          <w:szCs w:val="24"/>
        </w:rPr>
        <w:tab/>
        <w:t>The table reflected in the Annex provides an update of the p</w:t>
      </w:r>
      <w:r w:rsidRPr="00C2571A">
        <w:rPr>
          <w:szCs w:val="24"/>
        </w:rPr>
        <w:t xml:space="preserve">rogress </w:t>
      </w:r>
      <w:r>
        <w:rPr>
          <w:szCs w:val="24"/>
        </w:rPr>
        <w:t xml:space="preserve">achieved </w:t>
      </w:r>
      <w:r w:rsidRPr="00C2571A">
        <w:rPr>
          <w:szCs w:val="24"/>
        </w:rPr>
        <w:t>towards the implementation of the JIU benchmarks for the Accountability Framework</w:t>
      </w:r>
      <w:r>
        <w:rPr>
          <w:szCs w:val="24"/>
        </w:rPr>
        <w:t xml:space="preserve"> (AF) for the three main pillars described above.</w:t>
      </w:r>
    </w:p>
    <w:p w:rsidR="00374649" w:rsidRDefault="00374649" w:rsidP="00374649">
      <w:pPr>
        <w:jc w:val="both"/>
      </w:pPr>
    </w:p>
    <w:p w:rsidR="00374649" w:rsidRDefault="00374649" w:rsidP="00374649">
      <w:pPr>
        <w:jc w:val="both"/>
        <w:sectPr w:rsidR="00374649" w:rsidSect="00374649">
          <w:headerReference w:type="default" r:id="rId14"/>
          <w:footerReference w:type="first" r:id="rId15"/>
          <w:pgSz w:w="12240" w:h="15840"/>
          <w:pgMar w:top="1440" w:right="1440" w:bottom="1440" w:left="1440" w:header="708" w:footer="708" w:gutter="0"/>
          <w:cols w:space="708"/>
          <w:titlePg/>
          <w:docGrid w:linePitch="360"/>
        </w:sectPr>
      </w:pPr>
    </w:p>
    <w:p w:rsidR="00374649" w:rsidRPr="00374649" w:rsidRDefault="00374649" w:rsidP="00374649">
      <w:pPr>
        <w:spacing w:before="0"/>
        <w:jc w:val="center"/>
        <w:rPr>
          <w:rFonts w:asciiTheme="minorHAnsi" w:eastAsiaTheme="majorEastAsia" w:hAnsiTheme="minorHAnsi" w:cstheme="majorBidi"/>
          <w:sz w:val="26"/>
          <w:szCs w:val="26"/>
        </w:rPr>
      </w:pPr>
      <w:r w:rsidRPr="00374649">
        <w:rPr>
          <w:rFonts w:asciiTheme="minorHAnsi" w:eastAsiaTheme="majorEastAsia" w:hAnsiTheme="minorHAnsi" w:cstheme="majorBidi"/>
          <w:sz w:val="26"/>
          <w:szCs w:val="26"/>
        </w:rPr>
        <w:t>ANNEX</w:t>
      </w:r>
    </w:p>
    <w:p w:rsidR="00374649" w:rsidRPr="00374649" w:rsidRDefault="00374649" w:rsidP="00374649">
      <w:pPr>
        <w:snapToGrid w:val="0"/>
        <w:spacing w:before="80" w:after="80"/>
        <w:jc w:val="center"/>
        <w:rPr>
          <w:rFonts w:asciiTheme="minorHAnsi" w:eastAsiaTheme="majorEastAsia" w:hAnsiTheme="minorHAnsi" w:cstheme="majorBidi"/>
          <w:b/>
          <w:bCs/>
          <w:sz w:val="26"/>
          <w:szCs w:val="26"/>
        </w:rPr>
      </w:pPr>
      <w:r w:rsidRPr="00374649">
        <w:rPr>
          <w:rFonts w:asciiTheme="minorHAnsi" w:eastAsiaTheme="majorEastAsia" w:hAnsiTheme="minorHAnsi" w:cstheme="majorBidi"/>
          <w:b/>
          <w:bCs/>
          <w:sz w:val="26"/>
          <w:szCs w:val="26"/>
        </w:rPr>
        <w:t>Progress achieved towards the implementation of the JIU benchmarks for the Accountability Framework (AF)</w:t>
      </w:r>
    </w:p>
    <w:p w:rsidR="00374649" w:rsidRPr="00374649" w:rsidRDefault="00374649" w:rsidP="00374649">
      <w:pPr>
        <w:snapToGrid w:val="0"/>
        <w:spacing w:before="80" w:after="80"/>
        <w:rPr>
          <w:rFonts w:asciiTheme="minorHAnsi" w:hAnsiTheme="minorHAnsi"/>
          <w:b/>
          <w:bCs/>
        </w:rPr>
      </w:pPr>
      <w:r w:rsidRPr="00374649">
        <w:rPr>
          <w:rFonts w:asciiTheme="minorHAnsi" w:hAnsiTheme="minorHAnsi"/>
          <w:b/>
          <w:bCs/>
        </w:rPr>
        <w:t>Pillar 1</w:t>
      </w:r>
    </w:p>
    <w:tbl>
      <w:tblPr>
        <w:tblStyle w:val="TableGrid"/>
        <w:tblW w:w="14317" w:type="dxa"/>
        <w:tblInd w:w="-5" w:type="dxa"/>
        <w:tblLayout w:type="fixed"/>
        <w:tblLook w:val="04A0" w:firstRow="1" w:lastRow="0" w:firstColumn="1" w:lastColumn="0" w:noHBand="0" w:noVBand="1"/>
      </w:tblPr>
      <w:tblGrid>
        <w:gridCol w:w="2977"/>
        <w:gridCol w:w="3260"/>
        <w:gridCol w:w="1276"/>
        <w:gridCol w:w="6804"/>
      </w:tblGrid>
      <w:tr w:rsidR="00374649" w:rsidRPr="00374649" w:rsidTr="005774D9">
        <w:trPr>
          <w:tblHeader/>
        </w:trPr>
        <w:tc>
          <w:tcPr>
            <w:tcW w:w="2977" w:type="dxa"/>
            <w:shd w:val="clear" w:color="auto" w:fill="B8CCE4" w:themeFill="accent1" w:themeFillTint="66"/>
          </w:tcPr>
          <w:p w:rsidR="00374649" w:rsidRPr="00374649" w:rsidRDefault="00374649" w:rsidP="00374649">
            <w:pPr>
              <w:spacing w:before="40" w:after="40"/>
              <w:jc w:val="center"/>
              <w:rPr>
                <w:rFonts w:asciiTheme="minorHAnsi" w:hAnsiTheme="minorHAnsi"/>
                <w:b/>
                <w:bCs/>
              </w:rPr>
            </w:pPr>
            <w:r w:rsidRPr="00374649">
              <w:rPr>
                <w:rFonts w:asciiTheme="minorHAnsi" w:hAnsiTheme="minorHAnsi"/>
                <w:b/>
                <w:bCs/>
              </w:rPr>
              <w:t>Benchmark</w:t>
            </w:r>
          </w:p>
        </w:tc>
        <w:tc>
          <w:tcPr>
            <w:tcW w:w="3260" w:type="dxa"/>
            <w:shd w:val="clear" w:color="auto" w:fill="B8CCE4" w:themeFill="accent1" w:themeFillTint="66"/>
          </w:tcPr>
          <w:p w:rsidR="00374649" w:rsidRPr="00374649" w:rsidRDefault="00374649" w:rsidP="00374649">
            <w:pPr>
              <w:spacing w:before="40" w:after="40"/>
              <w:jc w:val="center"/>
              <w:rPr>
                <w:rFonts w:asciiTheme="minorHAnsi" w:hAnsiTheme="minorHAnsi"/>
                <w:b/>
                <w:bCs/>
              </w:rPr>
            </w:pPr>
            <w:r w:rsidRPr="00374649">
              <w:rPr>
                <w:rFonts w:asciiTheme="minorHAnsi" w:hAnsiTheme="minorHAnsi"/>
                <w:b/>
                <w:bCs/>
              </w:rPr>
              <w:t>Tools</w:t>
            </w:r>
          </w:p>
        </w:tc>
        <w:tc>
          <w:tcPr>
            <w:tcW w:w="1276" w:type="dxa"/>
            <w:shd w:val="clear" w:color="auto" w:fill="B8CCE4" w:themeFill="accent1" w:themeFillTint="66"/>
          </w:tcPr>
          <w:p w:rsidR="00374649" w:rsidRPr="00374649" w:rsidRDefault="00374649" w:rsidP="00374649">
            <w:pPr>
              <w:spacing w:before="40" w:after="40"/>
              <w:jc w:val="center"/>
              <w:rPr>
                <w:rFonts w:asciiTheme="minorHAnsi" w:hAnsiTheme="minorHAnsi"/>
                <w:b/>
                <w:bCs/>
              </w:rPr>
            </w:pPr>
            <w:r w:rsidRPr="00374649">
              <w:rPr>
                <w:rFonts w:asciiTheme="minorHAnsi" w:hAnsiTheme="minorHAnsi"/>
                <w:b/>
                <w:bCs/>
              </w:rPr>
              <w:t>Status</w:t>
            </w:r>
          </w:p>
        </w:tc>
        <w:tc>
          <w:tcPr>
            <w:tcW w:w="6804" w:type="dxa"/>
            <w:shd w:val="clear" w:color="auto" w:fill="B8CCE4" w:themeFill="accent1" w:themeFillTint="66"/>
          </w:tcPr>
          <w:p w:rsidR="00374649" w:rsidRPr="00374649" w:rsidRDefault="00374649" w:rsidP="00374649">
            <w:pPr>
              <w:spacing w:before="40" w:after="40"/>
              <w:jc w:val="center"/>
              <w:rPr>
                <w:rFonts w:asciiTheme="minorHAnsi" w:hAnsiTheme="minorHAnsi"/>
                <w:b/>
                <w:bCs/>
              </w:rPr>
            </w:pPr>
            <w:r w:rsidRPr="00374649">
              <w:rPr>
                <w:rFonts w:asciiTheme="minorHAnsi" w:hAnsiTheme="minorHAnsi"/>
                <w:b/>
                <w:bCs/>
              </w:rPr>
              <w:t>Comment</w:t>
            </w:r>
          </w:p>
        </w:tc>
      </w:tr>
      <w:tr w:rsidR="00374649" w:rsidRPr="00374649" w:rsidTr="005774D9">
        <w:trPr>
          <w:trHeight w:val="255"/>
        </w:trPr>
        <w:tc>
          <w:tcPr>
            <w:tcW w:w="2977" w:type="dxa"/>
            <w:vMerge w:val="restart"/>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1. A clear framework for accountability is in place, including a definition thereof and clarity of responsibility for the overall implementation of the framework, linking all components together.</w:t>
            </w:r>
          </w:p>
        </w:tc>
        <w:tc>
          <w:tcPr>
            <w:tcW w:w="3260" w:type="dxa"/>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Framework policy document</w:t>
            </w:r>
          </w:p>
        </w:tc>
        <w:tc>
          <w:tcPr>
            <w:tcW w:w="1276" w:type="dxa"/>
            <w:vAlign w:val="center"/>
          </w:tcPr>
          <w:p w:rsidR="00374649" w:rsidRPr="00374649" w:rsidRDefault="00374649" w:rsidP="00374649">
            <w:pPr>
              <w:spacing w:before="40" w:after="40"/>
              <w:jc w:val="center"/>
              <w:rPr>
                <w:rFonts w:asciiTheme="minorHAnsi" w:hAnsiTheme="minorHAnsi"/>
                <w:sz w:val="18"/>
                <w:szCs w:val="18"/>
              </w:rPr>
            </w:pPr>
            <w:r w:rsidRPr="00374649">
              <w:rPr>
                <w:rFonts w:asciiTheme="minorHAnsi" w:hAnsiTheme="minorHAnsi"/>
                <w:sz w:val="18"/>
                <w:szCs w:val="18"/>
              </w:rPr>
              <w:sym w:font="Wingdings" w:char="F0FC"/>
            </w:r>
          </w:p>
        </w:tc>
        <w:tc>
          <w:tcPr>
            <w:tcW w:w="6804" w:type="dxa"/>
            <w:vMerge w:val="restart"/>
            <w:vAlign w:val="center"/>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By this proposal, ITU is putting in place such a framework.</w:t>
            </w:r>
          </w:p>
        </w:tc>
      </w:tr>
      <w:tr w:rsidR="00374649" w:rsidRPr="00374649" w:rsidTr="005774D9">
        <w:trPr>
          <w:trHeight w:val="256"/>
        </w:trPr>
        <w:tc>
          <w:tcPr>
            <w:tcW w:w="2977" w:type="dxa"/>
            <w:vMerge/>
          </w:tcPr>
          <w:p w:rsidR="00374649" w:rsidRPr="00374649" w:rsidRDefault="00374649" w:rsidP="00374649">
            <w:pPr>
              <w:spacing w:before="40" w:after="40"/>
              <w:rPr>
                <w:rFonts w:asciiTheme="minorHAnsi" w:hAnsiTheme="minorHAnsi"/>
                <w:sz w:val="18"/>
                <w:szCs w:val="18"/>
              </w:rPr>
            </w:pPr>
          </w:p>
        </w:tc>
        <w:tc>
          <w:tcPr>
            <w:tcW w:w="3260" w:type="dxa"/>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Definition of accountability</w:t>
            </w:r>
          </w:p>
        </w:tc>
        <w:tc>
          <w:tcPr>
            <w:tcW w:w="1276" w:type="dxa"/>
            <w:vAlign w:val="center"/>
          </w:tcPr>
          <w:p w:rsidR="00374649" w:rsidRPr="00374649" w:rsidRDefault="00374649" w:rsidP="00374649">
            <w:pPr>
              <w:spacing w:before="40" w:after="40"/>
              <w:jc w:val="center"/>
              <w:rPr>
                <w:rFonts w:asciiTheme="minorHAnsi" w:hAnsiTheme="minorHAnsi"/>
                <w:sz w:val="18"/>
                <w:szCs w:val="18"/>
              </w:rPr>
            </w:pPr>
            <w:r w:rsidRPr="00374649">
              <w:rPr>
                <w:rFonts w:asciiTheme="minorHAnsi" w:hAnsiTheme="minorHAnsi"/>
                <w:sz w:val="18"/>
                <w:szCs w:val="18"/>
              </w:rPr>
              <w:sym w:font="Wingdings" w:char="F0FC"/>
            </w:r>
          </w:p>
        </w:tc>
        <w:tc>
          <w:tcPr>
            <w:tcW w:w="6804" w:type="dxa"/>
            <w:vMerge/>
          </w:tcPr>
          <w:p w:rsidR="00374649" w:rsidRPr="00374649" w:rsidRDefault="00374649" w:rsidP="00374649">
            <w:pPr>
              <w:spacing w:before="40" w:after="40"/>
              <w:rPr>
                <w:rFonts w:asciiTheme="minorHAnsi" w:hAnsiTheme="minorHAnsi"/>
                <w:sz w:val="18"/>
                <w:szCs w:val="18"/>
              </w:rPr>
            </w:pPr>
          </w:p>
        </w:tc>
      </w:tr>
      <w:tr w:rsidR="00374649" w:rsidRPr="00374649" w:rsidTr="005774D9">
        <w:trPr>
          <w:trHeight w:val="255"/>
        </w:trPr>
        <w:tc>
          <w:tcPr>
            <w:tcW w:w="2977" w:type="dxa"/>
            <w:vMerge/>
          </w:tcPr>
          <w:p w:rsidR="00374649" w:rsidRPr="00374649" w:rsidRDefault="00374649" w:rsidP="00374649">
            <w:pPr>
              <w:spacing w:before="40" w:after="40"/>
              <w:rPr>
                <w:rFonts w:asciiTheme="minorHAnsi" w:hAnsiTheme="minorHAnsi"/>
                <w:sz w:val="18"/>
                <w:szCs w:val="18"/>
              </w:rPr>
            </w:pPr>
          </w:p>
        </w:tc>
        <w:tc>
          <w:tcPr>
            <w:tcW w:w="3260" w:type="dxa"/>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Roles and responsibilities of senior management, line department and staff</w:t>
            </w:r>
          </w:p>
        </w:tc>
        <w:tc>
          <w:tcPr>
            <w:tcW w:w="1276" w:type="dxa"/>
            <w:vAlign w:val="center"/>
          </w:tcPr>
          <w:p w:rsidR="00374649" w:rsidRPr="00374649" w:rsidRDefault="00374649" w:rsidP="00374649">
            <w:pPr>
              <w:spacing w:before="40" w:after="40"/>
              <w:jc w:val="center"/>
              <w:rPr>
                <w:rFonts w:asciiTheme="minorHAnsi" w:hAnsiTheme="minorHAnsi"/>
                <w:sz w:val="18"/>
                <w:szCs w:val="18"/>
              </w:rPr>
            </w:pPr>
            <w:r w:rsidRPr="00374649">
              <w:rPr>
                <w:rFonts w:asciiTheme="minorHAnsi" w:hAnsiTheme="minorHAnsi"/>
                <w:sz w:val="18"/>
                <w:szCs w:val="18"/>
              </w:rPr>
              <w:sym w:font="Wingdings" w:char="F0FC"/>
            </w:r>
          </w:p>
        </w:tc>
        <w:tc>
          <w:tcPr>
            <w:tcW w:w="6804" w:type="dxa"/>
            <w:vMerge/>
          </w:tcPr>
          <w:p w:rsidR="00374649" w:rsidRPr="00374649" w:rsidRDefault="00374649" w:rsidP="00374649">
            <w:pPr>
              <w:spacing w:before="40" w:after="40"/>
              <w:rPr>
                <w:rFonts w:asciiTheme="minorHAnsi" w:hAnsiTheme="minorHAnsi"/>
                <w:sz w:val="18"/>
                <w:szCs w:val="18"/>
              </w:rPr>
            </w:pPr>
          </w:p>
        </w:tc>
      </w:tr>
      <w:tr w:rsidR="00374649" w:rsidRPr="00374649" w:rsidTr="005774D9">
        <w:trPr>
          <w:trHeight w:val="256"/>
        </w:trPr>
        <w:tc>
          <w:tcPr>
            <w:tcW w:w="2977" w:type="dxa"/>
            <w:vMerge/>
          </w:tcPr>
          <w:p w:rsidR="00374649" w:rsidRPr="00374649" w:rsidRDefault="00374649" w:rsidP="00374649">
            <w:pPr>
              <w:spacing w:before="40" w:after="40"/>
              <w:rPr>
                <w:rFonts w:asciiTheme="minorHAnsi" w:hAnsiTheme="minorHAnsi"/>
                <w:sz w:val="18"/>
                <w:szCs w:val="18"/>
              </w:rPr>
            </w:pPr>
          </w:p>
        </w:tc>
        <w:tc>
          <w:tcPr>
            <w:tcW w:w="3260" w:type="dxa"/>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Policy document available on the website and for staff</w:t>
            </w:r>
          </w:p>
        </w:tc>
        <w:tc>
          <w:tcPr>
            <w:tcW w:w="1276" w:type="dxa"/>
            <w:vAlign w:val="center"/>
          </w:tcPr>
          <w:p w:rsidR="00374649" w:rsidRPr="00374649" w:rsidRDefault="00374649" w:rsidP="00374649">
            <w:pPr>
              <w:spacing w:before="40" w:after="40"/>
              <w:jc w:val="center"/>
              <w:rPr>
                <w:rFonts w:asciiTheme="minorHAnsi" w:hAnsiTheme="minorHAnsi"/>
                <w:sz w:val="18"/>
                <w:szCs w:val="18"/>
              </w:rPr>
            </w:pPr>
            <w:r w:rsidRPr="00374649">
              <w:rPr>
                <w:rFonts w:asciiTheme="minorHAnsi" w:hAnsiTheme="minorHAnsi"/>
                <w:sz w:val="18"/>
                <w:szCs w:val="18"/>
              </w:rPr>
              <w:t>In progress</w:t>
            </w:r>
          </w:p>
        </w:tc>
        <w:tc>
          <w:tcPr>
            <w:tcW w:w="6804" w:type="dxa"/>
            <w:vMerge/>
          </w:tcPr>
          <w:p w:rsidR="00374649" w:rsidRPr="00374649" w:rsidRDefault="00374649" w:rsidP="00374649">
            <w:pPr>
              <w:spacing w:before="40" w:after="40"/>
              <w:rPr>
                <w:rFonts w:asciiTheme="minorHAnsi" w:hAnsiTheme="minorHAnsi"/>
                <w:sz w:val="18"/>
                <w:szCs w:val="18"/>
              </w:rPr>
            </w:pPr>
          </w:p>
        </w:tc>
      </w:tr>
      <w:tr w:rsidR="00374649" w:rsidRPr="00374649" w:rsidTr="005774D9">
        <w:trPr>
          <w:trHeight w:val="256"/>
        </w:trPr>
        <w:tc>
          <w:tcPr>
            <w:tcW w:w="2977" w:type="dxa"/>
            <w:vMerge/>
          </w:tcPr>
          <w:p w:rsidR="00374649" w:rsidRPr="00374649" w:rsidRDefault="00374649" w:rsidP="00374649">
            <w:pPr>
              <w:spacing w:before="40" w:after="40"/>
              <w:rPr>
                <w:rFonts w:asciiTheme="minorHAnsi" w:hAnsiTheme="minorHAnsi"/>
                <w:sz w:val="18"/>
                <w:szCs w:val="18"/>
              </w:rPr>
            </w:pPr>
          </w:p>
        </w:tc>
        <w:tc>
          <w:tcPr>
            <w:tcW w:w="3260" w:type="dxa"/>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Framework contains key components of accountability</w:t>
            </w:r>
          </w:p>
        </w:tc>
        <w:tc>
          <w:tcPr>
            <w:tcW w:w="1276" w:type="dxa"/>
            <w:vAlign w:val="center"/>
          </w:tcPr>
          <w:p w:rsidR="00374649" w:rsidRPr="00374649" w:rsidRDefault="00374649" w:rsidP="00374649">
            <w:pPr>
              <w:spacing w:before="40" w:after="40"/>
              <w:jc w:val="center"/>
              <w:rPr>
                <w:rFonts w:asciiTheme="minorHAnsi" w:hAnsiTheme="minorHAnsi"/>
                <w:sz w:val="18"/>
                <w:szCs w:val="18"/>
              </w:rPr>
            </w:pPr>
            <w:r w:rsidRPr="00374649">
              <w:rPr>
                <w:rFonts w:asciiTheme="minorHAnsi" w:hAnsiTheme="minorHAnsi"/>
                <w:sz w:val="18"/>
                <w:szCs w:val="18"/>
              </w:rPr>
              <w:sym w:font="Wingdings" w:char="F0FC"/>
            </w:r>
          </w:p>
        </w:tc>
        <w:tc>
          <w:tcPr>
            <w:tcW w:w="6804" w:type="dxa"/>
            <w:vMerge/>
          </w:tcPr>
          <w:p w:rsidR="00374649" w:rsidRPr="00374649" w:rsidRDefault="00374649" w:rsidP="00374649">
            <w:pPr>
              <w:spacing w:before="40" w:after="40"/>
              <w:rPr>
                <w:rFonts w:asciiTheme="minorHAnsi" w:hAnsiTheme="minorHAnsi"/>
                <w:sz w:val="18"/>
                <w:szCs w:val="18"/>
              </w:rPr>
            </w:pPr>
          </w:p>
        </w:tc>
      </w:tr>
      <w:tr w:rsidR="00374649" w:rsidRPr="00374649" w:rsidTr="005774D9">
        <w:trPr>
          <w:trHeight w:val="479"/>
        </w:trPr>
        <w:tc>
          <w:tcPr>
            <w:tcW w:w="2977" w:type="dxa"/>
            <w:vMerge w:val="restart"/>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2. RBM is operational and coherent with organizational mandates and objectives, and cascades down into unit and personal work plans.</w:t>
            </w:r>
          </w:p>
        </w:tc>
        <w:tc>
          <w:tcPr>
            <w:tcW w:w="3260" w:type="dxa"/>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Strategic plans</w:t>
            </w:r>
          </w:p>
        </w:tc>
        <w:tc>
          <w:tcPr>
            <w:tcW w:w="1276" w:type="dxa"/>
            <w:vAlign w:val="center"/>
          </w:tcPr>
          <w:p w:rsidR="00374649" w:rsidRPr="00374649" w:rsidRDefault="00374649" w:rsidP="00374649">
            <w:pPr>
              <w:spacing w:before="40" w:after="40"/>
              <w:jc w:val="center"/>
              <w:rPr>
                <w:rFonts w:asciiTheme="minorHAnsi" w:hAnsiTheme="minorHAnsi"/>
                <w:sz w:val="18"/>
                <w:szCs w:val="18"/>
              </w:rPr>
            </w:pPr>
            <w:r w:rsidRPr="00374649">
              <w:rPr>
                <w:rFonts w:asciiTheme="minorHAnsi" w:hAnsiTheme="minorHAnsi"/>
                <w:sz w:val="18"/>
                <w:szCs w:val="18"/>
              </w:rPr>
              <w:sym w:font="Wingdings" w:char="F0FC"/>
            </w:r>
          </w:p>
        </w:tc>
        <w:tc>
          <w:tcPr>
            <w:tcW w:w="6804" w:type="dxa"/>
            <w:vMerge w:val="restart"/>
            <w:vAlign w:val="center"/>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RBM is operational and coherent with the organizational mandates and objectives (strategic goals and targets, Sector and Inter-Sectoral Objectives/Outcomes, Outputs and Enablers/Support Services).</w:t>
            </w:r>
          </w:p>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Unit and Personal work plans are being elaborated based on the results-framework of the organization. A new performance evaluation and development management system will be launched in January 2018. Personal work objectives will be aligned with the strategic objectives of the Union.</w:t>
            </w:r>
          </w:p>
        </w:tc>
      </w:tr>
      <w:tr w:rsidR="00374649" w:rsidRPr="00374649" w:rsidTr="005774D9">
        <w:trPr>
          <w:trHeight w:val="454"/>
        </w:trPr>
        <w:tc>
          <w:tcPr>
            <w:tcW w:w="2977" w:type="dxa"/>
            <w:vMerge/>
          </w:tcPr>
          <w:p w:rsidR="00374649" w:rsidRPr="00374649" w:rsidRDefault="00374649" w:rsidP="00374649">
            <w:pPr>
              <w:spacing w:before="40" w:after="40"/>
              <w:rPr>
                <w:rFonts w:asciiTheme="minorHAnsi" w:hAnsiTheme="minorHAnsi"/>
                <w:sz w:val="18"/>
                <w:szCs w:val="18"/>
              </w:rPr>
            </w:pPr>
          </w:p>
        </w:tc>
        <w:tc>
          <w:tcPr>
            <w:tcW w:w="3260" w:type="dxa"/>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Unit work plans</w:t>
            </w:r>
          </w:p>
        </w:tc>
        <w:tc>
          <w:tcPr>
            <w:tcW w:w="1276" w:type="dxa"/>
            <w:vAlign w:val="center"/>
          </w:tcPr>
          <w:p w:rsidR="00374649" w:rsidRPr="00374649" w:rsidRDefault="00374649" w:rsidP="00374649">
            <w:pPr>
              <w:spacing w:before="40" w:after="40"/>
              <w:jc w:val="center"/>
              <w:rPr>
                <w:rFonts w:asciiTheme="minorHAnsi" w:hAnsiTheme="minorHAnsi"/>
                <w:sz w:val="18"/>
                <w:szCs w:val="18"/>
              </w:rPr>
            </w:pPr>
            <w:r w:rsidRPr="00374649">
              <w:rPr>
                <w:rFonts w:asciiTheme="minorHAnsi" w:hAnsiTheme="minorHAnsi"/>
                <w:sz w:val="18"/>
                <w:szCs w:val="18"/>
              </w:rPr>
              <w:t>In progress</w:t>
            </w:r>
          </w:p>
        </w:tc>
        <w:tc>
          <w:tcPr>
            <w:tcW w:w="6804" w:type="dxa"/>
            <w:vMerge/>
            <w:vAlign w:val="center"/>
          </w:tcPr>
          <w:p w:rsidR="00374649" w:rsidRPr="00374649" w:rsidRDefault="00374649" w:rsidP="00374649">
            <w:pPr>
              <w:spacing w:before="40" w:after="40"/>
              <w:rPr>
                <w:rFonts w:asciiTheme="minorHAnsi" w:hAnsiTheme="minorHAnsi"/>
                <w:sz w:val="18"/>
                <w:szCs w:val="18"/>
              </w:rPr>
            </w:pPr>
          </w:p>
        </w:tc>
      </w:tr>
      <w:tr w:rsidR="00374649" w:rsidRPr="00374649" w:rsidTr="005774D9">
        <w:trPr>
          <w:trHeight w:val="287"/>
        </w:trPr>
        <w:tc>
          <w:tcPr>
            <w:tcW w:w="2977" w:type="dxa"/>
            <w:vMerge/>
          </w:tcPr>
          <w:p w:rsidR="00374649" w:rsidRPr="00374649" w:rsidRDefault="00374649" w:rsidP="00374649">
            <w:pPr>
              <w:spacing w:before="40" w:after="40"/>
              <w:rPr>
                <w:rFonts w:asciiTheme="minorHAnsi" w:hAnsiTheme="minorHAnsi"/>
                <w:sz w:val="18"/>
                <w:szCs w:val="18"/>
              </w:rPr>
            </w:pPr>
          </w:p>
        </w:tc>
        <w:tc>
          <w:tcPr>
            <w:tcW w:w="3260" w:type="dxa"/>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Personal work objectives</w:t>
            </w:r>
          </w:p>
        </w:tc>
        <w:tc>
          <w:tcPr>
            <w:tcW w:w="1276" w:type="dxa"/>
            <w:vAlign w:val="center"/>
          </w:tcPr>
          <w:p w:rsidR="00374649" w:rsidRPr="00374649" w:rsidRDefault="00374649" w:rsidP="00374649">
            <w:pPr>
              <w:spacing w:before="40" w:after="40"/>
              <w:jc w:val="center"/>
              <w:rPr>
                <w:rFonts w:asciiTheme="minorHAnsi" w:hAnsiTheme="minorHAnsi"/>
                <w:sz w:val="18"/>
                <w:szCs w:val="18"/>
              </w:rPr>
            </w:pPr>
            <w:r w:rsidRPr="00374649">
              <w:rPr>
                <w:rFonts w:asciiTheme="minorHAnsi" w:hAnsiTheme="minorHAnsi"/>
                <w:sz w:val="18"/>
                <w:szCs w:val="18"/>
              </w:rPr>
              <w:sym w:font="Wingdings" w:char="F0FC"/>
            </w:r>
          </w:p>
        </w:tc>
        <w:tc>
          <w:tcPr>
            <w:tcW w:w="6804" w:type="dxa"/>
            <w:vMerge/>
            <w:vAlign w:val="center"/>
          </w:tcPr>
          <w:p w:rsidR="00374649" w:rsidRPr="00374649" w:rsidRDefault="00374649" w:rsidP="00374649">
            <w:pPr>
              <w:spacing w:before="40" w:after="40"/>
              <w:rPr>
                <w:rFonts w:asciiTheme="minorHAnsi" w:hAnsiTheme="minorHAnsi"/>
                <w:sz w:val="18"/>
                <w:szCs w:val="18"/>
              </w:rPr>
            </w:pPr>
          </w:p>
        </w:tc>
      </w:tr>
      <w:tr w:rsidR="00374649" w:rsidRPr="00374649" w:rsidTr="005774D9">
        <w:tc>
          <w:tcPr>
            <w:tcW w:w="2977" w:type="dxa"/>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3. Organizations conduct credible, utilization-focused evaluations and communicate the findings, conclusions and recommendations to stakeholders.</w:t>
            </w:r>
          </w:p>
        </w:tc>
        <w:tc>
          <w:tcPr>
            <w:tcW w:w="3260" w:type="dxa"/>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Evaluation function</w:t>
            </w:r>
          </w:p>
        </w:tc>
        <w:tc>
          <w:tcPr>
            <w:tcW w:w="1276" w:type="dxa"/>
            <w:vAlign w:val="center"/>
          </w:tcPr>
          <w:p w:rsidR="00374649" w:rsidRPr="00374649" w:rsidRDefault="00374649" w:rsidP="00374649">
            <w:pPr>
              <w:spacing w:before="40" w:after="40"/>
              <w:jc w:val="center"/>
              <w:rPr>
                <w:rFonts w:asciiTheme="minorHAnsi" w:hAnsiTheme="minorHAnsi"/>
                <w:sz w:val="18"/>
                <w:szCs w:val="18"/>
              </w:rPr>
            </w:pPr>
            <w:r w:rsidRPr="00374649">
              <w:rPr>
                <w:rFonts w:asciiTheme="minorHAnsi" w:hAnsiTheme="minorHAnsi"/>
                <w:sz w:val="18"/>
                <w:szCs w:val="18"/>
              </w:rPr>
              <w:t>In progress</w:t>
            </w:r>
          </w:p>
        </w:tc>
        <w:tc>
          <w:tcPr>
            <w:tcW w:w="6804" w:type="dxa"/>
            <w:vAlign w:val="center"/>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An ITU Evaluation feasibility study is being conducted to produce: a) Brief report detailing performance identified and recommended for inclusion in evaluation process, b) Brief report detailing the evaluation needs at ITU, based on a recommended evaluation scope and objectives, and c) Evaluation policy, guidelines, work plan and further steps document. The Internal Audit Unit’s plan for 2018 contains an evaluation pilot project to be conducted in Q1 and Q2 on the topic of “Smart Cities”, as agreed with the Director, TSB.</w:t>
            </w:r>
          </w:p>
        </w:tc>
      </w:tr>
      <w:tr w:rsidR="00374649" w:rsidRPr="00374649" w:rsidTr="005774D9">
        <w:trPr>
          <w:trHeight w:val="576"/>
        </w:trPr>
        <w:tc>
          <w:tcPr>
            <w:tcW w:w="2977" w:type="dxa"/>
            <w:vMerge w:val="restart"/>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4. Organizations have an effectively implemented established information disclosure policy whereby the results of the organization’s activities are communicated regularly to legislative organs, Member States and other stakeholders, including donors, beneficiaries and the general public.</w:t>
            </w:r>
          </w:p>
        </w:tc>
        <w:tc>
          <w:tcPr>
            <w:tcW w:w="3260" w:type="dxa"/>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Information disclosure policy</w:t>
            </w:r>
          </w:p>
        </w:tc>
        <w:tc>
          <w:tcPr>
            <w:tcW w:w="1276" w:type="dxa"/>
            <w:vAlign w:val="center"/>
          </w:tcPr>
          <w:p w:rsidR="00374649" w:rsidRPr="00374649" w:rsidRDefault="00374649" w:rsidP="00374649">
            <w:pPr>
              <w:spacing w:before="40" w:after="40"/>
              <w:jc w:val="center"/>
              <w:rPr>
                <w:rFonts w:asciiTheme="minorHAnsi" w:hAnsiTheme="minorHAnsi"/>
                <w:sz w:val="18"/>
                <w:szCs w:val="18"/>
              </w:rPr>
            </w:pPr>
            <w:r w:rsidRPr="00374649">
              <w:rPr>
                <w:rFonts w:asciiTheme="minorHAnsi" w:hAnsiTheme="minorHAnsi"/>
                <w:sz w:val="18"/>
                <w:szCs w:val="18"/>
              </w:rPr>
              <w:sym w:font="Wingdings" w:char="F0FC"/>
            </w:r>
          </w:p>
        </w:tc>
        <w:tc>
          <w:tcPr>
            <w:tcW w:w="6804" w:type="dxa"/>
            <w:vMerge w:val="restart"/>
            <w:vAlign w:val="center"/>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 xml:space="preserve">As a step forward towards more transparency and accountability, ITU Council adopted at its 2016 session the </w:t>
            </w:r>
            <w:r w:rsidRPr="00374649">
              <w:rPr>
                <w:rFonts w:asciiTheme="minorHAnsi" w:eastAsia="Times New Roman" w:hAnsiTheme="minorHAnsi"/>
                <w:sz w:val="18"/>
                <w:szCs w:val="18"/>
              </w:rPr>
              <w:t>ITU’s information/document access policy which “… ensures access by the public to information held, managed or generated by ITU”; this policy entered into force on 1 January 2017 on a provisional basis.</w:t>
            </w:r>
          </w:p>
        </w:tc>
      </w:tr>
      <w:tr w:rsidR="00374649" w:rsidRPr="00374649" w:rsidTr="005774D9">
        <w:tc>
          <w:tcPr>
            <w:tcW w:w="2977" w:type="dxa"/>
            <w:vMerge/>
          </w:tcPr>
          <w:p w:rsidR="00374649" w:rsidRPr="00374649" w:rsidRDefault="00374649" w:rsidP="00374649">
            <w:pPr>
              <w:spacing w:before="40" w:after="40"/>
              <w:rPr>
                <w:rFonts w:asciiTheme="minorHAnsi" w:hAnsiTheme="minorHAnsi"/>
                <w:sz w:val="18"/>
                <w:szCs w:val="18"/>
              </w:rPr>
            </w:pPr>
          </w:p>
        </w:tc>
        <w:tc>
          <w:tcPr>
            <w:tcW w:w="3260" w:type="dxa"/>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Evaluation and audit results</w:t>
            </w:r>
          </w:p>
        </w:tc>
        <w:tc>
          <w:tcPr>
            <w:tcW w:w="1276" w:type="dxa"/>
            <w:vAlign w:val="center"/>
          </w:tcPr>
          <w:p w:rsidR="00374649" w:rsidRPr="00374649" w:rsidRDefault="00374649" w:rsidP="00374649">
            <w:pPr>
              <w:spacing w:before="40" w:after="40"/>
              <w:jc w:val="center"/>
              <w:rPr>
                <w:rFonts w:asciiTheme="minorHAnsi" w:hAnsiTheme="minorHAnsi"/>
                <w:sz w:val="18"/>
                <w:szCs w:val="18"/>
              </w:rPr>
            </w:pPr>
            <w:r w:rsidRPr="00374649">
              <w:rPr>
                <w:rFonts w:asciiTheme="minorHAnsi" w:hAnsiTheme="minorHAnsi"/>
                <w:sz w:val="18"/>
                <w:szCs w:val="18"/>
              </w:rPr>
              <w:sym w:font="Wingdings" w:char="F0FC"/>
            </w:r>
          </w:p>
        </w:tc>
        <w:tc>
          <w:tcPr>
            <w:tcW w:w="6804" w:type="dxa"/>
            <w:vMerge/>
            <w:vAlign w:val="center"/>
          </w:tcPr>
          <w:p w:rsidR="00374649" w:rsidRPr="00374649" w:rsidRDefault="00374649" w:rsidP="00374649">
            <w:pPr>
              <w:spacing w:before="40" w:after="40"/>
              <w:rPr>
                <w:rFonts w:asciiTheme="minorHAnsi" w:hAnsiTheme="minorHAnsi"/>
                <w:sz w:val="18"/>
                <w:szCs w:val="18"/>
              </w:rPr>
            </w:pPr>
          </w:p>
        </w:tc>
      </w:tr>
      <w:tr w:rsidR="00374649" w:rsidRPr="00374649" w:rsidTr="005774D9">
        <w:tc>
          <w:tcPr>
            <w:tcW w:w="2977" w:type="dxa"/>
            <w:vMerge/>
          </w:tcPr>
          <w:p w:rsidR="00374649" w:rsidRPr="00374649" w:rsidRDefault="00374649" w:rsidP="00374649">
            <w:pPr>
              <w:spacing w:before="40" w:after="40"/>
              <w:rPr>
                <w:rFonts w:asciiTheme="minorHAnsi" w:hAnsiTheme="minorHAnsi"/>
                <w:sz w:val="18"/>
                <w:szCs w:val="18"/>
              </w:rPr>
            </w:pPr>
          </w:p>
        </w:tc>
        <w:tc>
          <w:tcPr>
            <w:tcW w:w="3260" w:type="dxa"/>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Consolidated annual financial reports</w:t>
            </w:r>
          </w:p>
        </w:tc>
        <w:tc>
          <w:tcPr>
            <w:tcW w:w="1276" w:type="dxa"/>
            <w:vAlign w:val="center"/>
          </w:tcPr>
          <w:p w:rsidR="00374649" w:rsidRPr="00374649" w:rsidRDefault="00374649" w:rsidP="00374649">
            <w:pPr>
              <w:spacing w:before="40" w:after="40"/>
              <w:jc w:val="center"/>
              <w:rPr>
                <w:rFonts w:asciiTheme="minorHAnsi" w:hAnsiTheme="minorHAnsi"/>
                <w:sz w:val="18"/>
                <w:szCs w:val="18"/>
              </w:rPr>
            </w:pPr>
            <w:r w:rsidRPr="00374649">
              <w:rPr>
                <w:rFonts w:asciiTheme="minorHAnsi" w:hAnsiTheme="minorHAnsi"/>
                <w:sz w:val="18"/>
                <w:szCs w:val="18"/>
              </w:rPr>
              <w:sym w:font="Wingdings" w:char="F0FC"/>
            </w:r>
          </w:p>
        </w:tc>
        <w:tc>
          <w:tcPr>
            <w:tcW w:w="6804" w:type="dxa"/>
            <w:vMerge w:val="restart"/>
            <w:vAlign w:val="center"/>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 xml:space="preserve">Consolidated annual reports are presented to </w:t>
            </w:r>
            <w:r w:rsidR="001D0357">
              <w:rPr>
                <w:rFonts w:asciiTheme="minorHAnsi" w:hAnsiTheme="minorHAnsi"/>
                <w:sz w:val="18"/>
                <w:szCs w:val="18"/>
              </w:rPr>
              <w:t xml:space="preserve">the </w:t>
            </w:r>
            <w:r w:rsidRPr="00374649">
              <w:rPr>
                <w:rFonts w:asciiTheme="minorHAnsi" w:hAnsiTheme="minorHAnsi"/>
                <w:sz w:val="18"/>
                <w:szCs w:val="18"/>
              </w:rPr>
              <w:t>Council.</w:t>
            </w:r>
          </w:p>
        </w:tc>
      </w:tr>
      <w:tr w:rsidR="00374649" w:rsidRPr="00374649" w:rsidTr="005774D9">
        <w:tc>
          <w:tcPr>
            <w:tcW w:w="2977" w:type="dxa"/>
            <w:vMerge/>
          </w:tcPr>
          <w:p w:rsidR="00374649" w:rsidRPr="00374649" w:rsidRDefault="00374649" w:rsidP="005774D9">
            <w:pPr>
              <w:rPr>
                <w:rFonts w:asciiTheme="minorHAnsi" w:hAnsiTheme="minorHAnsi"/>
                <w:sz w:val="18"/>
                <w:szCs w:val="18"/>
              </w:rPr>
            </w:pPr>
          </w:p>
        </w:tc>
        <w:tc>
          <w:tcPr>
            <w:tcW w:w="3260" w:type="dxa"/>
          </w:tcPr>
          <w:p w:rsidR="00374649" w:rsidRPr="00374649" w:rsidRDefault="00374649" w:rsidP="005774D9">
            <w:pPr>
              <w:rPr>
                <w:rFonts w:asciiTheme="minorHAnsi" w:hAnsiTheme="minorHAnsi"/>
                <w:sz w:val="18"/>
                <w:szCs w:val="18"/>
              </w:rPr>
            </w:pPr>
            <w:r w:rsidRPr="00374649">
              <w:rPr>
                <w:rFonts w:asciiTheme="minorHAnsi" w:hAnsiTheme="minorHAnsi"/>
                <w:sz w:val="18"/>
                <w:szCs w:val="18"/>
              </w:rPr>
              <w:t>Programme results</w:t>
            </w:r>
          </w:p>
        </w:tc>
        <w:tc>
          <w:tcPr>
            <w:tcW w:w="1276" w:type="dxa"/>
            <w:vAlign w:val="center"/>
          </w:tcPr>
          <w:p w:rsidR="00374649" w:rsidRPr="00374649" w:rsidRDefault="00374649" w:rsidP="005774D9">
            <w:pPr>
              <w:jc w:val="center"/>
              <w:rPr>
                <w:rFonts w:asciiTheme="minorHAnsi" w:hAnsiTheme="minorHAnsi"/>
                <w:sz w:val="18"/>
                <w:szCs w:val="18"/>
              </w:rPr>
            </w:pPr>
            <w:r w:rsidRPr="00374649">
              <w:rPr>
                <w:rFonts w:asciiTheme="minorHAnsi" w:hAnsiTheme="minorHAnsi"/>
                <w:sz w:val="18"/>
                <w:szCs w:val="18"/>
              </w:rPr>
              <w:sym w:font="Wingdings" w:char="F0FC"/>
            </w:r>
          </w:p>
        </w:tc>
        <w:tc>
          <w:tcPr>
            <w:tcW w:w="6804" w:type="dxa"/>
            <w:vMerge/>
          </w:tcPr>
          <w:p w:rsidR="00374649" w:rsidRPr="00374649" w:rsidRDefault="00374649" w:rsidP="005774D9">
            <w:pPr>
              <w:rPr>
                <w:rFonts w:asciiTheme="minorHAnsi" w:hAnsiTheme="minorHAnsi"/>
                <w:sz w:val="18"/>
                <w:szCs w:val="18"/>
              </w:rPr>
            </w:pPr>
          </w:p>
        </w:tc>
      </w:tr>
    </w:tbl>
    <w:p w:rsidR="00374649" w:rsidRPr="00374649" w:rsidRDefault="00374649" w:rsidP="00374649">
      <w:pPr>
        <w:spacing w:before="0"/>
        <w:rPr>
          <w:rFonts w:asciiTheme="minorHAnsi" w:hAnsiTheme="minorHAnsi"/>
          <w:sz w:val="8"/>
          <w:szCs w:val="8"/>
        </w:rPr>
      </w:pPr>
      <w:r w:rsidRPr="00374649">
        <w:rPr>
          <w:rFonts w:asciiTheme="minorHAnsi" w:hAnsiTheme="minorHAnsi"/>
          <w:sz w:val="8"/>
          <w:szCs w:val="8"/>
        </w:rPr>
        <w:br w:type="page"/>
      </w:r>
    </w:p>
    <w:p w:rsidR="00374649" w:rsidRPr="00374649" w:rsidRDefault="00374649" w:rsidP="00374649">
      <w:pPr>
        <w:rPr>
          <w:rFonts w:asciiTheme="minorHAnsi" w:hAnsiTheme="minorHAnsi"/>
          <w:b/>
          <w:bCs/>
        </w:rPr>
      </w:pPr>
      <w:r w:rsidRPr="00374649">
        <w:rPr>
          <w:rFonts w:asciiTheme="minorHAnsi" w:hAnsiTheme="minorHAnsi"/>
          <w:b/>
          <w:bCs/>
        </w:rPr>
        <w:t>Pillar 2</w:t>
      </w:r>
    </w:p>
    <w:tbl>
      <w:tblPr>
        <w:tblStyle w:val="TableGrid"/>
        <w:tblW w:w="14601" w:type="dxa"/>
        <w:tblInd w:w="-5" w:type="dxa"/>
        <w:tblLayout w:type="fixed"/>
        <w:tblLook w:val="04A0" w:firstRow="1" w:lastRow="0" w:firstColumn="1" w:lastColumn="0" w:noHBand="0" w:noVBand="1"/>
      </w:tblPr>
      <w:tblGrid>
        <w:gridCol w:w="2977"/>
        <w:gridCol w:w="3969"/>
        <w:gridCol w:w="1134"/>
        <w:gridCol w:w="6521"/>
      </w:tblGrid>
      <w:tr w:rsidR="00374649" w:rsidRPr="00374649" w:rsidTr="005774D9">
        <w:trPr>
          <w:tblHeader/>
        </w:trPr>
        <w:tc>
          <w:tcPr>
            <w:tcW w:w="2977" w:type="dxa"/>
            <w:shd w:val="clear" w:color="auto" w:fill="B8CCE4" w:themeFill="accent1" w:themeFillTint="66"/>
          </w:tcPr>
          <w:p w:rsidR="00374649" w:rsidRPr="00374649" w:rsidRDefault="00374649" w:rsidP="005774D9">
            <w:pPr>
              <w:jc w:val="center"/>
              <w:rPr>
                <w:rFonts w:asciiTheme="minorHAnsi" w:hAnsiTheme="minorHAnsi"/>
                <w:sz w:val="18"/>
                <w:szCs w:val="18"/>
              </w:rPr>
            </w:pPr>
            <w:r w:rsidRPr="00374649">
              <w:rPr>
                <w:rFonts w:asciiTheme="minorHAnsi" w:hAnsiTheme="minorHAnsi"/>
                <w:b/>
                <w:bCs/>
              </w:rPr>
              <w:t>Benchmark</w:t>
            </w:r>
          </w:p>
        </w:tc>
        <w:tc>
          <w:tcPr>
            <w:tcW w:w="3969" w:type="dxa"/>
            <w:shd w:val="clear" w:color="auto" w:fill="B8CCE4" w:themeFill="accent1" w:themeFillTint="66"/>
          </w:tcPr>
          <w:p w:rsidR="00374649" w:rsidRPr="00374649" w:rsidRDefault="00374649" w:rsidP="005774D9">
            <w:pPr>
              <w:jc w:val="center"/>
              <w:rPr>
                <w:rFonts w:asciiTheme="minorHAnsi" w:hAnsiTheme="minorHAnsi"/>
                <w:sz w:val="18"/>
                <w:szCs w:val="18"/>
              </w:rPr>
            </w:pPr>
            <w:r w:rsidRPr="00374649">
              <w:rPr>
                <w:rFonts w:asciiTheme="minorHAnsi" w:hAnsiTheme="minorHAnsi"/>
                <w:b/>
                <w:bCs/>
              </w:rPr>
              <w:t>Tools</w:t>
            </w:r>
          </w:p>
        </w:tc>
        <w:tc>
          <w:tcPr>
            <w:tcW w:w="1134" w:type="dxa"/>
            <w:shd w:val="clear" w:color="auto" w:fill="B8CCE4" w:themeFill="accent1" w:themeFillTint="66"/>
          </w:tcPr>
          <w:p w:rsidR="00374649" w:rsidRPr="00374649" w:rsidRDefault="00374649" w:rsidP="005774D9">
            <w:pPr>
              <w:jc w:val="center"/>
              <w:rPr>
                <w:rFonts w:asciiTheme="minorHAnsi" w:hAnsiTheme="minorHAnsi"/>
                <w:sz w:val="18"/>
                <w:szCs w:val="18"/>
              </w:rPr>
            </w:pPr>
            <w:r w:rsidRPr="00374649">
              <w:rPr>
                <w:rFonts w:asciiTheme="minorHAnsi" w:hAnsiTheme="minorHAnsi"/>
                <w:b/>
                <w:bCs/>
              </w:rPr>
              <w:t>Status</w:t>
            </w:r>
          </w:p>
        </w:tc>
        <w:tc>
          <w:tcPr>
            <w:tcW w:w="6521" w:type="dxa"/>
            <w:shd w:val="clear" w:color="auto" w:fill="B8CCE4" w:themeFill="accent1" w:themeFillTint="66"/>
          </w:tcPr>
          <w:p w:rsidR="00374649" w:rsidRPr="00374649" w:rsidRDefault="00374649" w:rsidP="005774D9">
            <w:pPr>
              <w:jc w:val="center"/>
              <w:rPr>
                <w:rFonts w:asciiTheme="minorHAnsi" w:hAnsiTheme="minorHAnsi"/>
                <w:sz w:val="18"/>
                <w:szCs w:val="18"/>
              </w:rPr>
            </w:pPr>
            <w:r w:rsidRPr="00374649">
              <w:rPr>
                <w:rFonts w:asciiTheme="minorHAnsi" w:hAnsiTheme="minorHAnsi"/>
                <w:b/>
                <w:bCs/>
              </w:rPr>
              <w:t>Comment</w:t>
            </w:r>
          </w:p>
        </w:tc>
      </w:tr>
      <w:tr w:rsidR="00374649" w:rsidRPr="00374649" w:rsidTr="005774D9">
        <w:tc>
          <w:tcPr>
            <w:tcW w:w="2977" w:type="dxa"/>
            <w:vMerge w:val="restart"/>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5. Ethical conduct, standards of integrity, anti-corruption and anti-fraud policies are in place and enforced.</w:t>
            </w:r>
          </w:p>
        </w:tc>
        <w:tc>
          <w:tcPr>
            <w:tcW w:w="3969" w:type="dxa"/>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 xml:space="preserve">Staff regulations/code of conduct for staff members, including harassment </w:t>
            </w:r>
          </w:p>
        </w:tc>
        <w:tc>
          <w:tcPr>
            <w:tcW w:w="1134" w:type="dxa"/>
            <w:vAlign w:val="center"/>
          </w:tcPr>
          <w:p w:rsidR="00374649" w:rsidRPr="00374649" w:rsidRDefault="00374649" w:rsidP="00374649">
            <w:pPr>
              <w:spacing w:before="40" w:after="40"/>
              <w:jc w:val="center"/>
              <w:rPr>
                <w:rFonts w:asciiTheme="minorHAnsi" w:hAnsiTheme="minorHAnsi"/>
                <w:sz w:val="18"/>
                <w:szCs w:val="18"/>
              </w:rPr>
            </w:pPr>
            <w:r w:rsidRPr="00374649">
              <w:rPr>
                <w:rFonts w:asciiTheme="minorHAnsi" w:hAnsiTheme="minorHAnsi"/>
                <w:sz w:val="18"/>
                <w:szCs w:val="18"/>
              </w:rPr>
              <w:sym w:font="Wingdings" w:char="F0FC"/>
            </w:r>
          </w:p>
        </w:tc>
        <w:tc>
          <w:tcPr>
            <w:tcW w:w="6521" w:type="dxa"/>
            <w:vMerge w:val="restart"/>
            <w:vAlign w:val="center"/>
          </w:tcPr>
          <w:p w:rsidR="00374649" w:rsidRPr="00374649" w:rsidRDefault="00374649" w:rsidP="00374649">
            <w:pPr>
              <w:spacing w:before="40" w:after="40"/>
              <w:rPr>
                <w:rFonts w:asciiTheme="minorHAnsi" w:hAnsiTheme="minorHAnsi"/>
                <w:sz w:val="18"/>
                <w:szCs w:val="18"/>
              </w:rPr>
            </w:pPr>
          </w:p>
        </w:tc>
      </w:tr>
      <w:tr w:rsidR="00374649" w:rsidRPr="00374649" w:rsidTr="005774D9">
        <w:tc>
          <w:tcPr>
            <w:tcW w:w="2977" w:type="dxa"/>
            <w:vMerge/>
          </w:tcPr>
          <w:p w:rsidR="00374649" w:rsidRPr="00374649" w:rsidRDefault="00374649" w:rsidP="00374649">
            <w:pPr>
              <w:spacing w:before="40" w:after="40"/>
              <w:rPr>
                <w:rFonts w:asciiTheme="minorHAnsi" w:hAnsiTheme="minorHAnsi"/>
                <w:sz w:val="18"/>
                <w:szCs w:val="18"/>
              </w:rPr>
            </w:pPr>
          </w:p>
        </w:tc>
        <w:tc>
          <w:tcPr>
            <w:tcW w:w="3969" w:type="dxa"/>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Ethics function</w:t>
            </w:r>
          </w:p>
        </w:tc>
        <w:tc>
          <w:tcPr>
            <w:tcW w:w="1134" w:type="dxa"/>
            <w:vAlign w:val="center"/>
          </w:tcPr>
          <w:p w:rsidR="00374649" w:rsidRPr="00374649" w:rsidRDefault="00374649" w:rsidP="00374649">
            <w:pPr>
              <w:spacing w:before="40" w:after="40"/>
              <w:jc w:val="center"/>
              <w:rPr>
                <w:rFonts w:asciiTheme="minorHAnsi" w:hAnsiTheme="minorHAnsi"/>
                <w:sz w:val="18"/>
                <w:szCs w:val="18"/>
              </w:rPr>
            </w:pPr>
            <w:r w:rsidRPr="00374649">
              <w:rPr>
                <w:rFonts w:asciiTheme="minorHAnsi" w:hAnsiTheme="minorHAnsi"/>
                <w:sz w:val="18"/>
                <w:szCs w:val="18"/>
              </w:rPr>
              <w:sym w:font="Wingdings" w:char="F0FC"/>
            </w:r>
          </w:p>
        </w:tc>
        <w:tc>
          <w:tcPr>
            <w:tcW w:w="6521" w:type="dxa"/>
            <w:vMerge/>
          </w:tcPr>
          <w:p w:rsidR="00374649" w:rsidRPr="00374649" w:rsidRDefault="00374649" w:rsidP="00374649">
            <w:pPr>
              <w:spacing w:before="40" w:after="40"/>
              <w:rPr>
                <w:rFonts w:asciiTheme="minorHAnsi" w:hAnsiTheme="minorHAnsi"/>
                <w:sz w:val="18"/>
                <w:szCs w:val="18"/>
              </w:rPr>
            </w:pPr>
          </w:p>
        </w:tc>
      </w:tr>
      <w:tr w:rsidR="00374649" w:rsidRPr="00374649" w:rsidTr="005774D9">
        <w:tc>
          <w:tcPr>
            <w:tcW w:w="2977" w:type="dxa"/>
            <w:vMerge/>
          </w:tcPr>
          <w:p w:rsidR="00374649" w:rsidRPr="00374649" w:rsidRDefault="00374649" w:rsidP="00374649">
            <w:pPr>
              <w:spacing w:before="40" w:after="40"/>
              <w:rPr>
                <w:rFonts w:asciiTheme="minorHAnsi" w:hAnsiTheme="minorHAnsi"/>
                <w:sz w:val="18"/>
                <w:szCs w:val="18"/>
              </w:rPr>
            </w:pPr>
          </w:p>
        </w:tc>
        <w:tc>
          <w:tcPr>
            <w:tcW w:w="3969" w:type="dxa"/>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 xml:space="preserve">Gifts, </w:t>
            </w:r>
            <w:proofErr w:type="spellStart"/>
            <w:r w:rsidRPr="00374649">
              <w:rPr>
                <w:rFonts w:asciiTheme="minorHAnsi" w:hAnsiTheme="minorHAnsi"/>
                <w:sz w:val="18"/>
                <w:szCs w:val="18"/>
              </w:rPr>
              <w:t>favors</w:t>
            </w:r>
            <w:proofErr w:type="spellEnd"/>
            <w:r w:rsidRPr="00374649">
              <w:rPr>
                <w:rFonts w:asciiTheme="minorHAnsi" w:hAnsiTheme="minorHAnsi"/>
                <w:sz w:val="18"/>
                <w:szCs w:val="18"/>
              </w:rPr>
              <w:t xml:space="preserve"> and hospitality policy</w:t>
            </w:r>
          </w:p>
        </w:tc>
        <w:tc>
          <w:tcPr>
            <w:tcW w:w="1134" w:type="dxa"/>
            <w:vAlign w:val="center"/>
          </w:tcPr>
          <w:p w:rsidR="00374649" w:rsidRPr="00374649" w:rsidRDefault="00374649" w:rsidP="00374649">
            <w:pPr>
              <w:spacing w:before="40" w:after="40"/>
              <w:jc w:val="center"/>
              <w:rPr>
                <w:rFonts w:asciiTheme="minorHAnsi" w:hAnsiTheme="minorHAnsi"/>
                <w:sz w:val="18"/>
                <w:szCs w:val="18"/>
              </w:rPr>
            </w:pPr>
            <w:r w:rsidRPr="00374649">
              <w:rPr>
                <w:rFonts w:asciiTheme="minorHAnsi" w:hAnsiTheme="minorHAnsi"/>
                <w:sz w:val="18"/>
                <w:szCs w:val="18"/>
              </w:rPr>
              <w:t>In progress</w:t>
            </w:r>
          </w:p>
        </w:tc>
        <w:tc>
          <w:tcPr>
            <w:tcW w:w="6521" w:type="dxa"/>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The Ethics Office issued a Guidance Note on Gifts in connection with the 2017 Telecom World Event.  A broader and improved policy on the topic is under preparation.</w:t>
            </w:r>
          </w:p>
        </w:tc>
      </w:tr>
      <w:tr w:rsidR="00374649" w:rsidRPr="00374649" w:rsidTr="005774D9">
        <w:tc>
          <w:tcPr>
            <w:tcW w:w="2977" w:type="dxa"/>
            <w:vMerge/>
          </w:tcPr>
          <w:p w:rsidR="00374649" w:rsidRPr="00374649" w:rsidRDefault="00374649" w:rsidP="00374649">
            <w:pPr>
              <w:spacing w:before="40" w:after="40"/>
              <w:rPr>
                <w:rFonts w:asciiTheme="minorHAnsi" w:hAnsiTheme="minorHAnsi"/>
                <w:sz w:val="18"/>
                <w:szCs w:val="18"/>
              </w:rPr>
            </w:pPr>
          </w:p>
        </w:tc>
        <w:tc>
          <w:tcPr>
            <w:tcW w:w="3969" w:type="dxa"/>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Protection against retaliation for reporting wrongdoing (whistle-blower policy)</w:t>
            </w:r>
          </w:p>
        </w:tc>
        <w:tc>
          <w:tcPr>
            <w:tcW w:w="1134" w:type="dxa"/>
            <w:vAlign w:val="center"/>
          </w:tcPr>
          <w:p w:rsidR="00374649" w:rsidRPr="00374649" w:rsidRDefault="00374649" w:rsidP="00374649">
            <w:pPr>
              <w:spacing w:before="40" w:after="40"/>
              <w:jc w:val="center"/>
              <w:rPr>
                <w:rFonts w:asciiTheme="minorHAnsi" w:hAnsiTheme="minorHAnsi"/>
                <w:sz w:val="18"/>
                <w:szCs w:val="18"/>
              </w:rPr>
            </w:pPr>
            <w:r w:rsidRPr="00374649">
              <w:rPr>
                <w:rFonts w:asciiTheme="minorHAnsi" w:hAnsiTheme="minorHAnsi"/>
                <w:sz w:val="18"/>
                <w:szCs w:val="18"/>
              </w:rPr>
              <w:sym w:font="Wingdings" w:char="F0FC"/>
            </w:r>
          </w:p>
        </w:tc>
        <w:tc>
          <w:tcPr>
            <w:tcW w:w="6521" w:type="dxa"/>
            <w:vMerge w:val="restart"/>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 xml:space="preserve">These topics are also being reviewed in light of the currently ongoing reviews by the Joint Inspection Unit regarding Conflicts of Interests and </w:t>
            </w:r>
            <w:proofErr w:type="spellStart"/>
            <w:r w:rsidRPr="00374649">
              <w:rPr>
                <w:rFonts w:asciiTheme="minorHAnsi" w:hAnsiTheme="minorHAnsi"/>
                <w:sz w:val="18"/>
                <w:szCs w:val="18"/>
              </w:rPr>
              <w:t>whistleblowers</w:t>
            </w:r>
            <w:proofErr w:type="spellEnd"/>
            <w:r w:rsidRPr="00374649">
              <w:rPr>
                <w:rFonts w:asciiTheme="minorHAnsi" w:hAnsiTheme="minorHAnsi"/>
                <w:sz w:val="18"/>
                <w:szCs w:val="18"/>
              </w:rPr>
              <w:t xml:space="preserve"> / </w:t>
            </w:r>
            <w:proofErr w:type="spellStart"/>
            <w:r w:rsidRPr="00374649">
              <w:rPr>
                <w:rFonts w:asciiTheme="minorHAnsi" w:hAnsiTheme="minorHAnsi"/>
                <w:sz w:val="18"/>
                <w:szCs w:val="18"/>
              </w:rPr>
              <w:t>Whistleblower</w:t>
            </w:r>
            <w:proofErr w:type="spellEnd"/>
            <w:r w:rsidRPr="00374649">
              <w:rPr>
                <w:rFonts w:asciiTheme="minorHAnsi" w:hAnsiTheme="minorHAnsi"/>
                <w:sz w:val="18"/>
                <w:szCs w:val="18"/>
              </w:rPr>
              <w:t xml:space="preserve"> protections.</w:t>
            </w:r>
          </w:p>
        </w:tc>
      </w:tr>
      <w:tr w:rsidR="00374649" w:rsidRPr="00374649" w:rsidTr="005774D9">
        <w:tc>
          <w:tcPr>
            <w:tcW w:w="2977" w:type="dxa"/>
            <w:vMerge/>
          </w:tcPr>
          <w:p w:rsidR="00374649" w:rsidRPr="00374649" w:rsidRDefault="00374649" w:rsidP="00374649">
            <w:pPr>
              <w:spacing w:before="40" w:after="40"/>
              <w:rPr>
                <w:rFonts w:asciiTheme="minorHAnsi" w:hAnsiTheme="minorHAnsi"/>
                <w:sz w:val="18"/>
                <w:szCs w:val="18"/>
              </w:rPr>
            </w:pPr>
          </w:p>
        </w:tc>
        <w:tc>
          <w:tcPr>
            <w:tcW w:w="3969" w:type="dxa"/>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Outside activities policy (conflict of interest)</w:t>
            </w:r>
          </w:p>
        </w:tc>
        <w:tc>
          <w:tcPr>
            <w:tcW w:w="1134" w:type="dxa"/>
            <w:vAlign w:val="center"/>
          </w:tcPr>
          <w:p w:rsidR="00374649" w:rsidRPr="00374649" w:rsidRDefault="00374649" w:rsidP="00374649">
            <w:pPr>
              <w:spacing w:before="40" w:after="40"/>
              <w:jc w:val="center"/>
              <w:rPr>
                <w:rFonts w:asciiTheme="minorHAnsi" w:hAnsiTheme="minorHAnsi"/>
                <w:sz w:val="18"/>
                <w:szCs w:val="18"/>
              </w:rPr>
            </w:pPr>
            <w:r w:rsidRPr="00374649">
              <w:rPr>
                <w:rFonts w:asciiTheme="minorHAnsi" w:hAnsiTheme="minorHAnsi"/>
                <w:sz w:val="18"/>
                <w:szCs w:val="18"/>
              </w:rPr>
              <w:sym w:font="Wingdings" w:char="F0FC"/>
            </w:r>
          </w:p>
        </w:tc>
        <w:tc>
          <w:tcPr>
            <w:tcW w:w="6521" w:type="dxa"/>
            <w:vMerge/>
          </w:tcPr>
          <w:p w:rsidR="00374649" w:rsidRPr="00374649" w:rsidRDefault="00374649" w:rsidP="00374649">
            <w:pPr>
              <w:spacing w:before="40" w:after="40"/>
              <w:rPr>
                <w:rFonts w:asciiTheme="minorHAnsi" w:hAnsiTheme="minorHAnsi"/>
                <w:sz w:val="18"/>
                <w:szCs w:val="18"/>
              </w:rPr>
            </w:pPr>
          </w:p>
        </w:tc>
      </w:tr>
      <w:tr w:rsidR="00374649" w:rsidRPr="00374649" w:rsidTr="005774D9">
        <w:tc>
          <w:tcPr>
            <w:tcW w:w="2977" w:type="dxa"/>
            <w:vMerge/>
          </w:tcPr>
          <w:p w:rsidR="00374649" w:rsidRPr="00374649" w:rsidRDefault="00374649" w:rsidP="00374649">
            <w:pPr>
              <w:spacing w:before="40" w:after="40"/>
              <w:rPr>
                <w:rFonts w:asciiTheme="minorHAnsi" w:hAnsiTheme="minorHAnsi"/>
                <w:sz w:val="18"/>
                <w:szCs w:val="18"/>
              </w:rPr>
            </w:pPr>
          </w:p>
        </w:tc>
        <w:tc>
          <w:tcPr>
            <w:tcW w:w="3969" w:type="dxa"/>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Anti-fraud and anti-corruption policy</w:t>
            </w:r>
          </w:p>
        </w:tc>
        <w:tc>
          <w:tcPr>
            <w:tcW w:w="1134" w:type="dxa"/>
            <w:vAlign w:val="center"/>
          </w:tcPr>
          <w:p w:rsidR="00374649" w:rsidRPr="00374649" w:rsidRDefault="00374649" w:rsidP="00374649">
            <w:pPr>
              <w:spacing w:before="40" w:after="40"/>
              <w:jc w:val="center"/>
              <w:rPr>
                <w:rFonts w:asciiTheme="minorHAnsi" w:hAnsiTheme="minorHAnsi"/>
                <w:sz w:val="18"/>
                <w:szCs w:val="18"/>
              </w:rPr>
            </w:pPr>
            <w:r w:rsidRPr="00374649">
              <w:rPr>
                <w:rFonts w:asciiTheme="minorHAnsi" w:hAnsiTheme="minorHAnsi"/>
                <w:sz w:val="18"/>
                <w:szCs w:val="18"/>
              </w:rPr>
              <w:t>In progress</w:t>
            </w:r>
          </w:p>
        </w:tc>
        <w:tc>
          <w:tcPr>
            <w:tcW w:w="6521" w:type="dxa"/>
            <w:vMerge/>
          </w:tcPr>
          <w:p w:rsidR="00374649" w:rsidRPr="00374649" w:rsidRDefault="00374649" w:rsidP="00374649">
            <w:pPr>
              <w:spacing w:before="40" w:after="40"/>
              <w:rPr>
                <w:rFonts w:asciiTheme="minorHAnsi" w:hAnsiTheme="minorHAnsi"/>
                <w:sz w:val="18"/>
                <w:szCs w:val="18"/>
                <w:highlight w:val="yellow"/>
              </w:rPr>
            </w:pPr>
          </w:p>
        </w:tc>
      </w:tr>
      <w:tr w:rsidR="00374649" w:rsidRPr="00374649" w:rsidTr="005774D9">
        <w:tc>
          <w:tcPr>
            <w:tcW w:w="2977" w:type="dxa"/>
            <w:vMerge/>
          </w:tcPr>
          <w:p w:rsidR="00374649" w:rsidRPr="00374649" w:rsidRDefault="00374649" w:rsidP="00374649">
            <w:pPr>
              <w:spacing w:before="40" w:after="40"/>
              <w:rPr>
                <w:rFonts w:asciiTheme="minorHAnsi" w:hAnsiTheme="minorHAnsi"/>
                <w:sz w:val="18"/>
                <w:szCs w:val="18"/>
              </w:rPr>
            </w:pPr>
          </w:p>
        </w:tc>
        <w:tc>
          <w:tcPr>
            <w:tcW w:w="3969" w:type="dxa"/>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Training</w:t>
            </w:r>
          </w:p>
        </w:tc>
        <w:tc>
          <w:tcPr>
            <w:tcW w:w="1134" w:type="dxa"/>
            <w:vAlign w:val="center"/>
          </w:tcPr>
          <w:p w:rsidR="00374649" w:rsidRPr="00374649" w:rsidRDefault="00374649" w:rsidP="00374649">
            <w:pPr>
              <w:spacing w:before="40" w:after="40"/>
              <w:jc w:val="center"/>
              <w:rPr>
                <w:rFonts w:asciiTheme="minorHAnsi" w:hAnsiTheme="minorHAnsi"/>
                <w:sz w:val="18"/>
                <w:szCs w:val="18"/>
              </w:rPr>
            </w:pPr>
            <w:r w:rsidRPr="00374649">
              <w:rPr>
                <w:rFonts w:asciiTheme="minorHAnsi" w:hAnsiTheme="minorHAnsi"/>
                <w:sz w:val="18"/>
                <w:szCs w:val="18"/>
              </w:rPr>
              <w:t>In progress</w:t>
            </w:r>
          </w:p>
        </w:tc>
        <w:tc>
          <w:tcPr>
            <w:tcW w:w="6521" w:type="dxa"/>
            <w:vMerge/>
          </w:tcPr>
          <w:p w:rsidR="00374649" w:rsidRPr="00374649" w:rsidRDefault="00374649" w:rsidP="00374649">
            <w:pPr>
              <w:spacing w:before="40" w:after="40"/>
              <w:rPr>
                <w:rFonts w:asciiTheme="minorHAnsi" w:hAnsiTheme="minorHAnsi"/>
                <w:sz w:val="18"/>
                <w:szCs w:val="18"/>
              </w:rPr>
            </w:pPr>
          </w:p>
        </w:tc>
      </w:tr>
      <w:tr w:rsidR="00374649" w:rsidRPr="00374649" w:rsidTr="005774D9">
        <w:tc>
          <w:tcPr>
            <w:tcW w:w="2977" w:type="dxa"/>
            <w:vMerge w:val="restart"/>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 xml:space="preserve">6. Failure to comply with enforced policies/regulations results in clear consequences. Sanctions shall be clear and proportional and implemented at all levels. In addition, outstanding performance should be acknowledged by recognition/awards/rewards </w:t>
            </w:r>
          </w:p>
        </w:tc>
        <w:tc>
          <w:tcPr>
            <w:tcW w:w="3969" w:type="dxa"/>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Policy documents on sanctions and disciplinary action</w:t>
            </w:r>
          </w:p>
        </w:tc>
        <w:tc>
          <w:tcPr>
            <w:tcW w:w="1134" w:type="dxa"/>
            <w:vAlign w:val="center"/>
          </w:tcPr>
          <w:p w:rsidR="00374649" w:rsidRPr="00374649" w:rsidRDefault="00374649" w:rsidP="00374649">
            <w:pPr>
              <w:spacing w:before="40" w:after="40"/>
              <w:jc w:val="center"/>
              <w:rPr>
                <w:rFonts w:asciiTheme="minorHAnsi" w:hAnsiTheme="minorHAnsi"/>
                <w:sz w:val="18"/>
                <w:szCs w:val="18"/>
              </w:rPr>
            </w:pPr>
            <w:r w:rsidRPr="00374649">
              <w:rPr>
                <w:rFonts w:asciiTheme="minorHAnsi" w:hAnsiTheme="minorHAnsi"/>
                <w:sz w:val="18"/>
                <w:szCs w:val="18"/>
              </w:rPr>
              <w:t>Not applicable</w:t>
            </w:r>
          </w:p>
        </w:tc>
        <w:tc>
          <w:tcPr>
            <w:tcW w:w="6521" w:type="dxa"/>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Chapter X of the Staff Regulations and Staff Rules are applied.</w:t>
            </w:r>
          </w:p>
        </w:tc>
      </w:tr>
      <w:tr w:rsidR="00374649" w:rsidRPr="00374649" w:rsidTr="005774D9">
        <w:tc>
          <w:tcPr>
            <w:tcW w:w="2977" w:type="dxa"/>
            <w:vMerge/>
          </w:tcPr>
          <w:p w:rsidR="00374649" w:rsidRPr="00374649" w:rsidRDefault="00374649" w:rsidP="00374649">
            <w:pPr>
              <w:spacing w:before="40" w:after="40"/>
              <w:rPr>
                <w:rFonts w:asciiTheme="minorHAnsi" w:hAnsiTheme="minorHAnsi"/>
                <w:sz w:val="18"/>
                <w:szCs w:val="18"/>
              </w:rPr>
            </w:pPr>
          </w:p>
        </w:tc>
        <w:tc>
          <w:tcPr>
            <w:tcW w:w="3969" w:type="dxa"/>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Publication in annual reports of sanctions imposed by the Executive Head</w:t>
            </w:r>
          </w:p>
        </w:tc>
        <w:tc>
          <w:tcPr>
            <w:tcW w:w="1134" w:type="dxa"/>
            <w:vAlign w:val="center"/>
          </w:tcPr>
          <w:p w:rsidR="00374649" w:rsidRPr="00374649" w:rsidRDefault="00374649" w:rsidP="00374649">
            <w:pPr>
              <w:spacing w:before="40" w:after="40"/>
              <w:jc w:val="center"/>
              <w:rPr>
                <w:rFonts w:asciiTheme="minorHAnsi" w:hAnsiTheme="minorHAnsi"/>
                <w:sz w:val="18"/>
                <w:szCs w:val="18"/>
              </w:rPr>
            </w:pPr>
            <w:r w:rsidRPr="00374649">
              <w:rPr>
                <w:rFonts w:asciiTheme="minorHAnsi" w:hAnsiTheme="minorHAnsi"/>
                <w:sz w:val="18"/>
                <w:szCs w:val="18"/>
              </w:rPr>
              <w:t>Not applied</w:t>
            </w:r>
          </w:p>
        </w:tc>
        <w:tc>
          <w:tcPr>
            <w:tcW w:w="6521" w:type="dxa"/>
            <w:vAlign w:val="center"/>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Not imposed by the ITU basic instruments.</w:t>
            </w:r>
          </w:p>
        </w:tc>
      </w:tr>
      <w:tr w:rsidR="00374649" w:rsidRPr="00374649" w:rsidTr="005774D9">
        <w:tc>
          <w:tcPr>
            <w:tcW w:w="2977" w:type="dxa"/>
            <w:vMerge/>
          </w:tcPr>
          <w:p w:rsidR="00374649" w:rsidRPr="00374649" w:rsidRDefault="00374649" w:rsidP="00374649">
            <w:pPr>
              <w:spacing w:before="40" w:after="40"/>
              <w:rPr>
                <w:rFonts w:asciiTheme="minorHAnsi" w:hAnsiTheme="minorHAnsi"/>
                <w:sz w:val="18"/>
                <w:szCs w:val="18"/>
              </w:rPr>
            </w:pPr>
          </w:p>
        </w:tc>
        <w:tc>
          <w:tcPr>
            <w:tcW w:w="3969" w:type="dxa"/>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Awards/rewards programmes decided by committees/panels based on clear criteria</w:t>
            </w:r>
          </w:p>
        </w:tc>
        <w:tc>
          <w:tcPr>
            <w:tcW w:w="1134" w:type="dxa"/>
            <w:vAlign w:val="center"/>
          </w:tcPr>
          <w:p w:rsidR="00374649" w:rsidRPr="00374649" w:rsidRDefault="00374649" w:rsidP="00374649">
            <w:pPr>
              <w:spacing w:before="40" w:after="40"/>
              <w:jc w:val="center"/>
              <w:rPr>
                <w:rFonts w:asciiTheme="minorHAnsi" w:hAnsiTheme="minorHAnsi"/>
                <w:sz w:val="18"/>
                <w:szCs w:val="18"/>
              </w:rPr>
            </w:pPr>
            <w:r w:rsidRPr="00374649">
              <w:rPr>
                <w:rFonts w:asciiTheme="minorHAnsi" w:hAnsiTheme="minorHAnsi"/>
                <w:sz w:val="18"/>
                <w:szCs w:val="18"/>
              </w:rPr>
              <w:sym w:font="Wingdings" w:char="F0FC"/>
            </w:r>
          </w:p>
        </w:tc>
        <w:tc>
          <w:tcPr>
            <w:tcW w:w="6521" w:type="dxa"/>
            <w:vMerge w:val="restart"/>
            <w:vAlign w:val="center"/>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Annual awards to outstanding performance by staff are granted and published.</w:t>
            </w:r>
          </w:p>
        </w:tc>
      </w:tr>
      <w:tr w:rsidR="00374649" w:rsidRPr="00374649" w:rsidTr="005774D9">
        <w:tc>
          <w:tcPr>
            <w:tcW w:w="2977" w:type="dxa"/>
            <w:vMerge/>
          </w:tcPr>
          <w:p w:rsidR="00374649" w:rsidRPr="00374649" w:rsidRDefault="00374649" w:rsidP="00374649">
            <w:pPr>
              <w:spacing w:before="40" w:after="40"/>
              <w:rPr>
                <w:rFonts w:asciiTheme="minorHAnsi" w:hAnsiTheme="minorHAnsi"/>
                <w:sz w:val="18"/>
                <w:szCs w:val="18"/>
              </w:rPr>
            </w:pPr>
          </w:p>
        </w:tc>
        <w:tc>
          <w:tcPr>
            <w:tcW w:w="3969" w:type="dxa"/>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Publication of the names of staff members receiving awards and rewards</w:t>
            </w:r>
          </w:p>
        </w:tc>
        <w:tc>
          <w:tcPr>
            <w:tcW w:w="1134" w:type="dxa"/>
            <w:vAlign w:val="center"/>
          </w:tcPr>
          <w:p w:rsidR="00374649" w:rsidRPr="00374649" w:rsidRDefault="00374649" w:rsidP="00374649">
            <w:pPr>
              <w:spacing w:before="40" w:after="40"/>
              <w:jc w:val="center"/>
              <w:rPr>
                <w:rFonts w:asciiTheme="minorHAnsi" w:hAnsiTheme="minorHAnsi"/>
                <w:sz w:val="18"/>
                <w:szCs w:val="18"/>
              </w:rPr>
            </w:pPr>
            <w:r w:rsidRPr="00374649">
              <w:rPr>
                <w:rFonts w:asciiTheme="minorHAnsi" w:hAnsiTheme="minorHAnsi"/>
                <w:sz w:val="18"/>
                <w:szCs w:val="18"/>
              </w:rPr>
              <w:sym w:font="Wingdings" w:char="F0FC"/>
            </w:r>
          </w:p>
        </w:tc>
        <w:tc>
          <w:tcPr>
            <w:tcW w:w="6521" w:type="dxa"/>
            <w:vMerge/>
          </w:tcPr>
          <w:p w:rsidR="00374649" w:rsidRPr="00374649" w:rsidRDefault="00374649" w:rsidP="00374649">
            <w:pPr>
              <w:spacing w:before="40" w:after="40"/>
              <w:rPr>
                <w:rFonts w:asciiTheme="minorHAnsi" w:hAnsiTheme="minorHAnsi"/>
                <w:sz w:val="18"/>
                <w:szCs w:val="18"/>
              </w:rPr>
            </w:pPr>
          </w:p>
        </w:tc>
      </w:tr>
      <w:tr w:rsidR="00374649" w:rsidRPr="00374649" w:rsidTr="005774D9">
        <w:trPr>
          <w:cantSplit/>
        </w:trPr>
        <w:tc>
          <w:tcPr>
            <w:tcW w:w="2977" w:type="dxa"/>
            <w:vMerge w:val="restart"/>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7. All staff can be held accountable for their work on the basis of up-to-date written job descriptions accurately reflecting their actual work.</w:t>
            </w:r>
          </w:p>
        </w:tc>
        <w:tc>
          <w:tcPr>
            <w:tcW w:w="3969" w:type="dxa"/>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Job description for all staff</w:t>
            </w:r>
          </w:p>
        </w:tc>
        <w:tc>
          <w:tcPr>
            <w:tcW w:w="1134" w:type="dxa"/>
            <w:vAlign w:val="center"/>
          </w:tcPr>
          <w:p w:rsidR="00374649" w:rsidRPr="00374649" w:rsidRDefault="00374649" w:rsidP="00374649">
            <w:pPr>
              <w:spacing w:before="40" w:after="40"/>
              <w:jc w:val="center"/>
              <w:rPr>
                <w:rFonts w:asciiTheme="minorHAnsi" w:hAnsiTheme="minorHAnsi"/>
                <w:sz w:val="18"/>
                <w:szCs w:val="18"/>
              </w:rPr>
            </w:pPr>
            <w:r w:rsidRPr="00374649">
              <w:rPr>
                <w:rFonts w:asciiTheme="minorHAnsi" w:hAnsiTheme="minorHAnsi"/>
                <w:sz w:val="18"/>
                <w:szCs w:val="18"/>
              </w:rPr>
              <w:sym w:font="Wingdings" w:char="F0FC"/>
            </w:r>
          </w:p>
        </w:tc>
        <w:tc>
          <w:tcPr>
            <w:tcW w:w="6521" w:type="dxa"/>
            <w:vMerge w:val="restart"/>
            <w:vAlign w:val="center"/>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Full connection between actual work and job description not always easy to obtain, however, annual personal performance appraisal outlines the objectives and the day-to-day tasks of staff members as well as their participation in statutory committees and task forces.</w:t>
            </w:r>
          </w:p>
        </w:tc>
      </w:tr>
      <w:tr w:rsidR="00374649" w:rsidRPr="00374649" w:rsidTr="005774D9">
        <w:trPr>
          <w:trHeight w:val="732"/>
        </w:trPr>
        <w:tc>
          <w:tcPr>
            <w:tcW w:w="2977" w:type="dxa"/>
            <w:vMerge/>
          </w:tcPr>
          <w:p w:rsidR="00374649" w:rsidRPr="00374649" w:rsidRDefault="00374649" w:rsidP="00374649">
            <w:pPr>
              <w:spacing w:before="40" w:after="40"/>
              <w:rPr>
                <w:rFonts w:asciiTheme="minorHAnsi" w:hAnsiTheme="minorHAnsi"/>
                <w:sz w:val="18"/>
                <w:szCs w:val="18"/>
              </w:rPr>
            </w:pPr>
          </w:p>
        </w:tc>
        <w:tc>
          <w:tcPr>
            <w:tcW w:w="3969" w:type="dxa"/>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Coherence between job description and day-to-day work</w:t>
            </w:r>
          </w:p>
        </w:tc>
        <w:tc>
          <w:tcPr>
            <w:tcW w:w="1134" w:type="dxa"/>
            <w:shd w:val="clear" w:color="auto" w:fill="FFFFFF" w:themeFill="background1"/>
            <w:vAlign w:val="center"/>
          </w:tcPr>
          <w:p w:rsidR="00374649" w:rsidRPr="00374649" w:rsidRDefault="00374649" w:rsidP="00374649">
            <w:pPr>
              <w:spacing w:before="40" w:after="40"/>
              <w:jc w:val="center"/>
              <w:rPr>
                <w:rFonts w:asciiTheme="minorHAnsi" w:hAnsiTheme="minorHAnsi"/>
                <w:sz w:val="18"/>
                <w:szCs w:val="18"/>
              </w:rPr>
            </w:pPr>
            <w:r w:rsidRPr="00374649">
              <w:rPr>
                <w:rFonts w:asciiTheme="minorHAnsi" w:hAnsiTheme="minorHAnsi"/>
                <w:sz w:val="18"/>
                <w:szCs w:val="18"/>
              </w:rPr>
              <w:t>Ongoing</w:t>
            </w:r>
          </w:p>
        </w:tc>
        <w:tc>
          <w:tcPr>
            <w:tcW w:w="6521" w:type="dxa"/>
            <w:vMerge/>
          </w:tcPr>
          <w:p w:rsidR="00374649" w:rsidRPr="00374649" w:rsidRDefault="00374649" w:rsidP="00374649">
            <w:pPr>
              <w:spacing w:before="40" w:after="40"/>
              <w:rPr>
                <w:rFonts w:asciiTheme="minorHAnsi" w:hAnsiTheme="minorHAnsi"/>
                <w:sz w:val="18"/>
                <w:szCs w:val="18"/>
                <w:highlight w:val="yellow"/>
              </w:rPr>
            </w:pPr>
          </w:p>
        </w:tc>
      </w:tr>
      <w:tr w:rsidR="00374649" w:rsidRPr="00374649" w:rsidTr="005774D9">
        <w:trPr>
          <w:trHeight w:val="218"/>
        </w:trPr>
        <w:tc>
          <w:tcPr>
            <w:tcW w:w="2977" w:type="dxa"/>
            <w:vMerge w:val="restart"/>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8. Concretization of policies on selection, recruitment and post-employment.</w:t>
            </w:r>
          </w:p>
        </w:tc>
        <w:tc>
          <w:tcPr>
            <w:tcW w:w="3969" w:type="dxa"/>
            <w:shd w:val="clear" w:color="auto" w:fill="auto"/>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Recruitment policy restricting hiring of family members and relatives</w:t>
            </w:r>
          </w:p>
        </w:tc>
        <w:tc>
          <w:tcPr>
            <w:tcW w:w="1134" w:type="dxa"/>
            <w:shd w:val="clear" w:color="auto" w:fill="auto"/>
            <w:vAlign w:val="center"/>
          </w:tcPr>
          <w:p w:rsidR="00374649" w:rsidRPr="00374649" w:rsidRDefault="00374649" w:rsidP="00374649">
            <w:pPr>
              <w:spacing w:before="40" w:after="40"/>
              <w:jc w:val="center"/>
              <w:rPr>
                <w:rFonts w:asciiTheme="minorHAnsi" w:hAnsiTheme="minorHAnsi"/>
                <w:sz w:val="18"/>
                <w:szCs w:val="18"/>
              </w:rPr>
            </w:pPr>
            <w:r w:rsidRPr="00374649">
              <w:rPr>
                <w:rFonts w:asciiTheme="minorHAnsi" w:hAnsiTheme="minorHAnsi"/>
                <w:sz w:val="18"/>
                <w:szCs w:val="18"/>
              </w:rPr>
              <w:sym w:font="Wingdings" w:char="F0FC"/>
            </w:r>
          </w:p>
        </w:tc>
        <w:tc>
          <w:tcPr>
            <w:tcW w:w="6521" w:type="dxa"/>
            <w:shd w:val="clear" w:color="auto" w:fill="auto"/>
            <w:vAlign w:val="center"/>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Rule 4.7.1 of the Staff Regulations and Staff Rules.</w:t>
            </w:r>
          </w:p>
        </w:tc>
      </w:tr>
      <w:tr w:rsidR="00374649" w:rsidRPr="00374649" w:rsidTr="005774D9">
        <w:trPr>
          <w:trHeight w:val="217"/>
        </w:trPr>
        <w:tc>
          <w:tcPr>
            <w:tcW w:w="2977" w:type="dxa"/>
            <w:vMerge/>
          </w:tcPr>
          <w:p w:rsidR="00374649" w:rsidRPr="00374649" w:rsidRDefault="00374649" w:rsidP="00374649">
            <w:pPr>
              <w:spacing w:before="40" w:after="40"/>
              <w:rPr>
                <w:rFonts w:asciiTheme="minorHAnsi" w:hAnsiTheme="minorHAnsi"/>
                <w:sz w:val="18"/>
                <w:szCs w:val="18"/>
              </w:rPr>
            </w:pPr>
          </w:p>
        </w:tc>
        <w:tc>
          <w:tcPr>
            <w:tcW w:w="3969" w:type="dxa"/>
            <w:shd w:val="clear" w:color="auto" w:fill="auto"/>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Post-employment restrictions for staff who retire/resign from the organization</w:t>
            </w:r>
          </w:p>
        </w:tc>
        <w:tc>
          <w:tcPr>
            <w:tcW w:w="1134" w:type="dxa"/>
            <w:shd w:val="clear" w:color="auto" w:fill="auto"/>
            <w:vAlign w:val="center"/>
          </w:tcPr>
          <w:p w:rsidR="00374649" w:rsidRPr="00374649" w:rsidRDefault="00374649" w:rsidP="00374649">
            <w:pPr>
              <w:spacing w:before="40" w:after="40"/>
              <w:jc w:val="center"/>
              <w:rPr>
                <w:rFonts w:asciiTheme="minorHAnsi" w:hAnsiTheme="minorHAnsi"/>
                <w:sz w:val="18"/>
                <w:szCs w:val="18"/>
              </w:rPr>
            </w:pPr>
            <w:r w:rsidRPr="00374649">
              <w:rPr>
                <w:rFonts w:asciiTheme="minorHAnsi" w:hAnsiTheme="minorHAnsi"/>
                <w:sz w:val="18"/>
                <w:szCs w:val="18"/>
              </w:rPr>
              <w:sym w:font="Wingdings" w:char="F0FC"/>
            </w:r>
          </w:p>
        </w:tc>
        <w:tc>
          <w:tcPr>
            <w:tcW w:w="6521" w:type="dxa"/>
            <w:shd w:val="clear" w:color="auto" w:fill="auto"/>
            <w:vAlign w:val="center"/>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Policy already in place for retirees (ITU applies the UN limitations) and for staff members leaving the organization within an early separation programme.</w:t>
            </w:r>
          </w:p>
        </w:tc>
      </w:tr>
      <w:tr w:rsidR="00374649" w:rsidRPr="00374649" w:rsidTr="005774D9">
        <w:tc>
          <w:tcPr>
            <w:tcW w:w="2977" w:type="dxa"/>
            <w:shd w:val="clear" w:color="auto" w:fill="FFFFFF" w:themeFill="background1"/>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9. Organization has a formal policy on ERM to be implemented with a coherent methodology.</w:t>
            </w:r>
          </w:p>
        </w:tc>
        <w:tc>
          <w:tcPr>
            <w:tcW w:w="3969" w:type="dxa"/>
            <w:shd w:val="clear" w:color="auto" w:fill="FFFFFF" w:themeFill="background1"/>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Risk analysis conducted for each unit/project/process and an organizational risk plan exists</w:t>
            </w:r>
          </w:p>
        </w:tc>
        <w:tc>
          <w:tcPr>
            <w:tcW w:w="1134" w:type="dxa"/>
            <w:shd w:val="clear" w:color="auto" w:fill="FFFFFF" w:themeFill="background1"/>
            <w:vAlign w:val="center"/>
          </w:tcPr>
          <w:p w:rsidR="00374649" w:rsidRPr="00374649" w:rsidRDefault="00374649" w:rsidP="00374649">
            <w:pPr>
              <w:spacing w:before="40" w:after="40"/>
              <w:jc w:val="center"/>
              <w:rPr>
                <w:rFonts w:asciiTheme="minorHAnsi" w:hAnsiTheme="minorHAnsi"/>
                <w:sz w:val="18"/>
                <w:szCs w:val="18"/>
              </w:rPr>
            </w:pPr>
            <w:r w:rsidRPr="00374649">
              <w:rPr>
                <w:rFonts w:asciiTheme="minorHAnsi" w:hAnsiTheme="minorHAnsi"/>
                <w:sz w:val="18"/>
                <w:szCs w:val="18"/>
              </w:rPr>
              <w:sym w:font="Wingdings" w:char="F0FC"/>
            </w:r>
          </w:p>
        </w:tc>
        <w:tc>
          <w:tcPr>
            <w:tcW w:w="6521" w:type="dxa"/>
            <w:shd w:val="clear" w:color="auto" w:fill="FFFFFF" w:themeFill="background1"/>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The formal Risk Management Policy and Appetite Statement have been endorsed at the 2017 Session of Council.</w:t>
            </w:r>
          </w:p>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Risk analysis is conducted at each level of the organization and risk registers are maintained and reported through the Operational Plans of the Sectors and the General Secretariat.</w:t>
            </w:r>
          </w:p>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ITU is implementing the ORMS &amp; the key element of Crisis Management.</w:t>
            </w:r>
          </w:p>
        </w:tc>
      </w:tr>
      <w:tr w:rsidR="00374649" w:rsidRPr="00374649" w:rsidTr="005774D9">
        <w:tc>
          <w:tcPr>
            <w:tcW w:w="2977" w:type="dxa"/>
            <w:vMerge w:val="restart"/>
            <w:shd w:val="clear" w:color="auto" w:fill="FFFFFF" w:themeFill="background1"/>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10. The chain of command and delegation of authority are aligned, clear, coherent and integrated into existing enterprise resource planning (ERP) systems.</w:t>
            </w:r>
          </w:p>
        </w:tc>
        <w:tc>
          <w:tcPr>
            <w:tcW w:w="3969" w:type="dxa"/>
            <w:shd w:val="clear" w:color="auto" w:fill="FFFFFF" w:themeFill="background1"/>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Clear definition of delegation of authority</w:t>
            </w:r>
          </w:p>
        </w:tc>
        <w:tc>
          <w:tcPr>
            <w:tcW w:w="1134" w:type="dxa"/>
            <w:shd w:val="clear" w:color="auto" w:fill="auto"/>
            <w:vAlign w:val="center"/>
          </w:tcPr>
          <w:p w:rsidR="00374649" w:rsidRPr="00374649" w:rsidRDefault="00374649" w:rsidP="00374649">
            <w:pPr>
              <w:spacing w:before="40" w:after="40"/>
              <w:jc w:val="center"/>
              <w:rPr>
                <w:rFonts w:asciiTheme="minorHAnsi" w:hAnsiTheme="minorHAnsi"/>
                <w:sz w:val="18"/>
                <w:szCs w:val="18"/>
              </w:rPr>
            </w:pPr>
            <w:r w:rsidRPr="00374649">
              <w:rPr>
                <w:rFonts w:asciiTheme="minorHAnsi" w:hAnsiTheme="minorHAnsi"/>
                <w:sz w:val="18"/>
                <w:szCs w:val="18"/>
              </w:rPr>
              <w:sym w:font="Wingdings" w:char="F0FC"/>
            </w:r>
          </w:p>
        </w:tc>
        <w:tc>
          <w:tcPr>
            <w:tcW w:w="6521" w:type="dxa"/>
            <w:shd w:val="clear" w:color="auto" w:fill="auto"/>
          </w:tcPr>
          <w:p w:rsidR="00374649" w:rsidRPr="00374649" w:rsidRDefault="00374649" w:rsidP="00374649">
            <w:pPr>
              <w:spacing w:before="40" w:after="40"/>
              <w:rPr>
                <w:rFonts w:asciiTheme="minorHAnsi" w:hAnsiTheme="minorHAnsi"/>
                <w:sz w:val="18"/>
                <w:szCs w:val="18"/>
              </w:rPr>
            </w:pPr>
          </w:p>
        </w:tc>
      </w:tr>
      <w:tr w:rsidR="00374649" w:rsidRPr="00374649" w:rsidTr="005774D9">
        <w:tc>
          <w:tcPr>
            <w:tcW w:w="2977" w:type="dxa"/>
            <w:vMerge/>
            <w:shd w:val="clear" w:color="auto" w:fill="FFFFFF" w:themeFill="background1"/>
          </w:tcPr>
          <w:p w:rsidR="00374649" w:rsidRPr="00374649" w:rsidRDefault="00374649" w:rsidP="00374649">
            <w:pPr>
              <w:spacing w:before="40" w:after="40"/>
              <w:rPr>
                <w:rFonts w:asciiTheme="minorHAnsi" w:hAnsiTheme="minorHAnsi"/>
                <w:sz w:val="18"/>
                <w:szCs w:val="18"/>
              </w:rPr>
            </w:pPr>
          </w:p>
        </w:tc>
        <w:tc>
          <w:tcPr>
            <w:tcW w:w="3969" w:type="dxa"/>
            <w:shd w:val="clear" w:color="auto" w:fill="FFFFFF" w:themeFill="background1"/>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Coherence between management line and delegation of authority and clear reporting lines</w:t>
            </w:r>
          </w:p>
        </w:tc>
        <w:tc>
          <w:tcPr>
            <w:tcW w:w="1134" w:type="dxa"/>
            <w:shd w:val="clear" w:color="auto" w:fill="auto"/>
            <w:vAlign w:val="center"/>
          </w:tcPr>
          <w:p w:rsidR="00374649" w:rsidRPr="00374649" w:rsidRDefault="00374649" w:rsidP="00374649">
            <w:pPr>
              <w:spacing w:before="40" w:after="40"/>
              <w:jc w:val="center"/>
              <w:rPr>
                <w:rFonts w:asciiTheme="minorHAnsi" w:hAnsiTheme="minorHAnsi"/>
                <w:sz w:val="18"/>
                <w:szCs w:val="18"/>
              </w:rPr>
            </w:pPr>
            <w:r w:rsidRPr="00374649">
              <w:rPr>
                <w:rFonts w:asciiTheme="minorHAnsi" w:hAnsiTheme="minorHAnsi"/>
                <w:sz w:val="18"/>
                <w:szCs w:val="18"/>
              </w:rPr>
              <w:sym w:font="Wingdings" w:char="F0FC"/>
            </w:r>
          </w:p>
        </w:tc>
        <w:tc>
          <w:tcPr>
            <w:tcW w:w="6521" w:type="dxa"/>
            <w:shd w:val="clear" w:color="auto" w:fill="auto"/>
          </w:tcPr>
          <w:p w:rsidR="00374649" w:rsidRPr="00374649" w:rsidRDefault="00374649" w:rsidP="00374649">
            <w:pPr>
              <w:spacing w:before="40" w:after="40"/>
              <w:rPr>
                <w:rFonts w:asciiTheme="minorHAnsi" w:hAnsiTheme="minorHAnsi"/>
                <w:sz w:val="18"/>
                <w:szCs w:val="18"/>
              </w:rPr>
            </w:pPr>
          </w:p>
        </w:tc>
      </w:tr>
      <w:tr w:rsidR="00374649" w:rsidRPr="00374649" w:rsidTr="005774D9">
        <w:tc>
          <w:tcPr>
            <w:tcW w:w="2977" w:type="dxa"/>
            <w:vMerge/>
            <w:shd w:val="clear" w:color="auto" w:fill="FFFFFF" w:themeFill="background1"/>
          </w:tcPr>
          <w:p w:rsidR="00374649" w:rsidRPr="00374649" w:rsidRDefault="00374649" w:rsidP="00374649">
            <w:pPr>
              <w:spacing w:before="40" w:after="40"/>
              <w:rPr>
                <w:rFonts w:asciiTheme="minorHAnsi" w:hAnsiTheme="minorHAnsi"/>
                <w:sz w:val="18"/>
                <w:szCs w:val="18"/>
              </w:rPr>
            </w:pPr>
          </w:p>
        </w:tc>
        <w:tc>
          <w:tcPr>
            <w:tcW w:w="3969" w:type="dxa"/>
            <w:shd w:val="clear" w:color="auto" w:fill="FFFFFF" w:themeFill="background1"/>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Delegation of authority built into existing ERP systems</w:t>
            </w:r>
          </w:p>
        </w:tc>
        <w:tc>
          <w:tcPr>
            <w:tcW w:w="1134" w:type="dxa"/>
            <w:shd w:val="clear" w:color="auto" w:fill="auto"/>
            <w:vAlign w:val="center"/>
          </w:tcPr>
          <w:p w:rsidR="00374649" w:rsidRPr="00374649" w:rsidRDefault="00374649" w:rsidP="00374649">
            <w:pPr>
              <w:spacing w:before="40" w:after="40"/>
              <w:jc w:val="center"/>
              <w:rPr>
                <w:rFonts w:asciiTheme="minorHAnsi" w:hAnsiTheme="minorHAnsi"/>
                <w:sz w:val="18"/>
                <w:szCs w:val="18"/>
              </w:rPr>
            </w:pPr>
            <w:r w:rsidRPr="00374649">
              <w:rPr>
                <w:rFonts w:asciiTheme="minorHAnsi" w:hAnsiTheme="minorHAnsi"/>
                <w:sz w:val="18"/>
                <w:szCs w:val="18"/>
              </w:rPr>
              <w:sym w:font="Wingdings" w:char="F0FC"/>
            </w:r>
          </w:p>
        </w:tc>
        <w:tc>
          <w:tcPr>
            <w:tcW w:w="6521" w:type="dxa"/>
            <w:shd w:val="clear" w:color="auto" w:fill="auto"/>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Access to ERP system based on segregation of duties.</w:t>
            </w:r>
          </w:p>
        </w:tc>
      </w:tr>
      <w:tr w:rsidR="00374649" w:rsidRPr="00374649" w:rsidTr="005774D9">
        <w:tc>
          <w:tcPr>
            <w:tcW w:w="2977" w:type="dxa"/>
            <w:vMerge w:val="restart"/>
            <w:shd w:val="clear" w:color="auto" w:fill="FFFFFF" w:themeFill="background1"/>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11. Financial Regulations and Financial Rules (FRR) in the United Nations system organizations should embody anti-fraud and financial misconduct policies and are implemented practically.</w:t>
            </w:r>
          </w:p>
        </w:tc>
        <w:tc>
          <w:tcPr>
            <w:tcW w:w="3969" w:type="dxa"/>
            <w:shd w:val="clear" w:color="auto" w:fill="FFFFFF" w:themeFill="background1"/>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FRR</w:t>
            </w:r>
          </w:p>
        </w:tc>
        <w:tc>
          <w:tcPr>
            <w:tcW w:w="1134" w:type="dxa"/>
            <w:shd w:val="clear" w:color="auto" w:fill="auto"/>
            <w:vAlign w:val="center"/>
          </w:tcPr>
          <w:p w:rsidR="00374649" w:rsidRPr="00374649" w:rsidRDefault="00374649" w:rsidP="00374649">
            <w:pPr>
              <w:spacing w:before="40" w:after="40"/>
              <w:jc w:val="center"/>
              <w:rPr>
                <w:rFonts w:asciiTheme="minorHAnsi" w:hAnsiTheme="minorHAnsi"/>
                <w:sz w:val="18"/>
                <w:szCs w:val="18"/>
              </w:rPr>
            </w:pPr>
            <w:r w:rsidRPr="00374649">
              <w:rPr>
                <w:rFonts w:asciiTheme="minorHAnsi" w:hAnsiTheme="minorHAnsi"/>
                <w:sz w:val="18"/>
                <w:szCs w:val="18"/>
              </w:rPr>
              <w:sym w:font="Wingdings" w:char="F0FC"/>
            </w:r>
          </w:p>
        </w:tc>
        <w:tc>
          <w:tcPr>
            <w:tcW w:w="6521" w:type="dxa"/>
            <w:shd w:val="clear" w:color="auto" w:fill="auto"/>
          </w:tcPr>
          <w:p w:rsidR="00374649" w:rsidRPr="00374649" w:rsidRDefault="00374649" w:rsidP="00374649">
            <w:pPr>
              <w:spacing w:before="40" w:after="40"/>
              <w:rPr>
                <w:rFonts w:asciiTheme="minorHAnsi" w:hAnsiTheme="minorHAnsi"/>
                <w:sz w:val="18"/>
                <w:szCs w:val="18"/>
              </w:rPr>
            </w:pPr>
          </w:p>
        </w:tc>
      </w:tr>
      <w:tr w:rsidR="00374649" w:rsidRPr="00374649" w:rsidTr="005774D9">
        <w:tc>
          <w:tcPr>
            <w:tcW w:w="2977" w:type="dxa"/>
            <w:vMerge/>
            <w:shd w:val="clear" w:color="auto" w:fill="FFFFFF" w:themeFill="background1"/>
          </w:tcPr>
          <w:p w:rsidR="00374649" w:rsidRPr="00374649" w:rsidRDefault="00374649" w:rsidP="00374649">
            <w:pPr>
              <w:spacing w:before="40" w:after="40"/>
              <w:rPr>
                <w:rFonts w:asciiTheme="minorHAnsi" w:hAnsiTheme="minorHAnsi"/>
                <w:sz w:val="18"/>
                <w:szCs w:val="18"/>
              </w:rPr>
            </w:pPr>
          </w:p>
        </w:tc>
        <w:tc>
          <w:tcPr>
            <w:tcW w:w="3969" w:type="dxa"/>
            <w:shd w:val="clear" w:color="auto" w:fill="FFFFFF" w:themeFill="background1"/>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Conflict of interest statements</w:t>
            </w:r>
          </w:p>
        </w:tc>
        <w:tc>
          <w:tcPr>
            <w:tcW w:w="1134" w:type="dxa"/>
            <w:shd w:val="clear" w:color="auto" w:fill="FFFFFF" w:themeFill="background1"/>
            <w:vAlign w:val="center"/>
          </w:tcPr>
          <w:p w:rsidR="00374649" w:rsidRPr="00374649" w:rsidRDefault="00374649" w:rsidP="00374649">
            <w:pPr>
              <w:spacing w:before="40" w:after="40"/>
              <w:jc w:val="center"/>
              <w:rPr>
                <w:rFonts w:asciiTheme="minorHAnsi" w:hAnsiTheme="minorHAnsi"/>
                <w:sz w:val="18"/>
                <w:szCs w:val="18"/>
              </w:rPr>
            </w:pPr>
            <w:r w:rsidRPr="00374649">
              <w:rPr>
                <w:rFonts w:asciiTheme="minorHAnsi" w:hAnsiTheme="minorHAnsi"/>
                <w:sz w:val="18"/>
                <w:szCs w:val="18"/>
              </w:rPr>
              <w:sym w:font="Wingdings" w:char="F0FC"/>
            </w:r>
          </w:p>
        </w:tc>
        <w:tc>
          <w:tcPr>
            <w:tcW w:w="6521" w:type="dxa"/>
            <w:vMerge w:val="restart"/>
            <w:shd w:val="clear" w:color="auto" w:fill="FFFFFF" w:themeFill="background1"/>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ITU maintains a yearly declaration of potential conflicts of interest related to finance or procurement issues according to ethical standards.</w:t>
            </w:r>
          </w:p>
        </w:tc>
      </w:tr>
      <w:tr w:rsidR="00374649" w:rsidRPr="00374649" w:rsidTr="005774D9">
        <w:tc>
          <w:tcPr>
            <w:tcW w:w="2977" w:type="dxa"/>
            <w:vMerge/>
            <w:shd w:val="clear" w:color="auto" w:fill="FFFFFF" w:themeFill="background1"/>
          </w:tcPr>
          <w:p w:rsidR="00374649" w:rsidRPr="00374649" w:rsidRDefault="00374649" w:rsidP="00374649">
            <w:pPr>
              <w:spacing w:before="40" w:after="40"/>
              <w:rPr>
                <w:rFonts w:asciiTheme="minorHAnsi" w:hAnsiTheme="minorHAnsi"/>
                <w:sz w:val="18"/>
                <w:szCs w:val="18"/>
              </w:rPr>
            </w:pPr>
          </w:p>
        </w:tc>
        <w:tc>
          <w:tcPr>
            <w:tcW w:w="3969" w:type="dxa"/>
            <w:shd w:val="clear" w:color="auto" w:fill="FFFFFF" w:themeFill="background1"/>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Financial disclosure statements</w:t>
            </w:r>
          </w:p>
        </w:tc>
        <w:tc>
          <w:tcPr>
            <w:tcW w:w="1134" w:type="dxa"/>
            <w:shd w:val="clear" w:color="auto" w:fill="FFFFFF" w:themeFill="background1"/>
          </w:tcPr>
          <w:p w:rsidR="00374649" w:rsidRPr="00374649" w:rsidRDefault="00374649" w:rsidP="00374649">
            <w:pPr>
              <w:spacing w:before="40" w:after="40"/>
              <w:jc w:val="center"/>
              <w:rPr>
                <w:rFonts w:asciiTheme="minorHAnsi" w:hAnsiTheme="minorHAnsi"/>
                <w:sz w:val="18"/>
                <w:szCs w:val="18"/>
              </w:rPr>
            </w:pPr>
            <w:r w:rsidRPr="00374649">
              <w:rPr>
                <w:rFonts w:asciiTheme="minorHAnsi" w:hAnsiTheme="minorHAnsi"/>
                <w:sz w:val="18"/>
                <w:szCs w:val="18"/>
              </w:rPr>
              <w:sym w:font="Wingdings" w:char="F0FC"/>
            </w:r>
          </w:p>
        </w:tc>
        <w:tc>
          <w:tcPr>
            <w:tcW w:w="6521" w:type="dxa"/>
            <w:vMerge/>
            <w:shd w:val="clear" w:color="auto" w:fill="FFFFFF" w:themeFill="background1"/>
          </w:tcPr>
          <w:p w:rsidR="00374649" w:rsidRPr="00374649" w:rsidRDefault="00374649" w:rsidP="00374649">
            <w:pPr>
              <w:spacing w:before="40" w:after="40"/>
              <w:rPr>
                <w:rFonts w:asciiTheme="minorHAnsi" w:hAnsiTheme="minorHAnsi"/>
                <w:sz w:val="18"/>
                <w:szCs w:val="18"/>
              </w:rPr>
            </w:pPr>
          </w:p>
        </w:tc>
      </w:tr>
      <w:tr w:rsidR="00374649" w:rsidRPr="00374649" w:rsidTr="005774D9">
        <w:tc>
          <w:tcPr>
            <w:tcW w:w="2977" w:type="dxa"/>
            <w:vMerge/>
            <w:shd w:val="clear" w:color="auto" w:fill="FFFFFF" w:themeFill="background1"/>
          </w:tcPr>
          <w:p w:rsidR="00374649" w:rsidRPr="00374649" w:rsidRDefault="00374649" w:rsidP="00374649">
            <w:pPr>
              <w:spacing w:before="40" w:after="40"/>
              <w:rPr>
                <w:rFonts w:asciiTheme="minorHAnsi" w:hAnsiTheme="minorHAnsi"/>
                <w:sz w:val="18"/>
                <w:szCs w:val="18"/>
              </w:rPr>
            </w:pPr>
          </w:p>
        </w:tc>
        <w:tc>
          <w:tcPr>
            <w:tcW w:w="3969" w:type="dxa"/>
            <w:shd w:val="clear" w:color="auto" w:fill="FFFFFF" w:themeFill="background1"/>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Anti-fraud policies</w:t>
            </w:r>
          </w:p>
        </w:tc>
        <w:tc>
          <w:tcPr>
            <w:tcW w:w="1134" w:type="dxa"/>
            <w:tcBorders>
              <w:bottom w:val="single" w:sz="4" w:space="0" w:color="auto"/>
            </w:tcBorders>
            <w:shd w:val="clear" w:color="auto" w:fill="auto"/>
          </w:tcPr>
          <w:p w:rsidR="00374649" w:rsidRPr="00374649" w:rsidRDefault="00374649" w:rsidP="00374649">
            <w:pPr>
              <w:spacing w:before="40" w:after="40"/>
              <w:jc w:val="center"/>
              <w:rPr>
                <w:rFonts w:asciiTheme="minorHAnsi" w:hAnsiTheme="minorHAnsi"/>
                <w:sz w:val="18"/>
                <w:szCs w:val="18"/>
              </w:rPr>
            </w:pPr>
            <w:r w:rsidRPr="00374649">
              <w:rPr>
                <w:rFonts w:asciiTheme="minorHAnsi" w:hAnsiTheme="minorHAnsi"/>
                <w:sz w:val="18"/>
                <w:szCs w:val="18"/>
              </w:rPr>
              <w:t>In progress</w:t>
            </w:r>
          </w:p>
        </w:tc>
        <w:tc>
          <w:tcPr>
            <w:tcW w:w="6521" w:type="dxa"/>
            <w:tcBorders>
              <w:bottom w:val="single" w:sz="4" w:space="0" w:color="auto"/>
            </w:tcBorders>
            <w:shd w:val="clear" w:color="auto" w:fill="auto"/>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Finalized, subject to final approval.</w:t>
            </w:r>
          </w:p>
        </w:tc>
      </w:tr>
      <w:tr w:rsidR="00374649" w:rsidRPr="00374649" w:rsidTr="005774D9">
        <w:tc>
          <w:tcPr>
            <w:tcW w:w="2977" w:type="dxa"/>
            <w:shd w:val="clear" w:color="auto" w:fill="FFFFFF" w:themeFill="background1"/>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12. Managers attest to compliance with internal controls within the framework of their delegation of authority.</w:t>
            </w:r>
          </w:p>
        </w:tc>
        <w:tc>
          <w:tcPr>
            <w:tcW w:w="3969" w:type="dxa"/>
            <w:shd w:val="clear" w:color="auto" w:fill="FFFFFF" w:themeFill="background1"/>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Letter/form of representation/assurance/attestation submitted annually to the executive heads</w:t>
            </w:r>
          </w:p>
        </w:tc>
        <w:tc>
          <w:tcPr>
            <w:tcW w:w="1134" w:type="dxa"/>
            <w:shd w:val="clear" w:color="auto" w:fill="FFFFFF" w:themeFill="background1"/>
          </w:tcPr>
          <w:p w:rsidR="00374649" w:rsidRPr="00374649" w:rsidRDefault="00374649" w:rsidP="00374649">
            <w:pPr>
              <w:spacing w:before="40" w:after="40"/>
              <w:jc w:val="center"/>
              <w:rPr>
                <w:rFonts w:asciiTheme="minorHAnsi" w:hAnsiTheme="minorHAnsi"/>
                <w:sz w:val="18"/>
                <w:szCs w:val="18"/>
              </w:rPr>
            </w:pPr>
            <w:r w:rsidRPr="00374649">
              <w:rPr>
                <w:rFonts w:asciiTheme="minorHAnsi" w:hAnsiTheme="minorHAnsi"/>
                <w:sz w:val="18"/>
                <w:szCs w:val="18"/>
              </w:rPr>
              <w:sym w:font="Wingdings" w:char="F0FC"/>
            </w:r>
          </w:p>
        </w:tc>
        <w:tc>
          <w:tcPr>
            <w:tcW w:w="6521" w:type="dxa"/>
            <w:shd w:val="clear" w:color="auto" w:fill="FFFFFF" w:themeFill="background1"/>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 xml:space="preserve">Each Elected official, Heads of Department and Head of Unit of GS are required to submit an Internal Letter of Representation, which constitutes a written confirmation that they have duly exercised delegated financial authorities and responsibilities. </w:t>
            </w:r>
          </w:p>
        </w:tc>
      </w:tr>
      <w:tr w:rsidR="00374649" w:rsidRPr="00374649" w:rsidTr="005774D9">
        <w:tc>
          <w:tcPr>
            <w:tcW w:w="2977" w:type="dxa"/>
            <w:vMerge w:val="restart"/>
            <w:shd w:val="clear" w:color="auto" w:fill="FFFFFF" w:themeFill="background1"/>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13. Staff at all levels have access to relevant, reliable information that supports decision-making in line with their delegated authorities and the organization has an internal and external communication system.</w:t>
            </w:r>
          </w:p>
        </w:tc>
        <w:tc>
          <w:tcPr>
            <w:tcW w:w="3969" w:type="dxa"/>
            <w:shd w:val="clear" w:color="auto" w:fill="FFFFFF" w:themeFill="background1"/>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ERP system or similar in place to capture and document relevant information</w:t>
            </w:r>
          </w:p>
        </w:tc>
        <w:tc>
          <w:tcPr>
            <w:tcW w:w="1134" w:type="dxa"/>
            <w:shd w:val="clear" w:color="auto" w:fill="auto"/>
            <w:vAlign w:val="center"/>
          </w:tcPr>
          <w:p w:rsidR="00374649" w:rsidRPr="00374649" w:rsidRDefault="00374649" w:rsidP="00374649">
            <w:pPr>
              <w:spacing w:before="40" w:after="40"/>
              <w:jc w:val="center"/>
              <w:rPr>
                <w:rFonts w:asciiTheme="minorHAnsi" w:hAnsiTheme="minorHAnsi"/>
                <w:sz w:val="18"/>
                <w:szCs w:val="18"/>
              </w:rPr>
            </w:pPr>
            <w:r w:rsidRPr="00374649">
              <w:rPr>
                <w:rFonts w:asciiTheme="minorHAnsi" w:hAnsiTheme="minorHAnsi"/>
                <w:sz w:val="18"/>
                <w:szCs w:val="18"/>
              </w:rPr>
              <w:t>In progress</w:t>
            </w:r>
          </w:p>
        </w:tc>
        <w:tc>
          <w:tcPr>
            <w:tcW w:w="6521" w:type="dxa"/>
            <w:vMerge w:val="restart"/>
            <w:shd w:val="clear" w:color="auto" w:fill="auto"/>
            <w:vAlign w:val="center"/>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 xml:space="preserve">ITU manages information and knowledge through standardized information management. </w:t>
            </w:r>
            <w:proofErr w:type="gramStart"/>
            <w:r w:rsidRPr="00374649">
              <w:rPr>
                <w:rFonts w:asciiTheme="minorHAnsi" w:hAnsiTheme="minorHAnsi"/>
                <w:sz w:val="18"/>
                <w:szCs w:val="18"/>
              </w:rPr>
              <w:t>i.e</w:t>
            </w:r>
            <w:proofErr w:type="gramEnd"/>
            <w:r w:rsidRPr="00374649">
              <w:rPr>
                <w:rFonts w:asciiTheme="minorHAnsi" w:hAnsiTheme="minorHAnsi"/>
                <w:sz w:val="18"/>
                <w:szCs w:val="18"/>
              </w:rPr>
              <w:t>. ERP, SharePoint, File repositories, BI tools, which provides staff access to information based on role and function.</w:t>
            </w:r>
          </w:p>
        </w:tc>
      </w:tr>
      <w:tr w:rsidR="00374649" w:rsidRPr="00374649" w:rsidTr="005774D9">
        <w:tc>
          <w:tcPr>
            <w:tcW w:w="2977" w:type="dxa"/>
            <w:vMerge/>
            <w:shd w:val="clear" w:color="auto" w:fill="FFFFFF" w:themeFill="background1"/>
          </w:tcPr>
          <w:p w:rsidR="00374649" w:rsidRPr="00374649" w:rsidRDefault="00374649" w:rsidP="00374649">
            <w:pPr>
              <w:spacing w:before="40" w:after="40"/>
              <w:rPr>
                <w:rFonts w:asciiTheme="minorHAnsi" w:hAnsiTheme="minorHAnsi"/>
                <w:sz w:val="18"/>
                <w:szCs w:val="18"/>
              </w:rPr>
            </w:pPr>
          </w:p>
        </w:tc>
        <w:tc>
          <w:tcPr>
            <w:tcW w:w="3969" w:type="dxa"/>
            <w:shd w:val="clear" w:color="auto" w:fill="FFFFFF" w:themeFill="background1"/>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Internal communication channels are fully exploited</w:t>
            </w:r>
          </w:p>
        </w:tc>
        <w:tc>
          <w:tcPr>
            <w:tcW w:w="1134" w:type="dxa"/>
            <w:shd w:val="clear" w:color="auto" w:fill="auto"/>
            <w:vAlign w:val="center"/>
          </w:tcPr>
          <w:p w:rsidR="00374649" w:rsidRPr="00374649" w:rsidRDefault="00374649" w:rsidP="00374649">
            <w:pPr>
              <w:spacing w:before="40" w:after="40"/>
              <w:jc w:val="center"/>
              <w:rPr>
                <w:rFonts w:asciiTheme="minorHAnsi" w:hAnsiTheme="minorHAnsi"/>
                <w:sz w:val="18"/>
                <w:szCs w:val="18"/>
              </w:rPr>
            </w:pPr>
            <w:r w:rsidRPr="00374649">
              <w:rPr>
                <w:rFonts w:asciiTheme="minorHAnsi" w:hAnsiTheme="minorHAnsi"/>
                <w:sz w:val="18"/>
                <w:szCs w:val="18"/>
              </w:rPr>
              <w:t>In progress</w:t>
            </w:r>
          </w:p>
        </w:tc>
        <w:tc>
          <w:tcPr>
            <w:tcW w:w="6521" w:type="dxa"/>
            <w:vMerge/>
            <w:shd w:val="clear" w:color="auto" w:fill="FFFF00"/>
          </w:tcPr>
          <w:p w:rsidR="00374649" w:rsidRPr="00374649" w:rsidRDefault="00374649" w:rsidP="00374649">
            <w:pPr>
              <w:spacing w:before="40" w:after="40"/>
              <w:rPr>
                <w:rFonts w:asciiTheme="minorHAnsi" w:hAnsiTheme="minorHAnsi"/>
                <w:sz w:val="18"/>
                <w:szCs w:val="18"/>
              </w:rPr>
            </w:pPr>
          </w:p>
        </w:tc>
      </w:tr>
      <w:tr w:rsidR="00374649" w:rsidRPr="00374649" w:rsidTr="005774D9">
        <w:tc>
          <w:tcPr>
            <w:tcW w:w="2977" w:type="dxa"/>
            <w:vMerge/>
            <w:shd w:val="clear" w:color="auto" w:fill="FFFFFF" w:themeFill="background1"/>
          </w:tcPr>
          <w:p w:rsidR="00374649" w:rsidRPr="00374649" w:rsidRDefault="00374649" w:rsidP="00374649">
            <w:pPr>
              <w:spacing w:before="40" w:after="40"/>
              <w:rPr>
                <w:rFonts w:asciiTheme="minorHAnsi" w:hAnsiTheme="minorHAnsi"/>
                <w:sz w:val="18"/>
                <w:szCs w:val="18"/>
              </w:rPr>
            </w:pPr>
          </w:p>
        </w:tc>
        <w:tc>
          <w:tcPr>
            <w:tcW w:w="3969" w:type="dxa"/>
            <w:shd w:val="clear" w:color="auto" w:fill="FFFFFF" w:themeFill="background1"/>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Information disclosure policy in place</w:t>
            </w:r>
          </w:p>
        </w:tc>
        <w:tc>
          <w:tcPr>
            <w:tcW w:w="1134" w:type="dxa"/>
            <w:shd w:val="clear" w:color="auto" w:fill="auto"/>
            <w:vAlign w:val="center"/>
          </w:tcPr>
          <w:p w:rsidR="00374649" w:rsidRPr="00374649" w:rsidRDefault="00374649" w:rsidP="00374649">
            <w:pPr>
              <w:spacing w:before="40" w:after="40"/>
              <w:jc w:val="center"/>
              <w:rPr>
                <w:rFonts w:asciiTheme="minorHAnsi" w:hAnsiTheme="minorHAnsi"/>
                <w:sz w:val="18"/>
                <w:szCs w:val="18"/>
              </w:rPr>
            </w:pPr>
            <w:r w:rsidRPr="00374649">
              <w:rPr>
                <w:rFonts w:asciiTheme="minorHAnsi" w:hAnsiTheme="minorHAnsi"/>
                <w:sz w:val="18"/>
                <w:szCs w:val="18"/>
              </w:rPr>
              <w:t>In progress</w:t>
            </w:r>
          </w:p>
        </w:tc>
        <w:tc>
          <w:tcPr>
            <w:tcW w:w="6521" w:type="dxa"/>
            <w:vMerge/>
            <w:shd w:val="clear" w:color="auto" w:fill="FFFF00"/>
          </w:tcPr>
          <w:p w:rsidR="00374649" w:rsidRPr="00374649" w:rsidRDefault="00374649" w:rsidP="00374649">
            <w:pPr>
              <w:spacing w:before="40" w:after="40"/>
              <w:rPr>
                <w:rFonts w:asciiTheme="minorHAnsi" w:hAnsiTheme="minorHAnsi"/>
                <w:sz w:val="18"/>
                <w:szCs w:val="18"/>
              </w:rPr>
            </w:pPr>
          </w:p>
        </w:tc>
      </w:tr>
      <w:tr w:rsidR="00374649" w:rsidRPr="00374649" w:rsidTr="005774D9">
        <w:tc>
          <w:tcPr>
            <w:tcW w:w="2977" w:type="dxa"/>
            <w:vMerge w:val="restart"/>
            <w:shd w:val="clear" w:color="auto" w:fill="FFFFFF" w:themeFill="background1"/>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14. Executive heads, senior managers and staff members’ performances are monitored and corrective action taken, as necessary.</w:t>
            </w:r>
          </w:p>
        </w:tc>
        <w:tc>
          <w:tcPr>
            <w:tcW w:w="3969" w:type="dxa"/>
            <w:shd w:val="clear" w:color="auto" w:fill="FFFFFF" w:themeFill="background1"/>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Performance assessments for all staff levels including 360-degree feedback</w:t>
            </w:r>
          </w:p>
        </w:tc>
        <w:tc>
          <w:tcPr>
            <w:tcW w:w="1134" w:type="dxa"/>
            <w:shd w:val="clear" w:color="auto" w:fill="FFFFFF" w:themeFill="background1"/>
            <w:vAlign w:val="center"/>
          </w:tcPr>
          <w:p w:rsidR="00374649" w:rsidRPr="00374649" w:rsidRDefault="00374649" w:rsidP="00374649">
            <w:pPr>
              <w:spacing w:before="40" w:after="40"/>
              <w:jc w:val="center"/>
              <w:rPr>
                <w:rFonts w:asciiTheme="minorHAnsi" w:hAnsiTheme="minorHAnsi"/>
                <w:sz w:val="18"/>
                <w:szCs w:val="18"/>
              </w:rPr>
            </w:pPr>
            <w:r w:rsidRPr="00374649">
              <w:rPr>
                <w:rFonts w:asciiTheme="minorHAnsi" w:hAnsiTheme="minorHAnsi"/>
                <w:sz w:val="18"/>
                <w:szCs w:val="18"/>
              </w:rPr>
              <w:t>In progress</w:t>
            </w:r>
          </w:p>
        </w:tc>
        <w:tc>
          <w:tcPr>
            <w:tcW w:w="6521" w:type="dxa"/>
            <w:shd w:val="clear" w:color="auto" w:fill="auto"/>
            <w:vAlign w:val="center"/>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The new appraisal system does not include a 360-degree feedback.</w:t>
            </w:r>
          </w:p>
        </w:tc>
      </w:tr>
      <w:tr w:rsidR="00374649" w:rsidRPr="00374649" w:rsidTr="005774D9">
        <w:tc>
          <w:tcPr>
            <w:tcW w:w="2977" w:type="dxa"/>
            <w:vMerge/>
            <w:shd w:val="clear" w:color="auto" w:fill="FFFFFF" w:themeFill="background1"/>
          </w:tcPr>
          <w:p w:rsidR="00374649" w:rsidRPr="00374649" w:rsidRDefault="00374649" w:rsidP="00374649">
            <w:pPr>
              <w:spacing w:before="40" w:after="40"/>
              <w:rPr>
                <w:rFonts w:asciiTheme="minorHAnsi" w:hAnsiTheme="minorHAnsi"/>
                <w:sz w:val="18"/>
                <w:szCs w:val="18"/>
              </w:rPr>
            </w:pPr>
          </w:p>
        </w:tc>
        <w:tc>
          <w:tcPr>
            <w:tcW w:w="3969" w:type="dxa"/>
            <w:shd w:val="clear" w:color="auto" w:fill="FFFFFF" w:themeFill="background1"/>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Senior compacts or scorecard-type tools</w:t>
            </w:r>
          </w:p>
        </w:tc>
        <w:tc>
          <w:tcPr>
            <w:tcW w:w="1134" w:type="dxa"/>
            <w:shd w:val="clear" w:color="auto" w:fill="auto"/>
            <w:vAlign w:val="center"/>
          </w:tcPr>
          <w:p w:rsidR="00374649" w:rsidRPr="00374649" w:rsidRDefault="00374649" w:rsidP="00374649">
            <w:pPr>
              <w:spacing w:before="40" w:after="40"/>
              <w:jc w:val="center"/>
              <w:rPr>
                <w:rFonts w:asciiTheme="minorHAnsi" w:hAnsiTheme="minorHAnsi"/>
                <w:sz w:val="18"/>
                <w:szCs w:val="18"/>
              </w:rPr>
            </w:pPr>
            <w:r w:rsidRPr="00374649">
              <w:rPr>
                <w:rFonts w:asciiTheme="minorHAnsi" w:hAnsiTheme="minorHAnsi"/>
                <w:sz w:val="18"/>
                <w:szCs w:val="18"/>
              </w:rPr>
              <w:t>Not applied</w:t>
            </w:r>
          </w:p>
        </w:tc>
        <w:tc>
          <w:tcPr>
            <w:tcW w:w="6521" w:type="dxa"/>
            <w:shd w:val="clear" w:color="auto" w:fill="auto"/>
            <w:vAlign w:val="center"/>
          </w:tcPr>
          <w:p w:rsidR="00374649" w:rsidRPr="00374649" w:rsidRDefault="00374649" w:rsidP="00374649">
            <w:pPr>
              <w:spacing w:before="40" w:after="40"/>
              <w:rPr>
                <w:rFonts w:asciiTheme="minorHAnsi" w:hAnsiTheme="minorHAnsi"/>
                <w:sz w:val="18"/>
                <w:szCs w:val="18"/>
              </w:rPr>
            </w:pPr>
          </w:p>
        </w:tc>
      </w:tr>
      <w:tr w:rsidR="00374649" w:rsidRPr="00374649" w:rsidTr="005774D9">
        <w:tc>
          <w:tcPr>
            <w:tcW w:w="2977" w:type="dxa"/>
            <w:vMerge/>
            <w:shd w:val="clear" w:color="auto" w:fill="FFFFFF" w:themeFill="background1"/>
          </w:tcPr>
          <w:p w:rsidR="00374649" w:rsidRPr="00374649" w:rsidRDefault="00374649" w:rsidP="00374649">
            <w:pPr>
              <w:spacing w:before="40" w:after="40"/>
              <w:rPr>
                <w:rFonts w:asciiTheme="minorHAnsi" w:hAnsiTheme="minorHAnsi"/>
                <w:sz w:val="18"/>
                <w:szCs w:val="18"/>
              </w:rPr>
            </w:pPr>
          </w:p>
        </w:tc>
        <w:tc>
          <w:tcPr>
            <w:tcW w:w="3969" w:type="dxa"/>
            <w:shd w:val="clear" w:color="auto" w:fill="FFFFFF" w:themeFill="background1"/>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Corrective measures for non-performing assets</w:t>
            </w:r>
          </w:p>
        </w:tc>
        <w:tc>
          <w:tcPr>
            <w:tcW w:w="1134" w:type="dxa"/>
            <w:shd w:val="clear" w:color="auto" w:fill="auto"/>
            <w:vAlign w:val="center"/>
          </w:tcPr>
          <w:p w:rsidR="00374649" w:rsidRPr="00374649" w:rsidRDefault="00374649" w:rsidP="00374649">
            <w:pPr>
              <w:spacing w:before="40" w:after="40"/>
              <w:jc w:val="center"/>
              <w:rPr>
                <w:rFonts w:asciiTheme="minorHAnsi" w:hAnsiTheme="minorHAnsi"/>
                <w:sz w:val="18"/>
                <w:szCs w:val="18"/>
              </w:rPr>
            </w:pPr>
            <w:r w:rsidRPr="00374649">
              <w:rPr>
                <w:rFonts w:asciiTheme="minorHAnsi" w:hAnsiTheme="minorHAnsi"/>
                <w:sz w:val="18"/>
                <w:szCs w:val="18"/>
              </w:rPr>
              <w:sym w:font="Wingdings" w:char="F0FC"/>
            </w:r>
          </w:p>
        </w:tc>
        <w:tc>
          <w:tcPr>
            <w:tcW w:w="6521" w:type="dxa"/>
            <w:shd w:val="clear" w:color="auto" w:fill="auto"/>
            <w:vAlign w:val="center"/>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 xml:space="preserve">Staff members are invited to take action through the establishment of training plans for redressing the situation in collaboration with their supervisors. </w:t>
            </w:r>
          </w:p>
        </w:tc>
      </w:tr>
      <w:tr w:rsidR="00374649" w:rsidRPr="00374649" w:rsidTr="005774D9">
        <w:tc>
          <w:tcPr>
            <w:tcW w:w="2977" w:type="dxa"/>
            <w:vMerge w:val="restart"/>
            <w:shd w:val="clear" w:color="auto" w:fill="FFFFFF" w:themeFill="background1"/>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15. Recommendations of oversight bodies/internal audits and evaluations are tracked, implemented, and if not, clear justification should be provided.</w:t>
            </w:r>
          </w:p>
        </w:tc>
        <w:tc>
          <w:tcPr>
            <w:tcW w:w="3969" w:type="dxa"/>
            <w:shd w:val="clear" w:color="auto" w:fill="FFFFFF" w:themeFill="background1"/>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Information disclosure policy</w:t>
            </w:r>
          </w:p>
        </w:tc>
        <w:tc>
          <w:tcPr>
            <w:tcW w:w="1134" w:type="dxa"/>
            <w:shd w:val="clear" w:color="auto" w:fill="auto"/>
            <w:vAlign w:val="center"/>
          </w:tcPr>
          <w:p w:rsidR="00374649" w:rsidRPr="00374649" w:rsidRDefault="00374649" w:rsidP="00374649">
            <w:pPr>
              <w:spacing w:before="40" w:after="40"/>
              <w:jc w:val="center"/>
              <w:rPr>
                <w:rFonts w:asciiTheme="minorHAnsi" w:hAnsiTheme="minorHAnsi"/>
                <w:sz w:val="18"/>
                <w:szCs w:val="18"/>
              </w:rPr>
            </w:pPr>
            <w:r w:rsidRPr="00374649">
              <w:rPr>
                <w:rFonts w:asciiTheme="minorHAnsi" w:hAnsiTheme="minorHAnsi"/>
                <w:sz w:val="18"/>
                <w:szCs w:val="18"/>
              </w:rPr>
              <w:t>In progress</w:t>
            </w:r>
          </w:p>
        </w:tc>
        <w:tc>
          <w:tcPr>
            <w:tcW w:w="6521" w:type="dxa"/>
            <w:shd w:val="clear" w:color="auto" w:fill="auto"/>
          </w:tcPr>
          <w:p w:rsidR="00374649" w:rsidRPr="00374649" w:rsidRDefault="00374649" w:rsidP="00374649">
            <w:pPr>
              <w:spacing w:before="40" w:after="40"/>
              <w:rPr>
                <w:rFonts w:asciiTheme="minorHAnsi" w:eastAsia="Times New Roman" w:hAnsiTheme="minorHAnsi"/>
                <w:sz w:val="18"/>
                <w:szCs w:val="18"/>
              </w:rPr>
            </w:pPr>
            <w:r w:rsidRPr="00374649">
              <w:rPr>
                <w:rFonts w:asciiTheme="minorHAnsi" w:hAnsiTheme="minorHAnsi"/>
                <w:sz w:val="18"/>
                <w:szCs w:val="18"/>
              </w:rPr>
              <w:t xml:space="preserve">ITU Council adopted at its 2016 session the </w:t>
            </w:r>
            <w:r w:rsidRPr="00374649">
              <w:rPr>
                <w:rFonts w:asciiTheme="minorHAnsi" w:eastAsia="Times New Roman" w:hAnsiTheme="minorHAnsi"/>
                <w:sz w:val="18"/>
                <w:szCs w:val="18"/>
              </w:rPr>
              <w:t>ITU’s information/document access policy which “… ensures access by the public to information held, managed or generated by ITU”; This policy entered into force on 1 January 2017 on a provisional basis.</w:t>
            </w:r>
          </w:p>
        </w:tc>
      </w:tr>
      <w:tr w:rsidR="00374649" w:rsidRPr="00374649" w:rsidTr="005774D9">
        <w:tc>
          <w:tcPr>
            <w:tcW w:w="2977" w:type="dxa"/>
            <w:vMerge/>
            <w:shd w:val="clear" w:color="auto" w:fill="FFFFFF" w:themeFill="background1"/>
          </w:tcPr>
          <w:p w:rsidR="00374649" w:rsidRPr="00374649" w:rsidRDefault="00374649" w:rsidP="00374649">
            <w:pPr>
              <w:spacing w:before="40" w:after="40"/>
              <w:rPr>
                <w:rFonts w:asciiTheme="minorHAnsi" w:hAnsiTheme="minorHAnsi"/>
                <w:sz w:val="18"/>
                <w:szCs w:val="18"/>
              </w:rPr>
            </w:pPr>
          </w:p>
        </w:tc>
        <w:tc>
          <w:tcPr>
            <w:tcW w:w="3969" w:type="dxa"/>
            <w:shd w:val="clear" w:color="auto" w:fill="FFFFFF" w:themeFill="background1"/>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Reporting on external and internal oversight recommendations</w:t>
            </w:r>
          </w:p>
        </w:tc>
        <w:tc>
          <w:tcPr>
            <w:tcW w:w="1134" w:type="dxa"/>
            <w:shd w:val="clear" w:color="auto" w:fill="auto"/>
            <w:vAlign w:val="center"/>
          </w:tcPr>
          <w:p w:rsidR="00374649" w:rsidRPr="00374649" w:rsidRDefault="00374649" w:rsidP="00374649">
            <w:pPr>
              <w:spacing w:before="40" w:after="40"/>
              <w:jc w:val="center"/>
              <w:rPr>
                <w:rFonts w:asciiTheme="minorHAnsi" w:hAnsiTheme="minorHAnsi"/>
                <w:sz w:val="18"/>
                <w:szCs w:val="18"/>
              </w:rPr>
            </w:pPr>
            <w:r w:rsidRPr="00374649">
              <w:rPr>
                <w:rFonts w:asciiTheme="minorHAnsi" w:hAnsiTheme="minorHAnsi"/>
                <w:sz w:val="18"/>
                <w:szCs w:val="18"/>
              </w:rPr>
              <w:sym w:font="Wingdings" w:char="F0FC"/>
            </w:r>
          </w:p>
        </w:tc>
        <w:tc>
          <w:tcPr>
            <w:tcW w:w="6521" w:type="dxa"/>
            <w:shd w:val="clear" w:color="auto" w:fill="auto"/>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The SG and IMAC receive regular updates on the implementation of internal and external audit recommendations.</w:t>
            </w:r>
          </w:p>
        </w:tc>
      </w:tr>
      <w:tr w:rsidR="00374649" w:rsidRPr="00374649" w:rsidTr="005774D9">
        <w:tc>
          <w:tcPr>
            <w:tcW w:w="2977" w:type="dxa"/>
            <w:vMerge/>
            <w:shd w:val="clear" w:color="auto" w:fill="FFFFFF" w:themeFill="background1"/>
          </w:tcPr>
          <w:p w:rsidR="00374649" w:rsidRPr="00374649" w:rsidRDefault="00374649" w:rsidP="00374649">
            <w:pPr>
              <w:spacing w:before="40" w:after="40"/>
              <w:rPr>
                <w:rFonts w:asciiTheme="minorHAnsi" w:hAnsiTheme="minorHAnsi"/>
                <w:sz w:val="18"/>
                <w:szCs w:val="18"/>
              </w:rPr>
            </w:pPr>
          </w:p>
        </w:tc>
        <w:tc>
          <w:tcPr>
            <w:tcW w:w="3969" w:type="dxa"/>
            <w:shd w:val="clear" w:color="auto" w:fill="FFFFFF" w:themeFill="background1"/>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Tracking recommendations of internal and external audit, oversight bodies and internal, independent and self-evaluations</w:t>
            </w:r>
          </w:p>
        </w:tc>
        <w:tc>
          <w:tcPr>
            <w:tcW w:w="1134" w:type="dxa"/>
            <w:shd w:val="clear" w:color="auto" w:fill="auto"/>
            <w:vAlign w:val="center"/>
          </w:tcPr>
          <w:p w:rsidR="00374649" w:rsidRPr="00374649" w:rsidRDefault="00374649" w:rsidP="00374649">
            <w:pPr>
              <w:spacing w:before="40" w:after="40"/>
              <w:jc w:val="center"/>
              <w:rPr>
                <w:rFonts w:asciiTheme="minorHAnsi" w:hAnsiTheme="minorHAnsi"/>
                <w:sz w:val="18"/>
                <w:szCs w:val="18"/>
              </w:rPr>
            </w:pPr>
            <w:r w:rsidRPr="00374649">
              <w:rPr>
                <w:rFonts w:asciiTheme="minorHAnsi" w:hAnsiTheme="minorHAnsi"/>
                <w:sz w:val="18"/>
                <w:szCs w:val="18"/>
              </w:rPr>
              <w:sym w:font="Wingdings" w:char="F0FC"/>
            </w:r>
          </w:p>
        </w:tc>
        <w:tc>
          <w:tcPr>
            <w:tcW w:w="6521" w:type="dxa"/>
            <w:shd w:val="clear" w:color="auto" w:fill="auto"/>
          </w:tcPr>
          <w:p w:rsidR="00374649" w:rsidRPr="00374649" w:rsidRDefault="00374649" w:rsidP="00374649">
            <w:pPr>
              <w:spacing w:before="40" w:after="40"/>
              <w:rPr>
                <w:rFonts w:asciiTheme="minorHAnsi" w:hAnsiTheme="minorHAnsi"/>
                <w:sz w:val="18"/>
                <w:szCs w:val="18"/>
              </w:rPr>
            </w:pPr>
            <w:r w:rsidRPr="00374649">
              <w:rPr>
                <w:rFonts w:asciiTheme="minorHAnsi" w:hAnsiTheme="minorHAnsi"/>
                <w:sz w:val="18"/>
                <w:szCs w:val="18"/>
              </w:rPr>
              <w:t xml:space="preserve">CWG-FHR is following and overseeing all the recommendations from Ext. Auditors and IMAC. </w:t>
            </w:r>
            <w:r w:rsidRPr="00374649">
              <w:rPr>
                <w:rFonts w:asciiTheme="minorHAnsi" w:eastAsia="Times New Roman" w:hAnsiTheme="minorHAnsi"/>
                <w:sz w:val="18"/>
                <w:szCs w:val="18"/>
              </w:rPr>
              <w:t>Recommendations of IMAC are being tracked and implemented, and results are reported in detail to CWG-FHR and Council.</w:t>
            </w:r>
          </w:p>
        </w:tc>
      </w:tr>
    </w:tbl>
    <w:p w:rsidR="00374649" w:rsidRPr="00374649" w:rsidRDefault="00374649" w:rsidP="00374649">
      <w:pPr>
        <w:spacing w:after="120"/>
        <w:rPr>
          <w:rFonts w:asciiTheme="minorHAnsi" w:hAnsiTheme="minorHAnsi"/>
          <w:b/>
          <w:bCs/>
        </w:rPr>
      </w:pPr>
    </w:p>
    <w:p w:rsidR="00374649" w:rsidRPr="00374649" w:rsidRDefault="00374649" w:rsidP="00374649">
      <w:pPr>
        <w:spacing w:after="120"/>
        <w:rPr>
          <w:rFonts w:asciiTheme="minorHAnsi" w:hAnsiTheme="minorHAnsi"/>
          <w:b/>
          <w:bCs/>
        </w:rPr>
      </w:pPr>
      <w:r w:rsidRPr="00374649">
        <w:rPr>
          <w:rFonts w:asciiTheme="minorHAnsi" w:hAnsiTheme="minorHAnsi"/>
          <w:b/>
          <w:bCs/>
        </w:rPr>
        <w:br w:type="column"/>
        <w:t>Pillar 3</w:t>
      </w:r>
    </w:p>
    <w:tbl>
      <w:tblPr>
        <w:tblStyle w:val="TableGrid"/>
        <w:tblW w:w="14459" w:type="dxa"/>
        <w:tblInd w:w="-5" w:type="dxa"/>
        <w:tblLayout w:type="fixed"/>
        <w:tblLook w:val="04A0" w:firstRow="1" w:lastRow="0" w:firstColumn="1" w:lastColumn="0" w:noHBand="0" w:noVBand="1"/>
      </w:tblPr>
      <w:tblGrid>
        <w:gridCol w:w="2694"/>
        <w:gridCol w:w="4252"/>
        <w:gridCol w:w="1134"/>
        <w:gridCol w:w="6379"/>
      </w:tblGrid>
      <w:tr w:rsidR="00374649" w:rsidRPr="00374649" w:rsidTr="005774D9">
        <w:tc>
          <w:tcPr>
            <w:tcW w:w="2694" w:type="dxa"/>
            <w:shd w:val="clear" w:color="auto" w:fill="B8CCE4" w:themeFill="accent1" w:themeFillTint="66"/>
          </w:tcPr>
          <w:p w:rsidR="00374649" w:rsidRPr="00374649" w:rsidRDefault="00374649" w:rsidP="005774D9">
            <w:pPr>
              <w:jc w:val="center"/>
              <w:rPr>
                <w:rFonts w:asciiTheme="minorHAnsi" w:hAnsiTheme="minorHAnsi"/>
                <w:sz w:val="18"/>
                <w:szCs w:val="18"/>
              </w:rPr>
            </w:pPr>
            <w:r w:rsidRPr="00374649">
              <w:rPr>
                <w:rFonts w:asciiTheme="minorHAnsi" w:hAnsiTheme="minorHAnsi"/>
                <w:b/>
                <w:bCs/>
              </w:rPr>
              <w:t>Benchmark</w:t>
            </w:r>
          </w:p>
        </w:tc>
        <w:tc>
          <w:tcPr>
            <w:tcW w:w="4252" w:type="dxa"/>
            <w:shd w:val="clear" w:color="auto" w:fill="B8CCE4" w:themeFill="accent1" w:themeFillTint="66"/>
          </w:tcPr>
          <w:p w:rsidR="00374649" w:rsidRPr="00374649" w:rsidRDefault="00374649" w:rsidP="005774D9">
            <w:pPr>
              <w:jc w:val="center"/>
              <w:rPr>
                <w:rFonts w:asciiTheme="minorHAnsi" w:hAnsiTheme="minorHAnsi"/>
                <w:sz w:val="18"/>
                <w:szCs w:val="18"/>
              </w:rPr>
            </w:pPr>
            <w:r w:rsidRPr="00374649">
              <w:rPr>
                <w:rFonts w:asciiTheme="minorHAnsi" w:hAnsiTheme="minorHAnsi"/>
                <w:b/>
                <w:bCs/>
              </w:rPr>
              <w:t>Tools</w:t>
            </w:r>
          </w:p>
        </w:tc>
        <w:tc>
          <w:tcPr>
            <w:tcW w:w="1134" w:type="dxa"/>
            <w:shd w:val="clear" w:color="auto" w:fill="B8CCE4" w:themeFill="accent1" w:themeFillTint="66"/>
          </w:tcPr>
          <w:p w:rsidR="00374649" w:rsidRPr="00374649" w:rsidRDefault="00374649" w:rsidP="005774D9">
            <w:pPr>
              <w:jc w:val="center"/>
              <w:rPr>
                <w:rFonts w:asciiTheme="minorHAnsi" w:hAnsiTheme="minorHAnsi"/>
                <w:sz w:val="18"/>
                <w:szCs w:val="18"/>
              </w:rPr>
            </w:pPr>
            <w:r w:rsidRPr="00374649">
              <w:rPr>
                <w:rFonts w:asciiTheme="minorHAnsi" w:hAnsiTheme="minorHAnsi"/>
                <w:b/>
                <w:bCs/>
              </w:rPr>
              <w:t>Status</w:t>
            </w:r>
          </w:p>
        </w:tc>
        <w:tc>
          <w:tcPr>
            <w:tcW w:w="6379" w:type="dxa"/>
            <w:shd w:val="clear" w:color="auto" w:fill="B8CCE4" w:themeFill="accent1" w:themeFillTint="66"/>
          </w:tcPr>
          <w:p w:rsidR="00374649" w:rsidRPr="00374649" w:rsidRDefault="00374649" w:rsidP="005774D9">
            <w:pPr>
              <w:jc w:val="center"/>
              <w:rPr>
                <w:rFonts w:asciiTheme="minorHAnsi" w:hAnsiTheme="minorHAnsi"/>
                <w:sz w:val="18"/>
                <w:szCs w:val="18"/>
              </w:rPr>
            </w:pPr>
            <w:r w:rsidRPr="00374649">
              <w:rPr>
                <w:rFonts w:asciiTheme="minorHAnsi" w:hAnsiTheme="minorHAnsi"/>
                <w:b/>
                <w:bCs/>
              </w:rPr>
              <w:t>Comment</w:t>
            </w:r>
          </w:p>
        </w:tc>
      </w:tr>
      <w:tr w:rsidR="00374649" w:rsidRPr="00374649" w:rsidTr="005774D9">
        <w:tc>
          <w:tcPr>
            <w:tcW w:w="2694" w:type="dxa"/>
            <w:vMerge w:val="restart"/>
            <w:shd w:val="clear" w:color="auto" w:fill="FFFFFF" w:themeFill="background1"/>
          </w:tcPr>
          <w:p w:rsidR="00374649" w:rsidRPr="00374649" w:rsidRDefault="00374649" w:rsidP="00AB365A">
            <w:pPr>
              <w:spacing w:before="40" w:after="40"/>
              <w:rPr>
                <w:rFonts w:asciiTheme="minorHAnsi" w:hAnsiTheme="minorHAnsi"/>
                <w:sz w:val="18"/>
                <w:szCs w:val="18"/>
              </w:rPr>
            </w:pPr>
            <w:r w:rsidRPr="00374649">
              <w:rPr>
                <w:rFonts w:asciiTheme="minorHAnsi" w:hAnsiTheme="minorHAnsi"/>
                <w:sz w:val="18"/>
                <w:szCs w:val="18"/>
              </w:rPr>
              <w:t>16. Staff members have recourse to non-formal complaints mechanisms.</w:t>
            </w:r>
          </w:p>
        </w:tc>
        <w:tc>
          <w:tcPr>
            <w:tcW w:w="4252" w:type="dxa"/>
            <w:shd w:val="clear" w:color="auto" w:fill="FFFFFF" w:themeFill="background1"/>
          </w:tcPr>
          <w:p w:rsidR="00374649" w:rsidRPr="00374649" w:rsidRDefault="00374649" w:rsidP="00AB365A">
            <w:pPr>
              <w:spacing w:before="40" w:after="40"/>
              <w:rPr>
                <w:rFonts w:asciiTheme="minorHAnsi" w:hAnsiTheme="minorHAnsi"/>
                <w:sz w:val="18"/>
                <w:szCs w:val="18"/>
              </w:rPr>
            </w:pPr>
            <w:r w:rsidRPr="00374649">
              <w:rPr>
                <w:rFonts w:asciiTheme="minorHAnsi" w:hAnsiTheme="minorHAnsi"/>
                <w:sz w:val="18"/>
                <w:szCs w:val="18"/>
              </w:rPr>
              <w:t>Procedures for non-formal grievances/rebuttals are outlined in a policy document and/or handbook</w:t>
            </w:r>
          </w:p>
        </w:tc>
        <w:tc>
          <w:tcPr>
            <w:tcW w:w="1134" w:type="dxa"/>
            <w:shd w:val="clear" w:color="auto" w:fill="auto"/>
            <w:vAlign w:val="center"/>
          </w:tcPr>
          <w:p w:rsidR="00374649" w:rsidRPr="00374649" w:rsidRDefault="00374649" w:rsidP="00AB365A">
            <w:pPr>
              <w:spacing w:before="40" w:after="40"/>
              <w:jc w:val="center"/>
              <w:rPr>
                <w:rFonts w:asciiTheme="minorHAnsi" w:hAnsiTheme="minorHAnsi"/>
                <w:sz w:val="18"/>
                <w:szCs w:val="18"/>
              </w:rPr>
            </w:pPr>
            <w:r w:rsidRPr="00374649">
              <w:rPr>
                <w:rFonts w:asciiTheme="minorHAnsi" w:hAnsiTheme="minorHAnsi"/>
                <w:sz w:val="18"/>
                <w:szCs w:val="18"/>
              </w:rPr>
              <w:t>Not applied</w:t>
            </w:r>
          </w:p>
        </w:tc>
        <w:tc>
          <w:tcPr>
            <w:tcW w:w="6379" w:type="dxa"/>
            <w:shd w:val="clear" w:color="auto" w:fill="auto"/>
          </w:tcPr>
          <w:p w:rsidR="00374649" w:rsidRPr="00374649" w:rsidRDefault="00374649" w:rsidP="00AB365A">
            <w:pPr>
              <w:spacing w:before="40" w:after="40"/>
              <w:rPr>
                <w:rFonts w:asciiTheme="minorHAnsi" w:hAnsiTheme="minorHAnsi"/>
                <w:b/>
                <w:bCs/>
                <w:sz w:val="18"/>
                <w:szCs w:val="18"/>
              </w:rPr>
            </w:pPr>
            <w:r w:rsidRPr="00374649">
              <w:rPr>
                <w:rFonts w:asciiTheme="minorHAnsi" w:hAnsiTheme="minorHAnsi"/>
                <w:sz w:val="18"/>
                <w:szCs w:val="18"/>
              </w:rPr>
              <w:t>Each procedure is included in the relevant Service Order.</w:t>
            </w:r>
          </w:p>
        </w:tc>
      </w:tr>
      <w:tr w:rsidR="00374649" w:rsidRPr="00374649" w:rsidTr="005774D9">
        <w:tc>
          <w:tcPr>
            <w:tcW w:w="2694" w:type="dxa"/>
            <w:vMerge/>
            <w:shd w:val="clear" w:color="auto" w:fill="FFFFFF" w:themeFill="background1"/>
          </w:tcPr>
          <w:p w:rsidR="00374649" w:rsidRPr="00374649" w:rsidRDefault="00374649" w:rsidP="00AB365A">
            <w:pPr>
              <w:spacing w:before="40" w:after="40"/>
              <w:rPr>
                <w:rFonts w:asciiTheme="minorHAnsi" w:hAnsiTheme="minorHAnsi"/>
                <w:sz w:val="18"/>
                <w:szCs w:val="18"/>
              </w:rPr>
            </w:pPr>
          </w:p>
        </w:tc>
        <w:tc>
          <w:tcPr>
            <w:tcW w:w="4252" w:type="dxa"/>
            <w:shd w:val="clear" w:color="auto" w:fill="FFFFFF" w:themeFill="background1"/>
          </w:tcPr>
          <w:p w:rsidR="00374649" w:rsidRPr="00374649" w:rsidRDefault="00374649" w:rsidP="00AB365A">
            <w:pPr>
              <w:spacing w:before="40" w:after="40"/>
              <w:rPr>
                <w:rFonts w:asciiTheme="minorHAnsi" w:hAnsiTheme="minorHAnsi"/>
                <w:sz w:val="18"/>
                <w:szCs w:val="18"/>
              </w:rPr>
            </w:pPr>
            <w:r w:rsidRPr="00374649">
              <w:rPr>
                <w:rFonts w:asciiTheme="minorHAnsi" w:hAnsiTheme="minorHAnsi"/>
                <w:sz w:val="18"/>
                <w:szCs w:val="18"/>
              </w:rPr>
              <w:t>A mediator or ombudsperson function is in place</w:t>
            </w:r>
          </w:p>
        </w:tc>
        <w:tc>
          <w:tcPr>
            <w:tcW w:w="1134" w:type="dxa"/>
            <w:shd w:val="clear" w:color="auto" w:fill="auto"/>
            <w:vAlign w:val="center"/>
          </w:tcPr>
          <w:p w:rsidR="00374649" w:rsidRPr="00374649" w:rsidRDefault="00374649" w:rsidP="00AB365A">
            <w:pPr>
              <w:spacing w:before="40" w:after="40"/>
              <w:jc w:val="center"/>
              <w:rPr>
                <w:rFonts w:asciiTheme="minorHAnsi" w:hAnsiTheme="minorHAnsi"/>
                <w:sz w:val="18"/>
                <w:szCs w:val="18"/>
              </w:rPr>
            </w:pPr>
            <w:r w:rsidRPr="00374649">
              <w:rPr>
                <w:rFonts w:asciiTheme="minorHAnsi" w:hAnsiTheme="minorHAnsi"/>
                <w:sz w:val="18"/>
                <w:szCs w:val="18"/>
              </w:rPr>
              <w:sym w:font="Wingdings" w:char="F0FC"/>
            </w:r>
          </w:p>
        </w:tc>
        <w:tc>
          <w:tcPr>
            <w:tcW w:w="6379" w:type="dxa"/>
            <w:shd w:val="clear" w:color="auto" w:fill="auto"/>
          </w:tcPr>
          <w:p w:rsidR="00374649" w:rsidRPr="00374649" w:rsidRDefault="00374649" w:rsidP="00AB365A">
            <w:pPr>
              <w:spacing w:before="40" w:after="40"/>
              <w:rPr>
                <w:rFonts w:asciiTheme="minorHAnsi" w:hAnsiTheme="minorHAnsi"/>
                <w:sz w:val="18"/>
                <w:szCs w:val="18"/>
              </w:rPr>
            </w:pPr>
          </w:p>
        </w:tc>
      </w:tr>
      <w:tr w:rsidR="00374649" w:rsidRPr="00374649" w:rsidTr="005774D9">
        <w:tc>
          <w:tcPr>
            <w:tcW w:w="2694" w:type="dxa"/>
            <w:vMerge w:val="restart"/>
            <w:shd w:val="clear" w:color="auto" w:fill="FFFFFF" w:themeFill="background1"/>
          </w:tcPr>
          <w:p w:rsidR="00374649" w:rsidRPr="00374649" w:rsidRDefault="00374649" w:rsidP="00AB365A">
            <w:pPr>
              <w:spacing w:before="40" w:after="40"/>
              <w:rPr>
                <w:rFonts w:asciiTheme="minorHAnsi" w:hAnsiTheme="minorHAnsi"/>
                <w:sz w:val="18"/>
                <w:szCs w:val="18"/>
              </w:rPr>
            </w:pPr>
            <w:r w:rsidRPr="00374649">
              <w:rPr>
                <w:rFonts w:asciiTheme="minorHAnsi" w:hAnsiTheme="minorHAnsi"/>
                <w:sz w:val="18"/>
                <w:szCs w:val="18"/>
              </w:rPr>
              <w:t>17. Staff members, consultants, non-staff, stakeholders/beneficiaries and vendors have recourse to formal complaints mechanisms and organizations have mechanisms to respond to such complaints.</w:t>
            </w:r>
          </w:p>
        </w:tc>
        <w:tc>
          <w:tcPr>
            <w:tcW w:w="4252" w:type="dxa"/>
            <w:shd w:val="clear" w:color="auto" w:fill="FFFFFF" w:themeFill="background1"/>
          </w:tcPr>
          <w:p w:rsidR="00374649" w:rsidRPr="00374649" w:rsidRDefault="00374649" w:rsidP="00AB365A">
            <w:pPr>
              <w:spacing w:before="40" w:after="40"/>
              <w:rPr>
                <w:rFonts w:asciiTheme="minorHAnsi" w:hAnsiTheme="minorHAnsi"/>
                <w:sz w:val="18"/>
                <w:szCs w:val="18"/>
              </w:rPr>
            </w:pPr>
            <w:r w:rsidRPr="00374649">
              <w:rPr>
                <w:rFonts w:asciiTheme="minorHAnsi" w:hAnsiTheme="minorHAnsi"/>
                <w:sz w:val="18"/>
                <w:szCs w:val="18"/>
              </w:rPr>
              <w:t>Investigation function, hotlines, complaints forms, etc. for staff and externals.</w:t>
            </w:r>
          </w:p>
        </w:tc>
        <w:tc>
          <w:tcPr>
            <w:tcW w:w="1134" w:type="dxa"/>
            <w:shd w:val="clear" w:color="auto" w:fill="auto"/>
            <w:vAlign w:val="center"/>
          </w:tcPr>
          <w:p w:rsidR="00374649" w:rsidRPr="00374649" w:rsidRDefault="00374649" w:rsidP="00AB365A">
            <w:pPr>
              <w:spacing w:before="40" w:after="40"/>
              <w:jc w:val="center"/>
              <w:rPr>
                <w:rFonts w:asciiTheme="minorHAnsi" w:hAnsiTheme="minorHAnsi"/>
                <w:sz w:val="18"/>
                <w:szCs w:val="18"/>
              </w:rPr>
            </w:pPr>
            <w:r w:rsidRPr="00374649">
              <w:rPr>
                <w:rFonts w:asciiTheme="minorHAnsi" w:hAnsiTheme="minorHAnsi"/>
                <w:sz w:val="18"/>
                <w:szCs w:val="18"/>
              </w:rPr>
              <w:sym w:font="Wingdings" w:char="F0FC"/>
            </w:r>
          </w:p>
        </w:tc>
        <w:tc>
          <w:tcPr>
            <w:tcW w:w="6379" w:type="dxa"/>
            <w:shd w:val="clear" w:color="auto" w:fill="auto"/>
          </w:tcPr>
          <w:p w:rsidR="00374649" w:rsidRPr="00374649" w:rsidRDefault="00374649" w:rsidP="00AB365A">
            <w:pPr>
              <w:spacing w:before="40" w:after="40"/>
              <w:rPr>
                <w:rFonts w:asciiTheme="minorHAnsi" w:hAnsiTheme="minorHAnsi"/>
                <w:sz w:val="18"/>
                <w:szCs w:val="18"/>
              </w:rPr>
            </w:pPr>
            <w:r w:rsidRPr="00374649">
              <w:rPr>
                <w:rFonts w:asciiTheme="minorHAnsi" w:hAnsiTheme="minorHAnsi"/>
                <w:sz w:val="18"/>
                <w:szCs w:val="18"/>
              </w:rPr>
              <w:t>Consultants and non-staff have not access to the ILOAT and UNAT. SSA contracts contain a provision for informal resolution of conflicts and recourse to arbitration.</w:t>
            </w:r>
          </w:p>
        </w:tc>
      </w:tr>
      <w:tr w:rsidR="00374649" w:rsidRPr="00374649" w:rsidTr="005774D9">
        <w:tc>
          <w:tcPr>
            <w:tcW w:w="2694" w:type="dxa"/>
            <w:vMerge/>
            <w:shd w:val="clear" w:color="auto" w:fill="FFFFFF" w:themeFill="background1"/>
          </w:tcPr>
          <w:p w:rsidR="00374649" w:rsidRPr="00374649" w:rsidRDefault="00374649" w:rsidP="00AB365A">
            <w:pPr>
              <w:spacing w:before="40" w:after="40"/>
              <w:rPr>
                <w:rFonts w:asciiTheme="minorHAnsi" w:hAnsiTheme="minorHAnsi"/>
                <w:sz w:val="18"/>
                <w:szCs w:val="18"/>
              </w:rPr>
            </w:pPr>
          </w:p>
        </w:tc>
        <w:tc>
          <w:tcPr>
            <w:tcW w:w="4252" w:type="dxa"/>
            <w:shd w:val="clear" w:color="auto" w:fill="FFFFFF" w:themeFill="background1"/>
          </w:tcPr>
          <w:p w:rsidR="00374649" w:rsidRPr="00374649" w:rsidRDefault="00374649" w:rsidP="00AB365A">
            <w:pPr>
              <w:spacing w:before="40" w:after="40"/>
              <w:rPr>
                <w:rFonts w:asciiTheme="minorHAnsi" w:hAnsiTheme="minorHAnsi"/>
                <w:sz w:val="18"/>
                <w:szCs w:val="18"/>
              </w:rPr>
            </w:pPr>
            <w:r w:rsidRPr="00374649">
              <w:rPr>
                <w:rFonts w:asciiTheme="minorHAnsi" w:hAnsiTheme="minorHAnsi"/>
                <w:sz w:val="18"/>
                <w:szCs w:val="18"/>
              </w:rPr>
              <w:t>Grievance mechanisms: United Nations Dispute or ILO Administrative Tribunals</w:t>
            </w:r>
          </w:p>
        </w:tc>
        <w:tc>
          <w:tcPr>
            <w:tcW w:w="1134" w:type="dxa"/>
            <w:shd w:val="clear" w:color="auto" w:fill="FFFFFF" w:themeFill="background1"/>
            <w:vAlign w:val="center"/>
          </w:tcPr>
          <w:p w:rsidR="00374649" w:rsidRPr="00374649" w:rsidRDefault="00374649" w:rsidP="00AB365A">
            <w:pPr>
              <w:spacing w:before="40" w:after="40"/>
              <w:jc w:val="center"/>
              <w:rPr>
                <w:rFonts w:asciiTheme="minorHAnsi" w:hAnsiTheme="minorHAnsi"/>
                <w:sz w:val="18"/>
                <w:szCs w:val="18"/>
              </w:rPr>
            </w:pPr>
            <w:r w:rsidRPr="00374649">
              <w:rPr>
                <w:rFonts w:asciiTheme="minorHAnsi" w:hAnsiTheme="minorHAnsi"/>
                <w:sz w:val="18"/>
                <w:szCs w:val="18"/>
              </w:rPr>
              <w:sym w:font="Wingdings" w:char="F0FC"/>
            </w:r>
          </w:p>
        </w:tc>
        <w:tc>
          <w:tcPr>
            <w:tcW w:w="6379" w:type="dxa"/>
            <w:shd w:val="clear" w:color="auto" w:fill="auto"/>
          </w:tcPr>
          <w:p w:rsidR="00374649" w:rsidRPr="00374649" w:rsidRDefault="00374649" w:rsidP="00AB365A">
            <w:pPr>
              <w:spacing w:before="40" w:after="40"/>
              <w:rPr>
                <w:rFonts w:asciiTheme="minorHAnsi" w:hAnsiTheme="minorHAnsi"/>
                <w:sz w:val="18"/>
                <w:szCs w:val="18"/>
              </w:rPr>
            </w:pPr>
            <w:r w:rsidRPr="00374649">
              <w:rPr>
                <w:rFonts w:asciiTheme="minorHAnsi" w:hAnsiTheme="minorHAnsi"/>
                <w:sz w:val="18"/>
                <w:szCs w:val="18"/>
              </w:rPr>
              <w:t>Available for regular staff members and staff members on short term contracts, and arbitration for consultants and non-staff.</w:t>
            </w:r>
          </w:p>
        </w:tc>
      </w:tr>
      <w:tr w:rsidR="00374649" w:rsidRPr="00374649" w:rsidTr="005774D9">
        <w:tc>
          <w:tcPr>
            <w:tcW w:w="2694" w:type="dxa"/>
            <w:vMerge/>
            <w:shd w:val="clear" w:color="auto" w:fill="FFFFFF" w:themeFill="background1"/>
          </w:tcPr>
          <w:p w:rsidR="00374649" w:rsidRPr="00374649" w:rsidRDefault="00374649" w:rsidP="00AB365A">
            <w:pPr>
              <w:spacing w:before="40" w:after="40"/>
              <w:rPr>
                <w:rFonts w:asciiTheme="minorHAnsi" w:hAnsiTheme="minorHAnsi"/>
                <w:sz w:val="18"/>
                <w:szCs w:val="18"/>
              </w:rPr>
            </w:pPr>
          </w:p>
        </w:tc>
        <w:tc>
          <w:tcPr>
            <w:tcW w:w="4252" w:type="dxa"/>
            <w:shd w:val="clear" w:color="auto" w:fill="FFFFFF" w:themeFill="background1"/>
          </w:tcPr>
          <w:p w:rsidR="00374649" w:rsidRPr="00374649" w:rsidRDefault="00374649" w:rsidP="00AB365A">
            <w:pPr>
              <w:spacing w:before="40" w:after="40"/>
              <w:rPr>
                <w:rFonts w:asciiTheme="minorHAnsi" w:hAnsiTheme="minorHAnsi"/>
                <w:sz w:val="18"/>
                <w:szCs w:val="18"/>
              </w:rPr>
            </w:pPr>
            <w:r w:rsidRPr="00374649">
              <w:rPr>
                <w:rFonts w:asciiTheme="minorHAnsi" w:hAnsiTheme="minorHAnsi"/>
                <w:sz w:val="18"/>
                <w:szCs w:val="18"/>
              </w:rPr>
              <w:t>Procurement challenges</w:t>
            </w:r>
          </w:p>
        </w:tc>
        <w:tc>
          <w:tcPr>
            <w:tcW w:w="1134" w:type="dxa"/>
            <w:shd w:val="clear" w:color="auto" w:fill="FFFFFF" w:themeFill="background1"/>
            <w:vAlign w:val="center"/>
          </w:tcPr>
          <w:p w:rsidR="00374649" w:rsidRPr="00374649" w:rsidRDefault="00374649" w:rsidP="00AB365A">
            <w:pPr>
              <w:spacing w:before="40" w:after="40"/>
              <w:jc w:val="center"/>
              <w:rPr>
                <w:rFonts w:asciiTheme="minorHAnsi" w:hAnsiTheme="minorHAnsi"/>
                <w:sz w:val="18"/>
                <w:szCs w:val="18"/>
              </w:rPr>
            </w:pPr>
            <w:r w:rsidRPr="00374649">
              <w:rPr>
                <w:rFonts w:asciiTheme="minorHAnsi" w:hAnsiTheme="minorHAnsi"/>
                <w:sz w:val="18"/>
                <w:szCs w:val="18"/>
              </w:rPr>
              <w:t>In progress</w:t>
            </w:r>
          </w:p>
        </w:tc>
        <w:tc>
          <w:tcPr>
            <w:tcW w:w="6379" w:type="dxa"/>
            <w:shd w:val="clear" w:color="auto" w:fill="FFFFFF" w:themeFill="background1"/>
          </w:tcPr>
          <w:p w:rsidR="00374649" w:rsidRPr="00374649" w:rsidRDefault="00374649" w:rsidP="00AB365A">
            <w:pPr>
              <w:spacing w:before="40" w:after="40"/>
              <w:rPr>
                <w:rFonts w:asciiTheme="minorHAnsi" w:hAnsiTheme="minorHAnsi"/>
                <w:sz w:val="18"/>
                <w:szCs w:val="18"/>
              </w:rPr>
            </w:pPr>
            <w:r w:rsidRPr="00374649">
              <w:rPr>
                <w:rFonts w:asciiTheme="minorHAnsi" w:hAnsiTheme="minorHAnsi"/>
                <w:sz w:val="18"/>
                <w:szCs w:val="18"/>
              </w:rPr>
              <w:t>ITU is committed to ensuring that the purchase of goods and services is conducted in a fair and transparent manner and subject to competition, where appropriate, international. To address procurement challenges, ITU is considering putting in place a debrief mechanism for unsuccessful bidders for high-value solicitations.</w:t>
            </w:r>
          </w:p>
        </w:tc>
      </w:tr>
    </w:tbl>
    <w:p w:rsidR="002A2188" w:rsidRPr="00374649" w:rsidRDefault="00374649" w:rsidP="00374649">
      <w:pPr>
        <w:spacing w:before="240"/>
        <w:jc w:val="center"/>
        <w:rPr>
          <w:rFonts w:asciiTheme="minorHAnsi" w:hAnsiTheme="minorHAnsi"/>
          <w:sz w:val="20"/>
        </w:rPr>
      </w:pPr>
      <w:r w:rsidRPr="00374649">
        <w:rPr>
          <w:rFonts w:asciiTheme="minorHAnsi" w:hAnsiTheme="minorHAnsi"/>
          <w:sz w:val="20"/>
        </w:rPr>
        <w:t>____________________________</w:t>
      </w:r>
    </w:p>
    <w:sectPr w:rsidR="002A2188" w:rsidRPr="00374649" w:rsidSect="00374649">
      <w:headerReference w:type="default" r:id="rId16"/>
      <w:footerReference w:type="default" r:id="rId17"/>
      <w:headerReference w:type="first" r:id="rId18"/>
      <w:footerReference w:type="first" r:id="rId19"/>
      <w:pgSz w:w="16834" w:h="11907" w:orient="landscape" w:code="9"/>
      <w:pgMar w:top="1021" w:right="1418" w:bottom="907" w:left="1418" w:header="624" w:footer="62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9E0" w:rsidRDefault="001859E0">
      <w:r>
        <w:separator/>
      </w:r>
    </w:p>
  </w:endnote>
  <w:endnote w:type="continuationSeparator" w:id="0">
    <w:p w:rsidR="001859E0" w:rsidRDefault="00185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649" w:rsidRDefault="00374649" w:rsidP="00374649">
    <w:pPr>
      <w:spacing w:after="120"/>
      <w:jc w:val="center"/>
    </w:pPr>
    <w:r>
      <w:t xml:space="preserve">• </w:t>
    </w:r>
    <w:hyperlink r:id="rId1" w:history="1">
      <w:r>
        <w:rPr>
          <w:rStyle w:val="Hyperlink"/>
        </w:rPr>
        <w:t>http://www.itu.int/council</w:t>
      </w:r>
    </w:hyperlink>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8FF" w:rsidRPr="00AB365A" w:rsidRDefault="00AB365A">
    <w:pPr>
      <w:pStyle w:val="Footer"/>
      <w:rPr>
        <w:color w:val="BFBFBF" w:themeColor="background1" w:themeShade="BF"/>
      </w:rPr>
    </w:pPr>
    <w:r w:rsidRPr="00AB365A">
      <w:rPr>
        <w:color w:val="BFBFBF" w:themeColor="background1" w:themeShade="BF"/>
      </w:rPr>
      <w:fldChar w:fldCharType="begin"/>
    </w:r>
    <w:r w:rsidRPr="00AB365A">
      <w:rPr>
        <w:color w:val="BFBFBF" w:themeColor="background1" w:themeShade="BF"/>
      </w:rPr>
      <w:instrText xml:space="preserve"> FILENAME \p  \* MERGEFORMAT </w:instrText>
    </w:r>
    <w:r w:rsidRPr="00AB365A">
      <w:rPr>
        <w:color w:val="BFBFBF" w:themeColor="background1" w:themeShade="BF"/>
      </w:rPr>
      <w:fldChar w:fldCharType="separate"/>
    </w:r>
    <w:r w:rsidR="001859E0" w:rsidRPr="00AB365A">
      <w:rPr>
        <w:color w:val="BFBFBF" w:themeColor="background1" w:themeShade="BF"/>
      </w:rPr>
      <w:t>Document1</w:t>
    </w:r>
    <w:r w:rsidRPr="00AB365A">
      <w:rPr>
        <w:color w:val="BFBFBF" w:themeColor="background1" w:themeShade="BF"/>
      </w:rPr>
      <w:fldChar w:fldCharType="end"/>
    </w:r>
    <w:r w:rsidR="00CB18FF" w:rsidRPr="00AB365A">
      <w:rPr>
        <w:color w:val="BFBFBF" w:themeColor="background1" w:themeShade="BF"/>
      </w:rPr>
      <w:tab/>
    </w:r>
    <w:r w:rsidR="00864AFF" w:rsidRPr="00AB365A">
      <w:rPr>
        <w:color w:val="BFBFBF" w:themeColor="background1" w:themeShade="BF"/>
      </w:rPr>
      <w:fldChar w:fldCharType="begin"/>
    </w:r>
    <w:r w:rsidR="00CB18FF" w:rsidRPr="00AB365A">
      <w:rPr>
        <w:color w:val="BFBFBF" w:themeColor="background1" w:themeShade="BF"/>
      </w:rPr>
      <w:instrText xml:space="preserve"> SAVEDATE \@ DD.MM.YY </w:instrText>
    </w:r>
    <w:r w:rsidR="00864AFF" w:rsidRPr="00AB365A">
      <w:rPr>
        <w:color w:val="BFBFBF" w:themeColor="background1" w:themeShade="BF"/>
      </w:rPr>
      <w:fldChar w:fldCharType="separate"/>
    </w:r>
    <w:r w:rsidR="00AD29D6">
      <w:rPr>
        <w:color w:val="BFBFBF" w:themeColor="background1" w:themeShade="BF"/>
      </w:rPr>
      <w:t>01.02.18</w:t>
    </w:r>
    <w:r w:rsidR="00864AFF" w:rsidRPr="00AB365A">
      <w:rPr>
        <w:color w:val="BFBFBF" w:themeColor="background1" w:themeShade="BF"/>
      </w:rPr>
      <w:fldChar w:fldCharType="end"/>
    </w:r>
    <w:r w:rsidR="00CB18FF" w:rsidRPr="00AB365A">
      <w:rPr>
        <w:color w:val="BFBFBF" w:themeColor="background1" w:themeShade="BF"/>
      </w:rPr>
      <w:tab/>
    </w:r>
    <w:r w:rsidR="00864AFF" w:rsidRPr="00AB365A">
      <w:rPr>
        <w:color w:val="BFBFBF" w:themeColor="background1" w:themeShade="BF"/>
      </w:rPr>
      <w:fldChar w:fldCharType="begin"/>
    </w:r>
    <w:r w:rsidR="00CB18FF" w:rsidRPr="00AB365A">
      <w:rPr>
        <w:color w:val="BFBFBF" w:themeColor="background1" w:themeShade="BF"/>
      </w:rPr>
      <w:instrText xml:space="preserve"> PRINTDATE \@ DD.MM.YY </w:instrText>
    </w:r>
    <w:r w:rsidR="00864AFF" w:rsidRPr="00AB365A">
      <w:rPr>
        <w:color w:val="BFBFBF" w:themeColor="background1" w:themeShade="BF"/>
      </w:rPr>
      <w:fldChar w:fldCharType="separate"/>
    </w:r>
    <w:r w:rsidR="001859E0" w:rsidRPr="00AB365A">
      <w:rPr>
        <w:color w:val="BFBFBF" w:themeColor="background1" w:themeShade="BF"/>
      </w:rPr>
      <w:t>18.07.00</w:t>
    </w:r>
    <w:r w:rsidR="00864AFF" w:rsidRPr="00AB365A">
      <w:rPr>
        <w:color w:val="BFBFBF" w:themeColor="background1" w:themeShade="B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D0D" w:rsidRPr="00AB365A" w:rsidRDefault="00AB365A">
    <w:pPr>
      <w:pStyle w:val="Footer"/>
      <w:rPr>
        <w:color w:val="BFBFBF" w:themeColor="background1" w:themeShade="BF"/>
      </w:rPr>
    </w:pPr>
    <w:r w:rsidRPr="00AB365A">
      <w:rPr>
        <w:color w:val="BFBFBF" w:themeColor="background1" w:themeShade="BF"/>
      </w:rPr>
      <w:fldChar w:fldCharType="begin"/>
    </w:r>
    <w:r w:rsidRPr="00AB365A">
      <w:rPr>
        <w:color w:val="BFBFBF" w:themeColor="background1" w:themeShade="BF"/>
      </w:rPr>
      <w:instrText xml:space="preserve"> FILENAME \p  \* MERGEFORMAT </w:instrText>
    </w:r>
    <w:r w:rsidRPr="00AB365A">
      <w:rPr>
        <w:color w:val="BFBFBF" w:themeColor="background1" w:themeShade="BF"/>
      </w:rPr>
      <w:fldChar w:fldCharType="separate"/>
    </w:r>
    <w:r w:rsidR="001859E0" w:rsidRPr="00AB365A">
      <w:rPr>
        <w:color w:val="BFBFBF" w:themeColor="background1" w:themeShade="BF"/>
      </w:rPr>
      <w:t>Document1</w:t>
    </w:r>
    <w:r w:rsidRPr="00AB365A">
      <w:rPr>
        <w:color w:val="BFBFBF" w:themeColor="background1" w:themeShade="BF"/>
      </w:rPr>
      <w:fldChar w:fldCharType="end"/>
    </w:r>
    <w:r w:rsidR="00322D0D" w:rsidRPr="00AB365A">
      <w:rPr>
        <w:color w:val="BFBFBF" w:themeColor="background1" w:themeShade="BF"/>
      </w:rPr>
      <w:tab/>
    </w:r>
    <w:r w:rsidR="00864AFF" w:rsidRPr="00AB365A">
      <w:rPr>
        <w:color w:val="BFBFBF" w:themeColor="background1" w:themeShade="BF"/>
      </w:rPr>
      <w:fldChar w:fldCharType="begin"/>
    </w:r>
    <w:r w:rsidR="00322D0D" w:rsidRPr="00AB365A">
      <w:rPr>
        <w:color w:val="BFBFBF" w:themeColor="background1" w:themeShade="BF"/>
      </w:rPr>
      <w:instrText xml:space="preserve"> SAVEDATE \@ DD.MM.YY </w:instrText>
    </w:r>
    <w:r w:rsidR="00864AFF" w:rsidRPr="00AB365A">
      <w:rPr>
        <w:color w:val="BFBFBF" w:themeColor="background1" w:themeShade="BF"/>
      </w:rPr>
      <w:fldChar w:fldCharType="separate"/>
    </w:r>
    <w:r w:rsidR="00AD29D6">
      <w:rPr>
        <w:color w:val="BFBFBF" w:themeColor="background1" w:themeShade="BF"/>
      </w:rPr>
      <w:t>01.02.18</w:t>
    </w:r>
    <w:r w:rsidR="00864AFF" w:rsidRPr="00AB365A">
      <w:rPr>
        <w:color w:val="BFBFBF" w:themeColor="background1" w:themeShade="BF"/>
      </w:rPr>
      <w:fldChar w:fldCharType="end"/>
    </w:r>
    <w:r w:rsidR="00322D0D" w:rsidRPr="00AB365A">
      <w:rPr>
        <w:color w:val="BFBFBF" w:themeColor="background1" w:themeShade="BF"/>
      </w:rPr>
      <w:tab/>
    </w:r>
    <w:r w:rsidR="00864AFF" w:rsidRPr="00AB365A">
      <w:rPr>
        <w:color w:val="BFBFBF" w:themeColor="background1" w:themeShade="BF"/>
      </w:rPr>
      <w:fldChar w:fldCharType="begin"/>
    </w:r>
    <w:r w:rsidR="00322D0D" w:rsidRPr="00AB365A">
      <w:rPr>
        <w:color w:val="BFBFBF" w:themeColor="background1" w:themeShade="BF"/>
      </w:rPr>
      <w:instrText xml:space="preserve"> PRINTDATE \@ DD.MM.YY </w:instrText>
    </w:r>
    <w:r w:rsidR="00864AFF" w:rsidRPr="00AB365A">
      <w:rPr>
        <w:color w:val="BFBFBF" w:themeColor="background1" w:themeShade="BF"/>
      </w:rPr>
      <w:fldChar w:fldCharType="separate"/>
    </w:r>
    <w:r w:rsidR="001859E0" w:rsidRPr="00AB365A">
      <w:rPr>
        <w:color w:val="BFBFBF" w:themeColor="background1" w:themeShade="BF"/>
      </w:rPr>
      <w:t>18.07.00</w:t>
    </w:r>
    <w:r w:rsidR="00864AFF" w:rsidRPr="00AB365A">
      <w:rPr>
        <w:color w:val="BFBFBF" w:themeColor="background1" w:themeShade="B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9E0" w:rsidRDefault="001859E0">
      <w:r>
        <w:t>____________________</w:t>
      </w:r>
    </w:p>
  </w:footnote>
  <w:footnote w:type="continuationSeparator" w:id="0">
    <w:p w:rsidR="001859E0" w:rsidRDefault="001859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649" w:rsidRPr="00AF2F70" w:rsidRDefault="00374649" w:rsidP="00886E8A">
    <w:pPr>
      <w:pStyle w:val="Header"/>
      <w:rPr>
        <w:szCs w:val="18"/>
      </w:rPr>
    </w:pPr>
    <w:r w:rsidRPr="00AF2F70">
      <w:rPr>
        <w:szCs w:val="18"/>
      </w:rPr>
      <w:fldChar w:fldCharType="begin"/>
    </w:r>
    <w:r w:rsidRPr="00AF2F70">
      <w:rPr>
        <w:szCs w:val="18"/>
      </w:rPr>
      <w:instrText>PAGE</w:instrText>
    </w:r>
    <w:r w:rsidRPr="00AF2F70">
      <w:rPr>
        <w:szCs w:val="18"/>
      </w:rPr>
      <w:fldChar w:fldCharType="separate"/>
    </w:r>
    <w:r w:rsidR="00AD29D6">
      <w:rPr>
        <w:noProof/>
        <w:szCs w:val="18"/>
      </w:rPr>
      <w:t>2</w:t>
    </w:r>
    <w:r w:rsidRPr="00AF2F70">
      <w:rPr>
        <w:noProof/>
        <w:szCs w:val="18"/>
      </w:rPr>
      <w:fldChar w:fldCharType="end"/>
    </w:r>
    <w:r w:rsidRPr="00AF2F70">
      <w:rPr>
        <w:szCs w:val="18"/>
      </w:rPr>
      <w:t>/</w:t>
    </w:r>
    <w:r w:rsidRPr="00AF2F70">
      <w:rPr>
        <w:szCs w:val="18"/>
      </w:rPr>
      <w:fldChar w:fldCharType="begin"/>
    </w:r>
    <w:r w:rsidRPr="00AF2F70">
      <w:rPr>
        <w:szCs w:val="18"/>
      </w:rPr>
      <w:instrText xml:space="preserve"> NUMPAGES   \* MERGEFORMAT </w:instrText>
    </w:r>
    <w:r w:rsidRPr="00AF2F70">
      <w:rPr>
        <w:szCs w:val="18"/>
      </w:rPr>
      <w:fldChar w:fldCharType="separate"/>
    </w:r>
    <w:r w:rsidR="00AD29D6">
      <w:rPr>
        <w:noProof/>
        <w:szCs w:val="18"/>
      </w:rPr>
      <w:t>6</w:t>
    </w:r>
    <w:r w:rsidRPr="00AF2F70">
      <w:rPr>
        <w:noProof/>
        <w:szCs w:val="18"/>
      </w:rPr>
      <w:fldChar w:fldCharType="end"/>
    </w:r>
  </w:p>
  <w:p w:rsidR="00374649" w:rsidRPr="00AF2F70" w:rsidRDefault="00374649" w:rsidP="00F2185B">
    <w:pPr>
      <w:pStyle w:val="Header"/>
      <w:rPr>
        <w:szCs w:val="18"/>
      </w:rPr>
    </w:pPr>
    <w:r w:rsidRPr="00F2185B">
      <w:rPr>
        <w:szCs w:val="18"/>
      </w:rPr>
      <w:t>C18/20-E</w:t>
    </w:r>
  </w:p>
  <w:p w:rsidR="00374649" w:rsidRPr="00AF2F70" w:rsidRDefault="00374649" w:rsidP="00886E8A">
    <w:pPr>
      <w:pStyle w:val="Header"/>
      <w:rPr>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649" w:rsidRPr="00AF2F70" w:rsidRDefault="00374649" w:rsidP="00374649">
    <w:pPr>
      <w:pStyle w:val="Header"/>
      <w:rPr>
        <w:szCs w:val="18"/>
      </w:rPr>
    </w:pPr>
    <w:r w:rsidRPr="00AF2F70">
      <w:rPr>
        <w:szCs w:val="18"/>
      </w:rPr>
      <w:fldChar w:fldCharType="begin"/>
    </w:r>
    <w:r w:rsidRPr="00AF2F70">
      <w:rPr>
        <w:szCs w:val="18"/>
      </w:rPr>
      <w:instrText>PAGE</w:instrText>
    </w:r>
    <w:r w:rsidRPr="00AF2F70">
      <w:rPr>
        <w:szCs w:val="18"/>
      </w:rPr>
      <w:fldChar w:fldCharType="separate"/>
    </w:r>
    <w:r w:rsidR="00AD29D6">
      <w:rPr>
        <w:noProof/>
        <w:szCs w:val="18"/>
      </w:rPr>
      <w:t>6</w:t>
    </w:r>
    <w:r w:rsidRPr="00AF2F70">
      <w:rPr>
        <w:noProof/>
        <w:szCs w:val="18"/>
      </w:rPr>
      <w:fldChar w:fldCharType="end"/>
    </w:r>
    <w:r w:rsidRPr="00AF2F70">
      <w:rPr>
        <w:szCs w:val="18"/>
      </w:rPr>
      <w:t>/</w:t>
    </w:r>
    <w:r w:rsidRPr="00AF2F70">
      <w:rPr>
        <w:szCs w:val="18"/>
      </w:rPr>
      <w:fldChar w:fldCharType="begin"/>
    </w:r>
    <w:r w:rsidRPr="00AF2F70">
      <w:rPr>
        <w:szCs w:val="18"/>
      </w:rPr>
      <w:instrText xml:space="preserve"> NUMPAGES   \* MERGEFORMAT </w:instrText>
    </w:r>
    <w:r w:rsidRPr="00AF2F70">
      <w:rPr>
        <w:szCs w:val="18"/>
      </w:rPr>
      <w:fldChar w:fldCharType="separate"/>
    </w:r>
    <w:r w:rsidR="00AD29D6">
      <w:rPr>
        <w:noProof/>
        <w:szCs w:val="18"/>
      </w:rPr>
      <w:t>6</w:t>
    </w:r>
    <w:r w:rsidRPr="00AF2F70">
      <w:rPr>
        <w:noProof/>
        <w:szCs w:val="18"/>
      </w:rPr>
      <w:fldChar w:fldCharType="end"/>
    </w:r>
  </w:p>
  <w:p w:rsidR="00374649" w:rsidRPr="00AF2F70" w:rsidRDefault="00374649" w:rsidP="00374649">
    <w:pPr>
      <w:pStyle w:val="Header"/>
      <w:rPr>
        <w:szCs w:val="18"/>
      </w:rPr>
    </w:pPr>
    <w:r w:rsidRPr="00F2185B">
      <w:rPr>
        <w:szCs w:val="18"/>
      </w:rPr>
      <w:t>C18/20-E</w:t>
    </w:r>
  </w:p>
  <w:p w:rsidR="00322D0D" w:rsidRPr="00374649" w:rsidRDefault="00322D0D" w:rsidP="003746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649" w:rsidRPr="00AF2F70" w:rsidRDefault="00374649" w:rsidP="00374649">
    <w:pPr>
      <w:pStyle w:val="Header"/>
      <w:rPr>
        <w:szCs w:val="18"/>
      </w:rPr>
    </w:pPr>
    <w:r w:rsidRPr="00AF2F70">
      <w:rPr>
        <w:szCs w:val="18"/>
      </w:rPr>
      <w:fldChar w:fldCharType="begin"/>
    </w:r>
    <w:r w:rsidRPr="00AF2F70">
      <w:rPr>
        <w:szCs w:val="18"/>
      </w:rPr>
      <w:instrText>PAGE</w:instrText>
    </w:r>
    <w:r w:rsidRPr="00AF2F70">
      <w:rPr>
        <w:szCs w:val="18"/>
      </w:rPr>
      <w:fldChar w:fldCharType="separate"/>
    </w:r>
    <w:r w:rsidR="00AD29D6">
      <w:rPr>
        <w:noProof/>
        <w:szCs w:val="18"/>
      </w:rPr>
      <w:t>3</w:t>
    </w:r>
    <w:r w:rsidRPr="00AF2F70">
      <w:rPr>
        <w:noProof/>
        <w:szCs w:val="18"/>
      </w:rPr>
      <w:fldChar w:fldCharType="end"/>
    </w:r>
    <w:r w:rsidRPr="00AF2F70">
      <w:rPr>
        <w:szCs w:val="18"/>
      </w:rPr>
      <w:t>/</w:t>
    </w:r>
    <w:r w:rsidRPr="00AF2F70">
      <w:rPr>
        <w:szCs w:val="18"/>
      </w:rPr>
      <w:fldChar w:fldCharType="begin"/>
    </w:r>
    <w:r w:rsidRPr="00AF2F70">
      <w:rPr>
        <w:szCs w:val="18"/>
      </w:rPr>
      <w:instrText xml:space="preserve"> NUMPAGES   \* MERGEFORMAT </w:instrText>
    </w:r>
    <w:r w:rsidRPr="00AF2F70">
      <w:rPr>
        <w:szCs w:val="18"/>
      </w:rPr>
      <w:fldChar w:fldCharType="separate"/>
    </w:r>
    <w:r w:rsidR="00AD29D6">
      <w:rPr>
        <w:noProof/>
        <w:szCs w:val="18"/>
      </w:rPr>
      <w:t>6</w:t>
    </w:r>
    <w:r w:rsidRPr="00AF2F70">
      <w:rPr>
        <w:noProof/>
        <w:szCs w:val="18"/>
      </w:rPr>
      <w:fldChar w:fldCharType="end"/>
    </w:r>
  </w:p>
  <w:p w:rsidR="00374649" w:rsidRPr="00AF2F70" w:rsidRDefault="00374649" w:rsidP="00374649">
    <w:pPr>
      <w:pStyle w:val="Header"/>
      <w:rPr>
        <w:szCs w:val="18"/>
      </w:rPr>
    </w:pPr>
    <w:r w:rsidRPr="00F2185B">
      <w:rPr>
        <w:szCs w:val="18"/>
      </w:rPr>
      <w:t>C18/20-E</w:t>
    </w:r>
  </w:p>
  <w:p w:rsidR="00374649" w:rsidRDefault="003746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941007D"/>
    <w:multiLevelType w:val="hybridMultilevel"/>
    <w:tmpl w:val="F6EC4846"/>
    <w:lvl w:ilvl="0" w:tplc="F326B6B6">
      <w:start w:val="1"/>
      <w:numFmt w:val="bullet"/>
      <w:lvlText w:val="-"/>
      <w:lvlJc w:val="left"/>
      <w:pPr>
        <w:ind w:left="360" w:hanging="360"/>
      </w:pPr>
      <w:rPr>
        <w:rFonts w:ascii="Times New Roman" w:hAnsi="Times New Roman" w:cs="Times New Roman"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4B921EF"/>
    <w:multiLevelType w:val="hybridMultilevel"/>
    <w:tmpl w:val="0974F76C"/>
    <w:lvl w:ilvl="0" w:tplc="F326B6B6">
      <w:start w:val="1"/>
      <w:numFmt w:val="bullet"/>
      <w:lvlText w:val="-"/>
      <w:lvlJc w:val="left"/>
      <w:pPr>
        <w:ind w:left="720" w:hanging="360"/>
      </w:pPr>
      <w:rPr>
        <w:rFonts w:ascii="Times New Roman" w:hAnsi="Times New Roman"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9E0"/>
    <w:rsid w:val="000210D4"/>
    <w:rsid w:val="00063016"/>
    <w:rsid w:val="00066795"/>
    <w:rsid w:val="00076AF6"/>
    <w:rsid w:val="00085CF2"/>
    <w:rsid w:val="000B1705"/>
    <w:rsid w:val="000D75B2"/>
    <w:rsid w:val="001121F5"/>
    <w:rsid w:val="001400DC"/>
    <w:rsid w:val="00140CE1"/>
    <w:rsid w:val="0017539C"/>
    <w:rsid w:val="00175AC2"/>
    <w:rsid w:val="0017609F"/>
    <w:rsid w:val="001859E0"/>
    <w:rsid w:val="001C628E"/>
    <w:rsid w:val="001D0357"/>
    <w:rsid w:val="001E0F7B"/>
    <w:rsid w:val="002119FD"/>
    <w:rsid w:val="002130E0"/>
    <w:rsid w:val="00264425"/>
    <w:rsid w:val="00265875"/>
    <w:rsid w:val="0027303B"/>
    <w:rsid w:val="0028109B"/>
    <w:rsid w:val="002A2188"/>
    <w:rsid w:val="002B1F58"/>
    <w:rsid w:val="002C1C7A"/>
    <w:rsid w:val="0030160F"/>
    <w:rsid w:val="00322D0D"/>
    <w:rsid w:val="00374649"/>
    <w:rsid w:val="003942D4"/>
    <w:rsid w:val="003958A8"/>
    <w:rsid w:val="003C2533"/>
    <w:rsid w:val="0040435A"/>
    <w:rsid w:val="00416A24"/>
    <w:rsid w:val="00431D9E"/>
    <w:rsid w:val="00433CE8"/>
    <w:rsid w:val="00434A5C"/>
    <w:rsid w:val="004544D9"/>
    <w:rsid w:val="00490E72"/>
    <w:rsid w:val="00491157"/>
    <w:rsid w:val="004921C8"/>
    <w:rsid w:val="004D1851"/>
    <w:rsid w:val="004D599D"/>
    <w:rsid w:val="004E2EA5"/>
    <w:rsid w:val="004E3AEB"/>
    <w:rsid w:val="0050223C"/>
    <w:rsid w:val="005243FF"/>
    <w:rsid w:val="00564FBC"/>
    <w:rsid w:val="00582442"/>
    <w:rsid w:val="005F3269"/>
    <w:rsid w:val="005F6D92"/>
    <w:rsid w:val="00623AE3"/>
    <w:rsid w:val="0064737F"/>
    <w:rsid w:val="006535F1"/>
    <w:rsid w:val="0065557D"/>
    <w:rsid w:val="00662984"/>
    <w:rsid w:val="006716BB"/>
    <w:rsid w:val="006B6680"/>
    <w:rsid w:val="006B6DCC"/>
    <w:rsid w:val="00702DEF"/>
    <w:rsid w:val="00706861"/>
    <w:rsid w:val="0075051B"/>
    <w:rsid w:val="00793188"/>
    <w:rsid w:val="00794D34"/>
    <w:rsid w:val="00813E5E"/>
    <w:rsid w:val="0083581B"/>
    <w:rsid w:val="00864AFF"/>
    <w:rsid w:val="008B4A6A"/>
    <w:rsid w:val="008C7E27"/>
    <w:rsid w:val="009173EF"/>
    <w:rsid w:val="00932906"/>
    <w:rsid w:val="00961B0B"/>
    <w:rsid w:val="009B38C3"/>
    <w:rsid w:val="009E17BD"/>
    <w:rsid w:val="009E485A"/>
    <w:rsid w:val="00A04CEC"/>
    <w:rsid w:val="00A27F92"/>
    <w:rsid w:val="00A32257"/>
    <w:rsid w:val="00A36D20"/>
    <w:rsid w:val="00A55622"/>
    <w:rsid w:val="00A83502"/>
    <w:rsid w:val="00AB365A"/>
    <w:rsid w:val="00AD15B3"/>
    <w:rsid w:val="00AD29D6"/>
    <w:rsid w:val="00AF6E49"/>
    <w:rsid w:val="00B04A67"/>
    <w:rsid w:val="00B0583C"/>
    <w:rsid w:val="00B40A81"/>
    <w:rsid w:val="00B44910"/>
    <w:rsid w:val="00B72267"/>
    <w:rsid w:val="00B76EB6"/>
    <w:rsid w:val="00B7737B"/>
    <w:rsid w:val="00B824C8"/>
    <w:rsid w:val="00BC251A"/>
    <w:rsid w:val="00BD032B"/>
    <w:rsid w:val="00BE2640"/>
    <w:rsid w:val="00C01189"/>
    <w:rsid w:val="00C374DE"/>
    <w:rsid w:val="00C47AD4"/>
    <w:rsid w:val="00C52D81"/>
    <w:rsid w:val="00C55198"/>
    <w:rsid w:val="00CA6393"/>
    <w:rsid w:val="00CB18FF"/>
    <w:rsid w:val="00CD0C08"/>
    <w:rsid w:val="00CE03FB"/>
    <w:rsid w:val="00CE433C"/>
    <w:rsid w:val="00CF33F3"/>
    <w:rsid w:val="00D04E39"/>
    <w:rsid w:val="00D06183"/>
    <w:rsid w:val="00D22C42"/>
    <w:rsid w:val="00D65041"/>
    <w:rsid w:val="00DB384B"/>
    <w:rsid w:val="00E10E80"/>
    <w:rsid w:val="00E124F0"/>
    <w:rsid w:val="00E60F04"/>
    <w:rsid w:val="00E854E4"/>
    <w:rsid w:val="00EB0D6F"/>
    <w:rsid w:val="00EB2232"/>
    <w:rsid w:val="00EC5337"/>
    <w:rsid w:val="00F2150A"/>
    <w:rsid w:val="00F231D8"/>
    <w:rsid w:val="00F46C5F"/>
    <w:rsid w:val="00F94A63"/>
    <w:rsid w:val="00FA1C28"/>
    <w:rsid w:val="00FB7596"/>
    <w:rsid w:val="00FE4077"/>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B6AD2ADC-75F5-4FFE-BBAC-C36186120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link w:val="FooterChar"/>
    <w:uiPriority w:val="99"/>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813E5E"/>
    <w:pPr>
      <w:spacing w:before="84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rsid w:val="00813E5E"/>
  </w:style>
  <w:style w:type="character" w:styleId="Hyperlink">
    <w:name w:val="Hyperlink"/>
    <w:basedOn w:val="DefaultParagraphFont"/>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spacing w:before="240"/>
    </w:pPr>
    <w:rPr>
      <w:b w:val="0"/>
      <w:caps/>
    </w:rPr>
  </w:style>
  <w:style w:type="paragraph" w:customStyle="1" w:styleId="Title2">
    <w:name w:val="Title 2"/>
    <w:basedOn w:val="Source"/>
    <w:next w:val="Title3"/>
    <w:rsid w:val="00813E5E"/>
    <w:pPr>
      <w:spacing w:before="240"/>
    </w:pPr>
    <w:rPr>
      <w:b w:val="0"/>
      <w:caps/>
    </w:rPr>
  </w:style>
  <w:style w:type="paragraph" w:customStyle="1" w:styleId="Title3">
    <w:name w:val="Title 3"/>
    <w:basedOn w:val="Title2"/>
    <w:next w:val="Normalaftertitle"/>
    <w:rsid w:val="00813E5E"/>
    <w:rPr>
      <w:caps w:val="0"/>
    </w:rPr>
  </w:style>
  <w:style w:type="paragraph" w:customStyle="1" w:styleId="Title4">
    <w:name w:val="Title 4"/>
    <w:basedOn w:val="Title3"/>
    <w:next w:val="Heading1"/>
    <w:rsid w:val="004D1851"/>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Table">
    <w:name w:val="Table_#"/>
    <w:basedOn w:val="Normal"/>
    <w:next w:val="Normal"/>
    <w:rsid w:val="002A2188"/>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table" w:styleId="TableGrid">
    <w:name w:val="Table Grid"/>
    <w:basedOn w:val="TableNormal"/>
    <w:uiPriority w:val="39"/>
    <w:rsid w:val="0037464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4649"/>
    <w:pPr>
      <w:tabs>
        <w:tab w:val="clear" w:pos="567"/>
        <w:tab w:val="clear" w:pos="1134"/>
        <w:tab w:val="clear" w:pos="1701"/>
        <w:tab w:val="clear" w:pos="2268"/>
        <w:tab w:val="clear" w:pos="2835"/>
      </w:tabs>
      <w:overflowPunct/>
      <w:autoSpaceDE/>
      <w:autoSpaceDN/>
      <w:adjustRightInd/>
      <w:spacing w:before="0" w:after="160" w:line="259" w:lineRule="auto"/>
      <w:ind w:left="720"/>
      <w:contextualSpacing/>
      <w:textAlignment w:val="auto"/>
    </w:pPr>
    <w:rPr>
      <w:rFonts w:asciiTheme="minorHAnsi" w:eastAsiaTheme="minorEastAsia" w:hAnsiTheme="minorHAnsi" w:cstheme="minorBidi"/>
      <w:sz w:val="22"/>
      <w:szCs w:val="22"/>
      <w:lang w:val="en-US" w:eastAsia="zh-CN"/>
    </w:rPr>
  </w:style>
  <w:style w:type="character" w:customStyle="1" w:styleId="HeaderChar">
    <w:name w:val="Header Char"/>
    <w:basedOn w:val="DefaultParagraphFont"/>
    <w:link w:val="Header"/>
    <w:uiPriority w:val="99"/>
    <w:rsid w:val="00374649"/>
    <w:rPr>
      <w:rFonts w:ascii="Calibri" w:hAnsi="Calibri"/>
      <w:sz w:val="18"/>
      <w:lang w:val="en-GB" w:eastAsia="en-US"/>
    </w:rPr>
  </w:style>
  <w:style w:type="character" w:customStyle="1" w:styleId="FooterChar">
    <w:name w:val="Footer Char"/>
    <w:basedOn w:val="DefaultParagraphFont"/>
    <w:link w:val="Footer"/>
    <w:uiPriority w:val="99"/>
    <w:rsid w:val="00374649"/>
    <w:rPr>
      <w:rFonts w:ascii="Calibri" w:hAnsi="Calibri"/>
      <w:caps/>
      <w:noProof/>
      <w:sz w:val="16"/>
      <w:lang w:val="en-GB" w:eastAsia="en-US"/>
    </w:rPr>
  </w:style>
  <w:style w:type="paragraph" w:styleId="BalloonText">
    <w:name w:val="Balloon Text"/>
    <w:basedOn w:val="Normal"/>
    <w:link w:val="BalloonTextChar"/>
    <w:semiHidden/>
    <w:unhideWhenUsed/>
    <w:rsid w:val="005F6D92"/>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5F6D92"/>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n.org/en/ga/search/view_doc.asp?symbol=A/RES/64/259"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njiu.org/en/reports-notes/JIU%20Products/JIU_REP_2016_1_English.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jiu.org/en/reports-notes/JIU%20Products/JIU_REP_2011_5_English.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tu.int/md/S17-CL-C-0064/e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unjiu.org/en/reports-notes/JIU%20Products/JIU_REP_2016_1_English.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C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08080-3273-4BF1-893E-216CBA64B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PE_C18.dotx</Template>
  <TotalTime>17</TotalTime>
  <Pages>6</Pages>
  <Words>1851</Words>
  <Characters>11709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C2018, C18</vt:lpstr>
    </vt:vector>
  </TitlesOfParts>
  <Manager>General Secretariat - Pool</Manager>
  <Company>International Telecommunication Union (ITU)</Company>
  <LinksUpToDate>false</LinksUpToDate>
  <CharactersWithSpaces>13533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Accountability and transparency framework International Telecommunication Union</dc:title>
  <dc:subject>Council 2018</dc:subject>
  <dc:creator>Brouard, Ricarda</dc:creator>
  <cp:keywords>C2018, C18</cp:keywords>
  <dc:description/>
  <cp:lastModifiedBy>Janin</cp:lastModifiedBy>
  <cp:revision>5</cp:revision>
  <cp:lastPrinted>2000-07-18T13:30:00Z</cp:lastPrinted>
  <dcterms:created xsi:type="dcterms:W3CDTF">2018-02-01T11:08:00Z</dcterms:created>
  <dcterms:modified xsi:type="dcterms:W3CDTF">2018-02-07T14:50:00Z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