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9A53D4" w:rsidP="00723C30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480" w:lineRule="auto"/>
              <w:rPr>
                <w:rFonts w:cs="Times"/>
                <w:b/>
                <w:szCs w:val="24"/>
              </w:rPr>
            </w:pPr>
            <w:bookmarkStart w:id="3" w:name="lt_pId005"/>
            <w:bookmarkStart w:id="4" w:name="dnum" w:colFirst="1" w:colLast="1"/>
            <w:bookmarkStart w:id="5" w:name="dmeeting" w:colFirst="0" w:colLast="0"/>
            <w:r w:rsidRPr="009A53D4">
              <w:rPr>
                <w:b/>
              </w:rPr>
              <w:t>Punto del orden del día</w:t>
            </w:r>
            <w:r w:rsidR="009759F7" w:rsidRPr="009C3118">
              <w:rPr>
                <w:b/>
              </w:rPr>
              <w:t>:</w:t>
            </w:r>
            <w:bookmarkEnd w:id="3"/>
            <w:r w:rsidR="009759F7" w:rsidRPr="009C3118">
              <w:rPr>
                <w:b/>
              </w:rPr>
              <w:t xml:space="preserve"> </w:t>
            </w:r>
            <w:bookmarkStart w:id="6" w:name="lt_pId006"/>
            <w:r w:rsidR="009759F7" w:rsidRPr="009C3118">
              <w:rPr>
                <w:b/>
              </w:rPr>
              <w:t>PL 1.5</w:t>
            </w:r>
            <w:bookmarkEnd w:id="6"/>
          </w:p>
        </w:tc>
        <w:tc>
          <w:tcPr>
            <w:tcW w:w="3261" w:type="dxa"/>
          </w:tcPr>
          <w:p w:rsidR="00093EEB" w:rsidRDefault="00093EEB" w:rsidP="009759F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9F4811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/</w:t>
            </w:r>
            <w:r w:rsidR="009759F7">
              <w:rPr>
                <w:b/>
                <w:bCs/>
                <w:szCs w:val="24"/>
              </w:rPr>
              <w:t>18</w:t>
            </w:r>
            <w:r>
              <w:rPr>
                <w:b/>
                <w:bCs/>
                <w:szCs w:val="24"/>
              </w:rPr>
              <w:t>-S</w:t>
            </w:r>
          </w:p>
          <w:p w:rsidR="000324AB" w:rsidRPr="00093EEB" w:rsidRDefault="000324AB" w:rsidP="009759F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 de febrero de 2018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093EEB" w:rsidRPr="00093EEB" w:rsidRDefault="000324AB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8" w:name="dorlang" w:colFirst="1" w:colLast="1"/>
            <w:bookmarkEnd w:id="7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9A53D4" w:rsidP="009A53D4">
            <w:pPr>
              <w:pStyle w:val="Source"/>
              <w:spacing w:line="480" w:lineRule="auto"/>
            </w:pPr>
            <w:bookmarkStart w:id="9" w:name="dsource" w:colFirst="0" w:colLast="0"/>
            <w:bookmarkEnd w:id="1"/>
            <w:bookmarkEnd w:id="8"/>
            <w:r>
              <w:t>Informe del Secretario General</w:t>
            </w:r>
          </w:p>
        </w:tc>
      </w:tr>
      <w:tr w:rsidR="00093EEB" w:rsidRPr="00DB20DD">
        <w:trPr>
          <w:cantSplit/>
        </w:trPr>
        <w:tc>
          <w:tcPr>
            <w:tcW w:w="10173" w:type="dxa"/>
            <w:gridSpan w:val="2"/>
          </w:tcPr>
          <w:p w:rsidR="00093EEB" w:rsidRPr="00DB20DD" w:rsidRDefault="00DB20DD">
            <w:pPr>
              <w:pStyle w:val="Title1"/>
            </w:pPr>
            <w:bookmarkStart w:id="10" w:name="dtitle1" w:colFirst="0" w:colLast="0"/>
            <w:bookmarkEnd w:id="9"/>
            <w:r>
              <w:t>ACTIVIDADES DE LA UIT SOBRE EL FORTALECIMIENTO DE SU PAPEL EN</w:t>
            </w:r>
            <w:r>
              <w:br/>
              <w:t>LA CREACIÓN DE CONFIANZA Y SEGURIDAD EN LA UTILIZACIÓN DE</w:t>
            </w:r>
            <w:r>
              <w:br/>
              <w:t>LAS TECNOLOGÍAS DE LA INFORMACIÓN Y LA COMUNICACIÓN</w:t>
            </w:r>
          </w:p>
        </w:tc>
      </w:tr>
      <w:bookmarkEnd w:id="10"/>
    </w:tbl>
    <w:p w:rsidR="00093EEB" w:rsidRPr="00DB20DD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A50E36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723C30" w:rsidRDefault="00093EEB">
            <w:pPr>
              <w:pStyle w:val="Headingb"/>
            </w:pPr>
            <w:r w:rsidRPr="00723C30">
              <w:t>Resumen</w:t>
            </w:r>
          </w:p>
          <w:p w:rsidR="00093EEB" w:rsidRPr="00DB20DD" w:rsidRDefault="00DB20DD" w:rsidP="009A53D4">
            <w:r w:rsidRPr="00172446">
              <w:rPr>
                <w:lang w:val="es-ES"/>
              </w:rPr>
              <w:t>En el presente Informe se resumen las actividades de la UIT desde la reunión de</w:t>
            </w:r>
            <w:r>
              <w:rPr>
                <w:lang w:val="es-ES"/>
              </w:rPr>
              <w:t> </w:t>
            </w:r>
            <w:r w:rsidR="00606394">
              <w:rPr>
                <w:lang w:val="es-ES"/>
              </w:rPr>
              <w:t>2017</w:t>
            </w:r>
            <w:r w:rsidRPr="00172446">
              <w:rPr>
                <w:lang w:val="es-ES"/>
              </w:rPr>
              <w:t xml:space="preserve"> del Consejo en relación con la Resolución 130 (Rev. Busán, 2014), la función de la UIT como único organismo facilitador de la Línea de Acción C5 de la CMSI, y otras decisiones adoptadas por los miembros sobre el fortalecimiento del papel de la UIT en la creación de confianza y seguridad en la utilización de las tecnologías de la información y la comunicación (TIC).</w:t>
            </w:r>
          </w:p>
          <w:p w:rsidR="00093EEB" w:rsidRPr="00723C30" w:rsidRDefault="00093EEB" w:rsidP="009A53D4">
            <w:pPr>
              <w:pStyle w:val="Headingb"/>
            </w:pPr>
            <w:r w:rsidRPr="00723C30">
              <w:t>Acción solicitada</w:t>
            </w:r>
          </w:p>
          <w:p w:rsidR="00093EEB" w:rsidRPr="00DB20DD" w:rsidRDefault="00DB20DD" w:rsidP="009A53D4">
            <w:r w:rsidRPr="00172446">
              <w:rPr>
                <w:lang w:val="es-ES"/>
              </w:rPr>
              <w:t xml:space="preserve">Se invita al Consejo a </w:t>
            </w:r>
            <w:r w:rsidRPr="00172446">
              <w:rPr>
                <w:b/>
                <w:bCs/>
                <w:lang w:val="es-ES"/>
              </w:rPr>
              <w:t>tomar nota</w:t>
            </w:r>
            <w:r w:rsidRPr="00172446">
              <w:rPr>
                <w:lang w:val="es-ES"/>
              </w:rPr>
              <w:t xml:space="preserve"> del Informe.</w:t>
            </w:r>
          </w:p>
          <w:p w:rsidR="00093EEB" w:rsidRPr="00A50E36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A50E36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A50E36" w:rsidRDefault="00093EEB">
            <w:pPr>
              <w:pStyle w:val="Headingb"/>
            </w:pPr>
            <w:r w:rsidRPr="00A50E36">
              <w:t>Referencia</w:t>
            </w:r>
            <w:r w:rsidR="000324AB">
              <w:t>s</w:t>
            </w:r>
          </w:p>
          <w:p w:rsidR="00093EEB" w:rsidRPr="00A50E36" w:rsidRDefault="00A50E36" w:rsidP="000324AB">
            <w:pPr>
              <w:spacing w:after="120"/>
              <w:rPr>
                <w:i/>
                <w:iCs/>
              </w:rPr>
            </w:pPr>
            <w:bookmarkStart w:id="11" w:name="lt_pId020"/>
            <w:r w:rsidRPr="00A50E36">
              <w:rPr>
                <w:i/>
                <w:iCs/>
              </w:rPr>
              <w:t xml:space="preserve">Resoluciones </w:t>
            </w:r>
            <w:hyperlink r:id="rId8" w:history="1">
              <w:r w:rsidR="009759F7" w:rsidRPr="00A50E36">
                <w:rPr>
                  <w:rFonts w:asciiTheme="minorHAnsi" w:hAnsiTheme="minorHAnsi"/>
                  <w:i/>
                  <w:iCs/>
                  <w:color w:val="0000FF"/>
                  <w:spacing w:val="-2"/>
                  <w:szCs w:val="24"/>
                  <w:u w:val="single"/>
                </w:rPr>
                <w:t>71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pacing w:val="-2"/>
                <w:szCs w:val="24"/>
              </w:rPr>
              <w:t xml:space="preserve">, </w:t>
            </w:r>
            <w:hyperlink r:id="rId9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</w:rPr>
                <w:t>130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pacing w:val="-2"/>
                <w:szCs w:val="24"/>
              </w:rPr>
              <w:t xml:space="preserve">, </w:t>
            </w:r>
            <w:hyperlink r:id="rId10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pacing w:val="-2"/>
                  <w:szCs w:val="24"/>
                </w:rPr>
                <w:t>140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pacing w:val="-2"/>
                <w:szCs w:val="24"/>
              </w:rPr>
              <w:t xml:space="preserve">, </w:t>
            </w:r>
            <w:hyperlink r:id="rId11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174</w:t>
              </w:r>
            </w:hyperlink>
            <w:r w:rsidR="009759F7" w:rsidRPr="00A50E36">
              <w:rPr>
                <w:rFonts w:asciiTheme="minorHAnsi" w:hAnsiTheme="minorHAnsi"/>
                <w:color w:val="0000FF"/>
                <w:szCs w:val="24"/>
              </w:rPr>
              <w:t xml:space="preserve">, </w:t>
            </w:r>
            <w:hyperlink r:id="rId12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179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FF"/>
                <w:szCs w:val="24"/>
              </w:rPr>
              <w:t xml:space="preserve"> </w:t>
            </w:r>
            <w:r w:rsidRPr="00A50E36">
              <w:rPr>
                <w:i/>
                <w:iCs/>
              </w:rPr>
              <w:t xml:space="preserve">de la Conferencia de Plenipotenciarios </w:t>
            </w:r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>(Rev. Bus</w:t>
            </w:r>
            <w:r>
              <w:rPr>
                <w:rFonts w:asciiTheme="minorHAnsi" w:hAnsiTheme="minorHAnsi"/>
                <w:i/>
                <w:iCs/>
                <w:color w:val="000000"/>
                <w:szCs w:val="24"/>
              </w:rPr>
              <w:t>á</w:t>
            </w:r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n, 2014), </w:t>
            </w:r>
            <w:hyperlink r:id="rId13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181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szCs w:val="24"/>
              </w:rPr>
              <w:t xml:space="preserve"> (Guadalajara, 2010)</w:t>
            </w:r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hyperlink r:id="rId14" w:history="1">
              <w:r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Reglamento de las Telecomunicaciones Internacionales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(Rev. </w:t>
            </w:r>
            <w:r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>Dubái</w:t>
            </w:r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2012), </w:t>
            </w:r>
            <w:hyperlink r:id="rId15" w:history="1">
              <w:r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Resolución 1306 del Consejo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r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>Resoluciones</w:t>
            </w:r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</w:t>
            </w:r>
            <w:hyperlink r:id="rId16" w:history="1">
              <w:r w:rsidR="009759F7" w:rsidRPr="00A50E36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45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(Rev. </w:t>
            </w:r>
            <w:r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>Dubái</w:t>
            </w:r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2014), </w:t>
            </w:r>
            <w:hyperlink r:id="rId17" w:history="1">
              <w:r w:rsidR="009759F7" w:rsidRPr="00A50E36">
                <w:rPr>
                  <w:rStyle w:val="Hyperlink"/>
                  <w:rFonts w:asciiTheme="minorHAnsi" w:hAnsiTheme="minorHAnsi"/>
                  <w:szCs w:val="24"/>
                </w:rPr>
                <w:t xml:space="preserve">2, 67, 69 </w:t>
              </w:r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(Rev. Buenos Aires, 2017)</w:t>
              </w:r>
            </w:hyperlink>
            <w:r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de la CDMT,</w:t>
            </w:r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</w:t>
            </w:r>
            <w:r w:rsidR="000324AB">
              <w:rPr>
                <w:rFonts w:asciiTheme="minorHAnsi" w:hAnsiTheme="minorHAnsi"/>
                <w:i/>
                <w:iCs/>
                <w:color w:val="000000"/>
                <w:szCs w:val="24"/>
              </w:rPr>
              <w:t>Objetivo 2</w:t>
            </w:r>
            <w:r>
              <w:rPr>
                <w:rFonts w:asciiTheme="minorHAnsi" w:hAnsiTheme="minorHAnsi"/>
                <w:i/>
                <w:iCs/>
                <w:color w:val="000000"/>
                <w:szCs w:val="24"/>
              </w:rPr>
              <w:t>/</w:t>
            </w:r>
            <w:r w:rsidR="000324AB">
              <w:rPr>
                <w:rFonts w:asciiTheme="minorHAnsi" w:hAnsiTheme="minorHAnsi"/>
                <w:i/>
                <w:iCs/>
                <w:color w:val="000000"/>
                <w:szCs w:val="24"/>
              </w:rPr>
              <w:t>Resultado 2.2 del UIT-D</w:t>
            </w:r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(</w:t>
            </w:r>
            <w:hyperlink r:id="rId18" w:history="1">
              <w:r>
                <w:rPr>
                  <w:rStyle w:val="Hyperlink"/>
                </w:rPr>
                <w:t>Plan de acción de Buenos Aires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>)</w:t>
            </w:r>
            <w:hyperlink r:id="rId19" w:history="1"/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r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>Resoluciones</w:t>
            </w:r>
            <w:r w:rsidR="009759F7" w:rsidRPr="00A50E3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 </w:t>
            </w:r>
            <w:hyperlink r:id="rId20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</w:rPr>
                <w:t>50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, </w:t>
            </w:r>
            <w:hyperlink r:id="rId21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</w:rPr>
                <w:t>52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, </w:t>
            </w:r>
            <w:hyperlink r:id="rId22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</w:rPr>
                <w:t>75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 (Rev. Hammamet, 2016), </w:t>
            </w:r>
            <w:hyperlink r:id="rId23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pacing w:val="2"/>
                  <w:szCs w:val="24"/>
                </w:rPr>
                <w:t>58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 (Rev. </w:t>
            </w:r>
            <w:r w:rsidRPr="00A50E3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>Dubái</w:t>
            </w:r>
            <w:r w:rsidR="009759F7" w:rsidRPr="00A50E3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>, 2012)</w:t>
            </w:r>
            <w:r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 de la </w:t>
            </w:r>
            <w:r w:rsidRPr="00A50E3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>AMNT</w:t>
            </w:r>
            <w:r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>,</w:t>
            </w:r>
            <w:r w:rsidR="009759F7" w:rsidRPr="00A50E36">
              <w:rPr>
                <w:rFonts w:asciiTheme="minorHAnsi" w:hAnsiTheme="minorHAnsi"/>
                <w:i/>
                <w:iCs/>
                <w:color w:val="000000"/>
                <w:spacing w:val="2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0000"/>
                <w:szCs w:val="24"/>
              </w:rPr>
              <w:t>Documentos del Consejo</w:t>
            </w:r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</w:t>
            </w:r>
            <w:hyperlink r:id="rId24" w:history="1">
              <w:r w:rsidR="009759F7" w:rsidRPr="00A50E36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C05/32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hyperlink r:id="rId25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C05/INF/10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hyperlink r:id="rId26" w:history="1">
              <w:r w:rsidR="009759F7" w:rsidRPr="00A50E36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C06/4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hyperlink r:id="rId27" w:history="1">
              <w:r w:rsidR="009759F7" w:rsidRPr="00A50E36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C07/21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hyperlink r:id="rId28" w:history="1">
              <w:r w:rsidR="009759F7" w:rsidRPr="00A50E36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C08/33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, </w:t>
            </w:r>
            <w:hyperlink r:id="rId29" w:history="1">
              <w:r w:rsidR="009759F7" w:rsidRPr="00A50E36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C09/50</w:t>
              </w:r>
            </w:hyperlink>
            <w:r w:rsidR="009759F7" w:rsidRPr="00A50E36">
              <w:rPr>
                <w:rFonts w:asciiTheme="minorHAnsi" w:hAnsiTheme="minorHAnsi"/>
                <w:szCs w:val="24"/>
              </w:rPr>
              <w:t xml:space="preserve">, </w:t>
            </w:r>
            <w:hyperlink r:id="rId30" w:history="1">
              <w:r w:rsidR="009759F7" w:rsidRPr="00A50E36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C10/12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FF"/>
                <w:szCs w:val="24"/>
              </w:rPr>
              <w:t xml:space="preserve">, </w:t>
            </w:r>
            <w:hyperlink r:id="rId31" w:history="1">
              <w:r w:rsidR="009759F7" w:rsidRPr="00A50E36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C11/54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FF"/>
                <w:szCs w:val="24"/>
              </w:rPr>
              <w:t xml:space="preserve">, </w:t>
            </w:r>
            <w:hyperlink r:id="rId32" w:history="1">
              <w:r w:rsidR="009759F7" w:rsidRPr="00A50E36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C12/29</w:t>
              </w:r>
            </w:hyperlink>
            <w:r w:rsidR="009759F7" w:rsidRPr="00A50E36">
              <w:rPr>
                <w:rFonts w:asciiTheme="minorHAnsi" w:hAnsiTheme="minorHAnsi"/>
                <w:i/>
                <w:iCs/>
                <w:color w:val="0000FF"/>
                <w:szCs w:val="24"/>
              </w:rPr>
              <w:t xml:space="preserve">, </w:t>
            </w:r>
            <w:hyperlink r:id="rId33" w:history="1">
              <w:r w:rsidR="009759F7" w:rsidRPr="00A50E36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C13/23</w:t>
              </w:r>
            </w:hyperlink>
            <w:r w:rsidR="009759F7" w:rsidRPr="00A50E36">
              <w:rPr>
                <w:rFonts w:asciiTheme="minorHAnsi" w:hAnsiTheme="minorHAnsi"/>
                <w:color w:val="0000FF"/>
                <w:szCs w:val="24"/>
              </w:rPr>
              <w:t xml:space="preserve">, </w:t>
            </w:r>
            <w:hyperlink r:id="rId34" w:history="1">
              <w:r w:rsidR="009759F7" w:rsidRPr="00A50E36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</w:rPr>
                <w:t>C14/23</w:t>
              </w:r>
            </w:hyperlink>
            <w:r w:rsidR="009759F7" w:rsidRPr="00A50E36">
              <w:rPr>
                <w:rFonts w:asciiTheme="minorHAnsi" w:hAnsiTheme="minorHAnsi"/>
                <w:color w:val="0000FF"/>
                <w:szCs w:val="24"/>
              </w:rPr>
              <w:t xml:space="preserve">, </w:t>
            </w:r>
            <w:hyperlink r:id="rId35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C15/18</w:t>
              </w:r>
            </w:hyperlink>
            <w:r w:rsidR="009759F7" w:rsidRPr="00A50E36">
              <w:rPr>
                <w:rStyle w:val="Hyperlink"/>
                <w:rFonts w:asciiTheme="minorHAnsi" w:hAnsiTheme="minorHAnsi"/>
                <w:i/>
                <w:iCs/>
                <w:szCs w:val="24"/>
              </w:rPr>
              <w:t xml:space="preserve"> ,</w:t>
            </w:r>
            <w:hyperlink r:id="rId36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C16/18</w:t>
              </w:r>
            </w:hyperlink>
            <w:r w:rsidR="009759F7" w:rsidRPr="000324AB">
              <w:rPr>
                <w:i/>
                <w:iCs/>
              </w:rPr>
              <w:t xml:space="preserve">, </w:t>
            </w:r>
            <w:r w:rsidRPr="000324AB">
              <w:rPr>
                <w:i/>
                <w:iCs/>
              </w:rPr>
              <w:t>y</w:t>
            </w:r>
            <w:r w:rsidR="009759F7" w:rsidRPr="00A50E36">
              <w:rPr>
                <w:rStyle w:val="Hyperlink"/>
                <w:rFonts w:asciiTheme="minorHAnsi" w:hAnsiTheme="minorHAnsi"/>
                <w:szCs w:val="24"/>
              </w:rPr>
              <w:t xml:space="preserve"> </w:t>
            </w:r>
            <w:hyperlink r:id="rId37" w:history="1">
              <w:r w:rsidR="009759F7" w:rsidRPr="00A50E36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C17/18</w:t>
              </w:r>
            </w:hyperlink>
            <w:bookmarkEnd w:id="11"/>
          </w:p>
        </w:tc>
      </w:tr>
    </w:tbl>
    <w:p w:rsidR="00DB20DD" w:rsidRPr="00BD2D4D" w:rsidRDefault="00DB20DD" w:rsidP="00DB20DD">
      <w:pPr>
        <w:pStyle w:val="Heading1"/>
      </w:pPr>
      <w:r w:rsidRPr="00BD2D4D">
        <w:t>1</w:t>
      </w:r>
      <w:r w:rsidRPr="00BD2D4D">
        <w:tab/>
        <w:t xml:space="preserve">Actividades en materia de ciberseguridad y lucha contra el </w:t>
      </w:r>
      <w:r>
        <w:t>spam</w:t>
      </w:r>
    </w:p>
    <w:p w:rsidR="00DB20DD" w:rsidRPr="00BD2D4D" w:rsidRDefault="00DB20DD" w:rsidP="00DB20DD">
      <w:r w:rsidRPr="00BD2D4D">
        <w:t>1.1</w:t>
      </w:r>
      <w:r w:rsidRPr="00BD2D4D">
        <w:tab/>
        <w:t xml:space="preserve">El desarrollo de las TIC, sobre una base de seguridad y confianza, ha sido reconocido como un factor esencial para el desarrollo sostenible. El presente Informe, organizado en torno a los cinco pilares de la </w:t>
      </w:r>
      <w:hyperlink r:id="rId38" w:history="1">
        <w:r w:rsidRPr="00443134">
          <w:rPr>
            <w:rStyle w:val="Hyperlink"/>
          </w:rPr>
          <w:t>Agenda sobre Ciberseguridad Global (ACG)</w:t>
        </w:r>
      </w:hyperlink>
      <w:r w:rsidRPr="00BD2D4D">
        <w:t xml:space="preserve">, muestra el carácter </w:t>
      </w:r>
      <w:r w:rsidRPr="00BD2D4D">
        <w:lastRenderedPageBreak/>
        <w:t>complementario de los actuales programas de trabajo de la UIT y facilita la realización de las actividades de la B</w:t>
      </w:r>
      <w:r>
        <w:t>DT, la TSB y la BR al respecto.</w:t>
      </w:r>
    </w:p>
    <w:p w:rsidR="00DB20DD" w:rsidRPr="00723C30" w:rsidRDefault="00DB20DD" w:rsidP="00DB20DD">
      <w:pPr>
        <w:pStyle w:val="Heading1"/>
      </w:pPr>
      <w:r w:rsidRPr="00723C30">
        <w:t>2</w:t>
      </w:r>
      <w:r w:rsidRPr="00723C30">
        <w:tab/>
        <w:t>Medidas jurídicas</w:t>
      </w:r>
    </w:p>
    <w:p w:rsidR="00DB20DD" w:rsidRPr="00BD2D4D" w:rsidRDefault="00DB20DD" w:rsidP="00A50E36">
      <w:r w:rsidRPr="00BD2D4D">
        <w:t>2.1</w:t>
      </w:r>
      <w:r w:rsidRPr="00BD2D4D">
        <w:tab/>
        <w:t xml:space="preserve">En el </w:t>
      </w:r>
      <w:r w:rsidR="00A50E36">
        <w:t>marco del Objetivo 2.2</w:t>
      </w:r>
      <w:r w:rsidRPr="00BD2D4D">
        <w:t xml:space="preserve"> del Plan de Acción de </w:t>
      </w:r>
      <w:r w:rsidR="00A50E36">
        <w:t>Buenos Aires</w:t>
      </w:r>
      <w:r w:rsidRPr="00BD2D4D">
        <w:t xml:space="preserve">, y teniendo en cuenta la Cuestión 3/2 (antigua Cuestión 22/1) del UIT-D, la UIT </w:t>
      </w:r>
      <w:r>
        <w:t xml:space="preserve">está </w:t>
      </w:r>
      <w:r w:rsidRPr="00BD2D4D">
        <w:t>ayuda</w:t>
      </w:r>
      <w:r>
        <w:t>ndo</w:t>
      </w:r>
      <w:r w:rsidRPr="00BD2D4D">
        <w:t xml:space="preserve"> a los Estados Miembros a comprender los aspectos jurídicos de la ciberseguridad poniendo a disposición</w:t>
      </w:r>
      <w:r>
        <w:t xml:space="preserve"> de los mismos</w:t>
      </w:r>
      <w:r w:rsidRPr="00BD2D4D">
        <w:t xml:space="preserve"> </w:t>
      </w:r>
      <w:r w:rsidR="00A50E36">
        <w:t>los</w:t>
      </w:r>
      <w:r w:rsidRPr="00BD2D4D">
        <w:t xml:space="preserve"> </w:t>
      </w:r>
      <w:hyperlink r:id="rId39" w:history="1">
        <w:r w:rsidRPr="00791DC0">
          <w:rPr>
            <w:rStyle w:val="Hyperlink"/>
          </w:rPr>
          <w:t>Recursos de la UIT sobre la legislación del ciberdelito</w:t>
        </w:r>
      </w:hyperlink>
      <w:r>
        <w:t xml:space="preserve">, </w:t>
      </w:r>
      <w:r w:rsidRPr="00BD2D4D">
        <w:t>con el fin de contribuir a la armonización de sus marcos jurídicos.</w:t>
      </w:r>
    </w:p>
    <w:p w:rsidR="009759F7" w:rsidRPr="00DB20DD" w:rsidRDefault="00DB20DD" w:rsidP="00DB20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szCs w:val="24"/>
        </w:rPr>
      </w:pPr>
      <w:r w:rsidRPr="00BD2D4D">
        <w:t>2.2</w:t>
      </w:r>
      <w:r w:rsidRPr="00BD2D4D">
        <w:tab/>
        <w:t>En lo que atañe a las medidas jurídicas, la UIT colabora estrechamente con la ONUDD y otros asociados con conocimientos especializados en la materia.</w:t>
      </w:r>
    </w:p>
    <w:p w:rsidR="00A03258" w:rsidRPr="00723C30" w:rsidRDefault="00A03258" w:rsidP="00A03258">
      <w:pPr>
        <w:pStyle w:val="Heading1"/>
      </w:pPr>
      <w:r w:rsidRPr="00723C30">
        <w:t>3</w:t>
      </w:r>
      <w:r w:rsidRPr="00723C30">
        <w:tab/>
        <w:t>Medidas técnicas y de procedimiento</w:t>
      </w:r>
    </w:p>
    <w:p w:rsidR="00A03258" w:rsidRPr="00BD2D4D" w:rsidRDefault="00A03258" w:rsidP="0009251B">
      <w:pPr>
        <w:rPr>
          <w:bCs/>
        </w:rPr>
      </w:pPr>
      <w:r w:rsidRPr="00BD2D4D">
        <w:t>3.1</w:t>
      </w:r>
      <w:r w:rsidRPr="00BD2D4D">
        <w:tab/>
        <w:t xml:space="preserve">La </w:t>
      </w:r>
      <w:hyperlink r:id="rId40" w:history="1">
        <w:r w:rsidRPr="00791DC0">
          <w:rPr>
            <w:rStyle w:val="Hyperlink"/>
          </w:rPr>
          <w:t>Comisión de Estudio 17 (CE 17) del UIT-T</w:t>
        </w:r>
      </w:hyperlink>
      <w:r w:rsidRPr="00BD2D4D">
        <w:t xml:space="preserve">, Comisión de Estudio Rectora sobre seguridad y gestión de identidad (IdM), sigue contribuyendo al estudio y la normalización </w:t>
      </w:r>
      <w:r>
        <w:t>en</w:t>
      </w:r>
      <w:r w:rsidRPr="00BD2D4D">
        <w:t xml:space="preserve"> ámbitos tales como la ciberseguridad, la lucha contra el correo basu</w:t>
      </w:r>
      <w:r>
        <w:t>ra, la IdM, los certificados X.</w:t>
      </w:r>
      <w:r w:rsidRPr="00BD2D4D">
        <w:t>509</w:t>
      </w:r>
      <w:r w:rsidR="00A50E36">
        <w:t xml:space="preserve"> del UIT-T</w:t>
      </w:r>
      <w:r w:rsidRPr="00BD2D4D">
        <w:t>, la gestión de la seguridad de la información, las redes de sensores ubicuos, la telebiometría,</w:t>
      </w:r>
      <w:r w:rsidR="00A50E36">
        <w:t xml:space="preserve"> la seguridad móvil,</w:t>
      </w:r>
      <w:r w:rsidRPr="00BD2D4D">
        <w:t xml:space="preserve"> la seguridad de la virtualización con miras a la seguridad de la computación en la nube, </w:t>
      </w:r>
      <w:r w:rsidR="0009251B">
        <w:t xml:space="preserve">y </w:t>
      </w:r>
      <w:r w:rsidRPr="00BD2D4D">
        <w:t xml:space="preserve">la arquitectura </w:t>
      </w:r>
      <w:r w:rsidR="0009251B">
        <w:t>para la</w:t>
      </w:r>
      <w:r w:rsidRPr="00BD2D4D">
        <w:t xml:space="preserve"> </w:t>
      </w:r>
      <w:r w:rsidR="00A50E36">
        <w:t>protección y</w:t>
      </w:r>
      <w:r w:rsidRPr="00BD2D4D">
        <w:t xml:space="preserve"> seguridad </w:t>
      </w:r>
      <w:r w:rsidR="00A50E36">
        <w:t>de</w:t>
      </w:r>
      <w:r w:rsidRPr="00BD2D4D">
        <w:t xml:space="preserve"> </w:t>
      </w:r>
      <w:r w:rsidR="00A50E36">
        <w:t xml:space="preserve">información </w:t>
      </w:r>
      <w:r w:rsidR="0009251B">
        <w:t>de identificación</w:t>
      </w:r>
      <w:r w:rsidR="00A50E36">
        <w:t xml:space="preserve"> personal</w:t>
      </w:r>
      <w:r w:rsidRPr="00BD2D4D">
        <w:t>, a menudo en cooperación con organizaciones y consorcios de normalización</w:t>
      </w:r>
      <w:r w:rsidRPr="00263386">
        <w:t xml:space="preserve"> </w:t>
      </w:r>
      <w:r w:rsidRPr="00BD2D4D">
        <w:t>externos.</w:t>
      </w:r>
    </w:p>
    <w:p w:rsidR="009759F7" w:rsidRPr="0009251B" w:rsidRDefault="009759F7" w:rsidP="00306E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09251B">
        <w:rPr>
          <w:rFonts w:asciiTheme="minorHAnsi" w:eastAsia="SimSun" w:hAnsiTheme="minorHAnsi" w:cs="Arial"/>
          <w:bCs/>
          <w:szCs w:val="24"/>
          <w:lang w:eastAsia="zh-CN"/>
        </w:rPr>
        <w:t>3.2</w:t>
      </w:r>
      <w:r w:rsidRPr="0009251B">
        <w:rPr>
          <w:rFonts w:asciiTheme="minorHAnsi" w:eastAsia="SimSun" w:hAnsiTheme="minorHAnsi" w:cs="Arial"/>
          <w:bCs/>
          <w:szCs w:val="24"/>
          <w:lang w:eastAsia="zh-CN"/>
        </w:rPr>
        <w:tab/>
      </w:r>
      <w:bookmarkStart w:id="12" w:name="lt_pId036"/>
      <w:r w:rsidR="0009251B" w:rsidRPr="0009251B">
        <w:rPr>
          <w:rFonts w:asciiTheme="minorHAnsi" w:eastAsia="SimSun" w:hAnsiTheme="minorHAnsi" w:cs="Arial"/>
          <w:bCs/>
          <w:szCs w:val="24"/>
          <w:lang w:eastAsia="zh-CN"/>
        </w:rPr>
        <w:t>En su</w:t>
      </w:r>
      <w:r w:rsidRPr="0009251B">
        <w:rPr>
          <w:rFonts w:asciiTheme="minorHAnsi" w:eastAsia="SimSun" w:hAnsiTheme="minorHAnsi" w:cs="Arial"/>
          <w:bCs/>
          <w:szCs w:val="24"/>
          <w:lang w:eastAsia="zh-CN"/>
        </w:rPr>
        <w:t xml:space="preserve"> </w:t>
      </w:r>
      <w:hyperlink r:id="rId41" w:history="1">
        <w:r w:rsidR="0009251B" w:rsidRPr="0009251B">
          <w:rPr>
            <w:rStyle w:val="Hyperlink"/>
            <w:rFonts w:asciiTheme="minorHAnsi" w:eastAsia="SimSun" w:hAnsiTheme="minorHAnsi" w:cs="Arial"/>
            <w:bCs/>
            <w:szCs w:val="24"/>
            <w:lang w:eastAsia="zh-CN"/>
          </w:rPr>
          <w:t xml:space="preserve">reunión celebrada del 29 de agosto al 6 de septiembre de 2017 </w:t>
        </w:r>
      </w:hyperlink>
      <w:r w:rsidRPr="0009251B">
        <w:rPr>
          <w:rFonts w:asciiTheme="minorHAnsi" w:eastAsia="SimSun" w:hAnsiTheme="minorHAnsi" w:cs="Arial"/>
          <w:bCs/>
          <w:szCs w:val="24"/>
          <w:lang w:eastAsia="zh-CN"/>
        </w:rPr>
        <w:t xml:space="preserve">, </w:t>
      </w:r>
      <w:r w:rsidR="0009251B">
        <w:rPr>
          <w:rFonts w:asciiTheme="minorHAnsi" w:eastAsia="SimSun" w:hAnsiTheme="minorHAnsi" w:cs="Arial"/>
          <w:bCs/>
          <w:szCs w:val="24"/>
          <w:lang w:eastAsia="zh-CN"/>
        </w:rPr>
        <w:t xml:space="preserve">la CE 17 del UIT-T </w:t>
      </w:r>
      <w:r w:rsidR="0009251B">
        <w:rPr>
          <w:rFonts w:asciiTheme="minorHAnsi" w:hAnsiTheme="minorHAnsi" w:cstheme="minorHAnsi"/>
          <w:szCs w:val="24"/>
        </w:rPr>
        <w:t>convino en el establecimiento de una nueva Cuestión</w:t>
      </w:r>
      <w:r w:rsidRPr="0009251B">
        <w:rPr>
          <w:rFonts w:asciiTheme="minorHAnsi" w:hAnsiTheme="minorHAnsi" w:cstheme="minorHAnsi"/>
          <w:szCs w:val="24"/>
        </w:rPr>
        <w:t xml:space="preserve"> 14/17 </w:t>
      </w:r>
      <w:r w:rsidR="0009251B">
        <w:rPr>
          <w:rFonts w:asciiTheme="minorHAnsi" w:hAnsiTheme="minorHAnsi" w:cstheme="minorHAnsi"/>
          <w:szCs w:val="24"/>
        </w:rPr>
        <w:t>sobre</w:t>
      </w:r>
      <w:r w:rsidR="00306EB4">
        <w:rPr>
          <w:rFonts w:asciiTheme="minorHAnsi" w:hAnsiTheme="minorHAnsi" w:cstheme="minorHAnsi"/>
          <w:szCs w:val="24"/>
        </w:rPr>
        <w:t xml:space="preserve"> "</w:t>
      </w:r>
      <w:r w:rsidR="00D353C0">
        <w:rPr>
          <w:rFonts w:asciiTheme="minorHAnsi" w:hAnsiTheme="minorHAnsi" w:cstheme="minorHAnsi"/>
          <w:szCs w:val="24"/>
        </w:rPr>
        <w:t xml:space="preserve">Aspectos de seguridad </w:t>
      </w:r>
      <w:r w:rsidR="00E816C9">
        <w:rPr>
          <w:rFonts w:asciiTheme="minorHAnsi" w:hAnsiTheme="minorHAnsi" w:cstheme="minorHAnsi"/>
          <w:szCs w:val="24"/>
        </w:rPr>
        <w:t>de las</w:t>
      </w:r>
      <w:r w:rsidRPr="0009251B">
        <w:rPr>
          <w:rFonts w:asciiTheme="minorHAnsi" w:hAnsiTheme="minorHAnsi" w:cstheme="minorHAnsi"/>
          <w:szCs w:val="24"/>
        </w:rPr>
        <w:t xml:space="preserve"> </w:t>
      </w:r>
      <w:r w:rsidR="00E816C9" w:rsidRPr="00E816C9">
        <w:rPr>
          <w:rFonts w:asciiTheme="minorHAnsi" w:hAnsiTheme="minorHAnsi" w:cstheme="minorHAnsi"/>
          <w:szCs w:val="24"/>
        </w:rPr>
        <w:t>técnicas de contabilidad electrónica distribuida</w:t>
      </w:r>
      <w:r w:rsidR="00306EB4">
        <w:rPr>
          <w:rFonts w:asciiTheme="minorHAnsi" w:hAnsiTheme="minorHAnsi" w:cstheme="minorHAnsi"/>
          <w:szCs w:val="24"/>
        </w:rPr>
        <w:t>"</w:t>
      </w:r>
      <w:r w:rsidRPr="0009251B">
        <w:rPr>
          <w:rFonts w:asciiTheme="minorHAnsi" w:hAnsiTheme="minorHAnsi" w:cstheme="minorHAnsi"/>
          <w:szCs w:val="24"/>
        </w:rPr>
        <w:t xml:space="preserve"> </w:t>
      </w:r>
      <w:r w:rsidR="00E816C9">
        <w:rPr>
          <w:rFonts w:asciiTheme="minorHAnsi" w:hAnsiTheme="minorHAnsi" w:cstheme="minorHAnsi"/>
          <w:szCs w:val="24"/>
        </w:rPr>
        <w:t>y aprobó las nuevas Recomendaciones</w:t>
      </w:r>
      <w:bookmarkEnd w:id="12"/>
      <w:r w:rsidRPr="0009251B">
        <w:rPr>
          <w:rFonts w:asciiTheme="minorHAnsi" w:hAnsiTheme="minorHAnsi" w:cstheme="minorHAnsi"/>
          <w:szCs w:val="24"/>
        </w:rPr>
        <w:t xml:space="preserve"> </w:t>
      </w:r>
      <w:bookmarkStart w:id="13" w:name="lt_pId037"/>
      <w:r w:rsidR="00306EB4">
        <w:rPr>
          <w:rFonts w:asciiTheme="minorHAnsi" w:hAnsiTheme="minorHAnsi" w:cstheme="minorHAnsi"/>
          <w:szCs w:val="24"/>
        </w:rPr>
        <w:t>X.1040 "</w:t>
      </w:r>
      <w:r w:rsidR="00E816C9">
        <w:rPr>
          <w:rFonts w:asciiTheme="minorHAnsi" w:hAnsiTheme="minorHAnsi" w:cstheme="minorHAnsi"/>
          <w:szCs w:val="24"/>
        </w:rPr>
        <w:t>A</w:t>
      </w:r>
      <w:r w:rsidR="00E816C9" w:rsidRPr="00E816C9">
        <w:rPr>
          <w:rFonts w:asciiTheme="minorHAnsi" w:hAnsiTheme="minorHAnsi" w:cstheme="minorHAnsi"/>
          <w:szCs w:val="24"/>
        </w:rPr>
        <w:t>rquitectura de seguridad de referencia para la gestión de la vida útil de los datos corporativos del comercio electrónico</w:t>
      </w:r>
      <w:r w:rsidR="00306EB4">
        <w:rPr>
          <w:rFonts w:asciiTheme="minorHAnsi" w:hAnsiTheme="minorHAnsi" w:cstheme="minorHAnsi"/>
          <w:szCs w:val="24"/>
        </w:rPr>
        <w:t>", X.1053 "</w:t>
      </w:r>
      <w:r w:rsidR="00E816C9" w:rsidRPr="00E816C9">
        <w:rPr>
          <w:rFonts w:asciiTheme="minorHAnsi" w:hAnsiTheme="minorHAnsi" w:cstheme="minorHAnsi"/>
          <w:szCs w:val="24"/>
        </w:rPr>
        <w:t xml:space="preserve">Código de prácticas en materia </w:t>
      </w:r>
      <w:r w:rsidR="00306EB4">
        <w:rPr>
          <w:rFonts w:asciiTheme="minorHAnsi" w:hAnsiTheme="minorHAnsi" w:cstheme="minorHAnsi"/>
          <w:szCs w:val="24"/>
        </w:rPr>
        <w:t xml:space="preserve">de </w:t>
      </w:r>
      <w:r w:rsidR="00E816C9" w:rsidRPr="00E816C9">
        <w:rPr>
          <w:rFonts w:asciiTheme="minorHAnsi" w:hAnsiTheme="minorHAnsi" w:cstheme="minorHAnsi"/>
          <w:szCs w:val="24"/>
        </w:rPr>
        <w:t xml:space="preserve">controles de seguridad de la información basados en la </w:t>
      </w:r>
      <w:r w:rsidR="00E816C9">
        <w:rPr>
          <w:rFonts w:asciiTheme="minorHAnsi" w:hAnsiTheme="minorHAnsi" w:cstheme="minorHAnsi"/>
          <w:szCs w:val="24"/>
        </w:rPr>
        <w:t>Recomendación UIT</w:t>
      </w:r>
      <w:r w:rsidR="00F1601F">
        <w:rPr>
          <w:rFonts w:asciiTheme="minorHAnsi" w:hAnsiTheme="minorHAnsi" w:cstheme="minorHAnsi"/>
          <w:szCs w:val="24"/>
        </w:rPr>
        <w:t>-T</w:t>
      </w:r>
      <w:r w:rsidR="00E816C9">
        <w:rPr>
          <w:rFonts w:asciiTheme="minorHAnsi" w:hAnsiTheme="minorHAnsi" w:cstheme="minorHAnsi"/>
          <w:szCs w:val="24"/>
        </w:rPr>
        <w:t xml:space="preserve"> X.1051 </w:t>
      </w:r>
      <w:r w:rsidR="00E816C9" w:rsidRPr="00E816C9">
        <w:rPr>
          <w:rFonts w:asciiTheme="minorHAnsi" w:hAnsiTheme="minorHAnsi" w:cstheme="minorHAnsi"/>
          <w:szCs w:val="24"/>
        </w:rPr>
        <w:t>para organizaciones de telecomunicacio</w:t>
      </w:r>
      <w:r w:rsidR="00306EB4">
        <w:rPr>
          <w:rFonts w:asciiTheme="minorHAnsi" w:hAnsiTheme="minorHAnsi" w:cstheme="minorHAnsi"/>
          <w:szCs w:val="24"/>
        </w:rPr>
        <w:t>nes de pequeño o mediano tamaño", X.1146 "</w:t>
      </w:r>
      <w:r w:rsidR="00F1601F" w:rsidRPr="00F1601F">
        <w:rPr>
          <w:rFonts w:asciiTheme="minorHAnsi" w:hAnsiTheme="minorHAnsi" w:cstheme="minorHAnsi"/>
          <w:szCs w:val="24"/>
        </w:rPr>
        <w:t xml:space="preserve">Directrices sobre </w:t>
      </w:r>
      <w:r w:rsidR="00F1601F">
        <w:rPr>
          <w:rFonts w:asciiTheme="minorHAnsi" w:hAnsiTheme="minorHAnsi" w:cstheme="minorHAnsi"/>
          <w:szCs w:val="24"/>
        </w:rPr>
        <w:t>protección de la seguridad para servicios de valor añadido prestados por o</w:t>
      </w:r>
      <w:r w:rsidR="00306EB4">
        <w:rPr>
          <w:rFonts w:asciiTheme="minorHAnsi" w:hAnsiTheme="minorHAnsi" w:cstheme="minorHAnsi"/>
          <w:szCs w:val="24"/>
        </w:rPr>
        <w:t>peradores de telecomunicaciones", X.1213 "</w:t>
      </w:r>
      <w:r w:rsidR="00395914" w:rsidRPr="0009251B">
        <w:rPr>
          <w:rFonts w:asciiTheme="minorHAnsi" w:hAnsiTheme="minorHAnsi" w:cstheme="minorHAnsi"/>
          <w:szCs w:val="24"/>
        </w:rPr>
        <w:t>Capacidades de seguridad necesarias para luchar contra las redes robot en teléfonos inteligentes</w:t>
      </w:r>
      <w:r w:rsidR="00306EB4">
        <w:rPr>
          <w:rFonts w:asciiTheme="minorHAnsi" w:hAnsiTheme="minorHAnsi" w:cstheme="minorHAnsi"/>
          <w:szCs w:val="24"/>
        </w:rPr>
        <w:t>"</w:t>
      </w:r>
      <w:r w:rsidRPr="0009251B">
        <w:rPr>
          <w:rFonts w:asciiTheme="minorHAnsi" w:hAnsiTheme="minorHAnsi" w:cstheme="minorHAnsi"/>
          <w:szCs w:val="24"/>
        </w:rPr>
        <w:t>,</w:t>
      </w:r>
      <w:r w:rsidR="00306EB4">
        <w:rPr>
          <w:rFonts w:asciiTheme="minorHAnsi" w:hAnsiTheme="minorHAnsi" w:cstheme="minorHAnsi"/>
          <w:szCs w:val="24"/>
        </w:rPr>
        <w:t xml:space="preserve"> X.1248 "</w:t>
      </w:r>
      <w:r w:rsidR="00395914" w:rsidRPr="0009251B">
        <w:rPr>
          <w:rFonts w:asciiTheme="minorHAnsi" w:hAnsiTheme="minorHAnsi" w:cstheme="minorHAnsi"/>
          <w:szCs w:val="24"/>
        </w:rPr>
        <w:t xml:space="preserve">Requisitos técnicos para contrarrestar el </w:t>
      </w:r>
      <w:r w:rsidR="00F1601F">
        <w:rPr>
          <w:rFonts w:asciiTheme="minorHAnsi" w:hAnsiTheme="minorHAnsi" w:cstheme="minorHAnsi"/>
          <w:szCs w:val="24"/>
        </w:rPr>
        <w:t>correo basura</w:t>
      </w:r>
      <w:r w:rsidR="00395914" w:rsidRPr="0009251B">
        <w:rPr>
          <w:rFonts w:asciiTheme="minorHAnsi" w:hAnsiTheme="minorHAnsi" w:cstheme="minorHAnsi"/>
          <w:szCs w:val="24"/>
        </w:rPr>
        <w:t xml:space="preserve"> por mensajería instantánea</w:t>
      </w:r>
      <w:r w:rsidR="00F1601F">
        <w:rPr>
          <w:rFonts w:asciiTheme="minorHAnsi" w:hAnsiTheme="minorHAnsi" w:cstheme="minorHAnsi"/>
          <w:szCs w:val="24"/>
        </w:rPr>
        <w:t xml:space="preserve"> (SPIM)</w:t>
      </w:r>
      <w:r w:rsidR="00306EB4">
        <w:rPr>
          <w:rFonts w:asciiTheme="minorHAnsi" w:hAnsiTheme="minorHAnsi" w:cstheme="minorHAnsi"/>
          <w:szCs w:val="24"/>
        </w:rPr>
        <w:t>"</w:t>
      </w:r>
      <w:r w:rsidR="00F1601F">
        <w:rPr>
          <w:rFonts w:asciiTheme="minorHAnsi" w:hAnsiTheme="minorHAnsi" w:cstheme="minorHAnsi"/>
          <w:szCs w:val="24"/>
        </w:rPr>
        <w:t xml:space="preserve"> y</w:t>
      </w:r>
      <w:r w:rsidRPr="0009251B">
        <w:rPr>
          <w:rFonts w:asciiTheme="minorHAnsi" w:hAnsiTheme="minorHAnsi" w:cstheme="minorHAnsi"/>
          <w:szCs w:val="24"/>
        </w:rPr>
        <w:t xml:space="preserve"> </w:t>
      </w:r>
      <w:r w:rsidR="00F1601F">
        <w:rPr>
          <w:rFonts w:asciiTheme="minorHAnsi" w:hAnsiTheme="minorHAnsi" w:cstheme="minorHAnsi"/>
          <w:szCs w:val="24"/>
        </w:rPr>
        <w:t xml:space="preserve">la Recomendación revisada </w:t>
      </w:r>
      <w:r w:rsidRPr="0009251B">
        <w:rPr>
          <w:rFonts w:asciiTheme="minorHAnsi" w:hAnsiTheme="minorHAnsi" w:cstheme="minorHAnsi"/>
          <w:szCs w:val="24"/>
        </w:rPr>
        <w:t xml:space="preserve">X.1541 </w:t>
      </w:r>
      <w:r w:rsidR="00306EB4">
        <w:rPr>
          <w:rFonts w:asciiTheme="minorHAnsi" w:hAnsiTheme="minorHAnsi" w:cstheme="minorHAnsi"/>
          <w:szCs w:val="24"/>
        </w:rPr>
        <w:t>"</w:t>
      </w:r>
      <w:r w:rsidR="00395914" w:rsidRPr="0009251B">
        <w:rPr>
          <w:rFonts w:asciiTheme="minorHAnsi" w:hAnsiTheme="minorHAnsi" w:cstheme="minorHAnsi"/>
          <w:szCs w:val="24"/>
        </w:rPr>
        <w:t>Formato para el intercambio de descripciones de objetos de incidentes</w:t>
      </w:r>
      <w:r w:rsidR="00F1601F">
        <w:rPr>
          <w:rFonts w:asciiTheme="minorHAnsi" w:hAnsiTheme="minorHAnsi" w:cstheme="minorHAnsi"/>
          <w:szCs w:val="24"/>
        </w:rPr>
        <w:t xml:space="preserve"> (</w:t>
      </w:r>
      <w:r w:rsidR="00395914" w:rsidRPr="0009251B">
        <w:rPr>
          <w:rFonts w:asciiTheme="minorHAnsi" w:hAnsiTheme="minorHAnsi" w:cstheme="minorHAnsi"/>
          <w:szCs w:val="24"/>
        </w:rPr>
        <w:t>versión 2</w:t>
      </w:r>
      <w:r w:rsidR="00306EB4">
        <w:rPr>
          <w:rFonts w:asciiTheme="minorHAnsi" w:hAnsiTheme="minorHAnsi" w:cstheme="minorHAnsi"/>
          <w:szCs w:val="24"/>
        </w:rPr>
        <w:t>)"</w:t>
      </w:r>
      <w:r w:rsidRPr="0009251B">
        <w:rPr>
          <w:rFonts w:asciiTheme="minorHAnsi" w:hAnsiTheme="minorHAnsi" w:cstheme="minorHAnsi"/>
          <w:szCs w:val="24"/>
        </w:rPr>
        <w:t>.</w:t>
      </w:r>
      <w:bookmarkEnd w:id="13"/>
    </w:p>
    <w:p w:rsidR="009759F7" w:rsidRPr="00F7584C" w:rsidRDefault="009759F7" w:rsidP="00744B0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F1601F">
        <w:rPr>
          <w:rFonts w:asciiTheme="minorHAnsi" w:hAnsiTheme="minorHAnsi" w:cstheme="minorHAnsi"/>
          <w:szCs w:val="24"/>
        </w:rPr>
        <w:t>3.3</w:t>
      </w:r>
      <w:r w:rsidRPr="00F1601F">
        <w:rPr>
          <w:rFonts w:asciiTheme="minorHAnsi" w:hAnsiTheme="minorHAnsi" w:cstheme="minorHAnsi"/>
          <w:szCs w:val="24"/>
        </w:rPr>
        <w:tab/>
      </w:r>
      <w:bookmarkStart w:id="14" w:name="lt_pId039"/>
      <w:r w:rsidR="00F1601F" w:rsidRPr="00F1601F">
        <w:rPr>
          <w:rFonts w:asciiTheme="minorHAnsi" w:hAnsiTheme="minorHAnsi" w:cstheme="minorHAnsi"/>
          <w:szCs w:val="24"/>
        </w:rPr>
        <w:t xml:space="preserve">La CE 17 del UIT-T aprobó tres Suplementos </w:t>
      </w:r>
      <w:r w:rsidR="00F7584C">
        <w:rPr>
          <w:rFonts w:asciiTheme="minorHAnsi" w:hAnsiTheme="minorHAnsi" w:cstheme="minorHAnsi"/>
          <w:szCs w:val="24"/>
        </w:rPr>
        <w:t>de</w:t>
      </w:r>
      <w:r w:rsidR="00F1601F" w:rsidRPr="00F1601F">
        <w:rPr>
          <w:rFonts w:asciiTheme="minorHAnsi" w:hAnsiTheme="minorHAnsi" w:cstheme="minorHAnsi"/>
          <w:szCs w:val="24"/>
        </w:rPr>
        <w:t xml:space="preserve"> las Recomendaciones UIT-T de la serie X</w:t>
      </w:r>
      <w:bookmarkEnd w:id="14"/>
      <w:r w:rsidR="00F7584C">
        <w:rPr>
          <w:rFonts w:asciiTheme="minorHAnsi" w:hAnsiTheme="minorHAnsi" w:cstheme="minorHAnsi"/>
          <w:szCs w:val="24"/>
        </w:rPr>
        <w:t>, a saber,</w:t>
      </w:r>
      <w:r w:rsidRPr="00F1601F">
        <w:rPr>
          <w:rFonts w:asciiTheme="minorHAnsi" w:hAnsiTheme="minorHAnsi" w:cstheme="minorHAnsi"/>
          <w:szCs w:val="24"/>
        </w:rPr>
        <w:t xml:space="preserve"> </w:t>
      </w:r>
      <w:bookmarkStart w:id="15" w:name="lt_pId040"/>
      <w:r w:rsidR="00744B05">
        <w:rPr>
          <w:rFonts w:asciiTheme="minorHAnsi" w:hAnsiTheme="minorHAnsi" w:cstheme="minorHAnsi"/>
          <w:szCs w:val="24"/>
        </w:rPr>
        <w:t>X.Suppl 29 "</w:t>
      </w:r>
      <w:r w:rsidR="00F1601F" w:rsidRPr="00F1601F">
        <w:rPr>
          <w:rFonts w:asciiTheme="minorHAnsi" w:hAnsiTheme="minorHAnsi" w:cstheme="minorHAnsi"/>
          <w:szCs w:val="24"/>
        </w:rPr>
        <w:t>Sup</w:t>
      </w:r>
      <w:r w:rsidRPr="00F1601F">
        <w:rPr>
          <w:rFonts w:asciiTheme="minorHAnsi" w:hAnsiTheme="minorHAnsi" w:cstheme="minorHAnsi"/>
          <w:szCs w:val="24"/>
        </w:rPr>
        <w:t>lement</w:t>
      </w:r>
      <w:r w:rsidR="00F1601F" w:rsidRPr="00F1601F">
        <w:rPr>
          <w:rFonts w:asciiTheme="minorHAnsi" w:hAnsiTheme="minorHAnsi" w:cstheme="minorHAnsi"/>
          <w:szCs w:val="24"/>
        </w:rPr>
        <w:t>o a UIT</w:t>
      </w:r>
      <w:r w:rsidRPr="00F1601F">
        <w:rPr>
          <w:rFonts w:asciiTheme="minorHAnsi" w:hAnsiTheme="minorHAnsi" w:cstheme="minorHAnsi"/>
          <w:szCs w:val="24"/>
        </w:rPr>
        <w:t>-T X.1242 –</w:t>
      </w:r>
      <w:r w:rsidR="00F1601F" w:rsidRPr="00F1601F">
        <w:rPr>
          <w:rFonts w:asciiTheme="minorHAnsi" w:hAnsiTheme="minorHAnsi" w:cstheme="minorHAnsi"/>
          <w:szCs w:val="24"/>
        </w:rPr>
        <w:t xml:space="preserve"> D</w:t>
      </w:r>
      <w:r w:rsidR="00F1601F">
        <w:rPr>
          <w:rFonts w:asciiTheme="minorHAnsi" w:hAnsiTheme="minorHAnsi" w:cstheme="minorHAnsi"/>
          <w:szCs w:val="24"/>
        </w:rPr>
        <w:t xml:space="preserve">irectrices sobre contramedidas frente </w:t>
      </w:r>
      <w:r w:rsidR="00F7584C">
        <w:rPr>
          <w:rFonts w:asciiTheme="minorHAnsi" w:hAnsiTheme="minorHAnsi" w:cstheme="minorHAnsi"/>
          <w:szCs w:val="24"/>
        </w:rPr>
        <w:t xml:space="preserve">a </w:t>
      </w:r>
      <w:r w:rsidR="00F1601F">
        <w:rPr>
          <w:rFonts w:asciiTheme="minorHAnsi" w:hAnsiTheme="minorHAnsi" w:cstheme="minorHAnsi"/>
          <w:szCs w:val="24"/>
        </w:rPr>
        <w:t>ataques de suplantación de identidad por s</w:t>
      </w:r>
      <w:r w:rsidR="00F1601F" w:rsidRPr="00F1601F">
        <w:rPr>
          <w:rFonts w:asciiTheme="minorHAnsi" w:hAnsiTheme="minorHAnsi" w:cstheme="minorHAnsi"/>
          <w:szCs w:val="24"/>
        </w:rPr>
        <w:t xml:space="preserve">ervicio de mensajes breves </w:t>
      </w:r>
      <w:r w:rsidR="00F1601F">
        <w:rPr>
          <w:rFonts w:asciiTheme="minorHAnsi" w:hAnsiTheme="minorHAnsi" w:cstheme="minorHAnsi"/>
          <w:szCs w:val="24"/>
        </w:rPr>
        <w:t>(SMS)</w:t>
      </w:r>
      <w:r w:rsidR="00744B05">
        <w:rPr>
          <w:rFonts w:asciiTheme="minorHAnsi" w:hAnsiTheme="minorHAnsi" w:cstheme="minorHAnsi"/>
          <w:szCs w:val="24"/>
        </w:rPr>
        <w:t>"</w:t>
      </w:r>
      <w:r w:rsidRPr="00F7584C">
        <w:rPr>
          <w:rFonts w:asciiTheme="minorHAnsi" w:hAnsiTheme="minorHAnsi" w:cstheme="minorHAnsi"/>
          <w:szCs w:val="24"/>
        </w:rPr>
        <w:t>;</w:t>
      </w:r>
      <w:bookmarkEnd w:id="15"/>
      <w:r w:rsidRPr="00F7584C">
        <w:rPr>
          <w:rFonts w:asciiTheme="minorHAnsi" w:hAnsiTheme="minorHAnsi" w:cstheme="minorHAnsi"/>
          <w:szCs w:val="24"/>
        </w:rPr>
        <w:t xml:space="preserve"> </w:t>
      </w:r>
      <w:bookmarkStart w:id="16" w:name="lt_pId041"/>
      <w:r w:rsidRPr="00F7584C">
        <w:rPr>
          <w:rFonts w:asciiTheme="minorHAnsi" w:hAnsiTheme="minorHAnsi" w:cstheme="minorHAnsi"/>
          <w:szCs w:val="24"/>
        </w:rPr>
        <w:t xml:space="preserve">X.Suppl 30 </w:t>
      </w:r>
      <w:r w:rsidR="00744B05">
        <w:rPr>
          <w:rFonts w:asciiTheme="minorHAnsi" w:hAnsiTheme="minorHAnsi" w:cstheme="minorHAnsi"/>
          <w:szCs w:val="24"/>
        </w:rPr>
        <w:t>"</w:t>
      </w:r>
      <w:r w:rsidR="00F7584C" w:rsidRPr="00F7584C">
        <w:rPr>
          <w:rFonts w:asciiTheme="minorHAnsi" w:hAnsiTheme="minorHAnsi" w:cstheme="minorHAnsi"/>
          <w:szCs w:val="24"/>
        </w:rPr>
        <w:t>Suplemento</w:t>
      </w:r>
      <w:r w:rsidR="00F7584C">
        <w:rPr>
          <w:rFonts w:asciiTheme="minorHAnsi" w:hAnsiTheme="minorHAnsi" w:cstheme="minorHAnsi"/>
          <w:szCs w:val="24"/>
        </w:rPr>
        <w:t xml:space="preserve"> a UIT</w:t>
      </w:r>
      <w:r w:rsidRPr="00F7584C">
        <w:rPr>
          <w:rFonts w:asciiTheme="minorHAnsi" w:hAnsiTheme="minorHAnsi" w:cstheme="minorHAnsi"/>
          <w:szCs w:val="24"/>
        </w:rPr>
        <w:t>-T X.805:</w:t>
      </w:r>
      <w:bookmarkEnd w:id="16"/>
      <w:r w:rsidRPr="00F7584C">
        <w:rPr>
          <w:rFonts w:asciiTheme="minorHAnsi" w:hAnsiTheme="minorHAnsi" w:cstheme="minorHAnsi"/>
          <w:szCs w:val="24"/>
        </w:rPr>
        <w:t xml:space="preserve"> </w:t>
      </w:r>
      <w:bookmarkStart w:id="17" w:name="lt_pId042"/>
      <w:r w:rsidR="00F7584C">
        <w:rPr>
          <w:rFonts w:asciiTheme="minorHAnsi" w:hAnsiTheme="minorHAnsi" w:cstheme="minorHAnsi"/>
          <w:szCs w:val="24"/>
        </w:rPr>
        <w:t>Directrices de seguridad para operadores</w:t>
      </w:r>
      <w:r w:rsidR="00F7584C" w:rsidRPr="00F7584C">
        <w:rPr>
          <w:rFonts w:asciiTheme="minorHAnsi" w:hAnsiTheme="minorHAnsi" w:cstheme="minorHAnsi"/>
          <w:szCs w:val="24"/>
        </w:rPr>
        <w:t xml:space="preserve"> de red móvil virtual</w:t>
      </w:r>
      <w:r w:rsidR="00744B05">
        <w:rPr>
          <w:rFonts w:asciiTheme="minorHAnsi" w:hAnsiTheme="minorHAnsi" w:cstheme="minorHAnsi"/>
          <w:szCs w:val="24"/>
        </w:rPr>
        <w:t xml:space="preserve"> (MVNO)"</w:t>
      </w:r>
      <w:r w:rsidR="00F7584C">
        <w:rPr>
          <w:rFonts w:asciiTheme="minorHAnsi" w:hAnsiTheme="minorHAnsi" w:cstheme="minorHAnsi"/>
          <w:szCs w:val="24"/>
        </w:rPr>
        <w:t xml:space="preserve"> y </w:t>
      </w:r>
      <w:r w:rsidRPr="00F7584C">
        <w:rPr>
          <w:rFonts w:asciiTheme="minorHAnsi" w:hAnsiTheme="minorHAnsi" w:cstheme="minorHAnsi"/>
          <w:szCs w:val="24"/>
        </w:rPr>
        <w:t xml:space="preserve">X.Suppl 31 </w:t>
      </w:r>
      <w:r w:rsidR="00744B05">
        <w:rPr>
          <w:rFonts w:asciiTheme="minorHAnsi" w:hAnsiTheme="minorHAnsi" w:cstheme="minorHAnsi"/>
          <w:szCs w:val="24"/>
        </w:rPr>
        <w:t>"</w:t>
      </w:r>
      <w:r w:rsidR="00F7584C">
        <w:rPr>
          <w:rFonts w:asciiTheme="minorHAnsi" w:hAnsiTheme="minorHAnsi" w:cstheme="minorHAnsi"/>
          <w:szCs w:val="24"/>
        </w:rPr>
        <w:t>Suplemento a UIT</w:t>
      </w:r>
      <w:r w:rsidRPr="00F7584C">
        <w:rPr>
          <w:rFonts w:asciiTheme="minorHAnsi" w:hAnsiTheme="minorHAnsi" w:cstheme="minorHAnsi"/>
          <w:szCs w:val="24"/>
        </w:rPr>
        <w:t>-T X.660 –</w:t>
      </w:r>
      <w:r w:rsidR="00F7584C">
        <w:rPr>
          <w:rFonts w:asciiTheme="minorHAnsi" w:hAnsiTheme="minorHAnsi" w:cstheme="minorHAnsi"/>
          <w:szCs w:val="24"/>
        </w:rPr>
        <w:t xml:space="preserve"> </w:t>
      </w:r>
      <w:r w:rsidR="00F7584C" w:rsidRPr="00F7584C">
        <w:rPr>
          <w:rFonts w:asciiTheme="minorHAnsi" w:hAnsiTheme="minorHAnsi" w:cstheme="minorHAnsi"/>
          <w:szCs w:val="24"/>
        </w:rPr>
        <w:t>Directrices sobre utilización de identificadores de objeto para Internet de las Cosas</w:t>
      </w:r>
      <w:r w:rsidR="00744B05">
        <w:rPr>
          <w:rFonts w:asciiTheme="minorHAnsi" w:hAnsiTheme="minorHAnsi" w:cstheme="minorHAnsi"/>
          <w:szCs w:val="24"/>
        </w:rPr>
        <w:t>"</w:t>
      </w:r>
      <w:r w:rsidRPr="00F7584C">
        <w:rPr>
          <w:rFonts w:asciiTheme="minorHAnsi" w:hAnsiTheme="minorHAnsi" w:cstheme="minorHAnsi"/>
          <w:szCs w:val="24"/>
        </w:rPr>
        <w:t>.</w:t>
      </w:r>
      <w:bookmarkEnd w:id="17"/>
    </w:p>
    <w:p w:rsidR="009759F7" w:rsidRPr="00C62AAB" w:rsidRDefault="009759F7" w:rsidP="00D53B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rFonts w:asciiTheme="minorHAnsi" w:eastAsia="SimSun" w:hAnsiTheme="minorHAnsi" w:cs="Arial"/>
          <w:bCs/>
          <w:szCs w:val="24"/>
          <w:lang w:eastAsia="zh-CN"/>
        </w:rPr>
      </w:pPr>
      <w:r w:rsidRPr="00AD0FFE">
        <w:rPr>
          <w:rFonts w:asciiTheme="minorHAnsi" w:eastAsia="SimSun" w:hAnsiTheme="minorHAnsi" w:cs="Arial"/>
          <w:bCs/>
          <w:szCs w:val="24"/>
          <w:lang w:eastAsia="zh-CN"/>
        </w:rPr>
        <w:t>3.4</w:t>
      </w:r>
      <w:r w:rsidRPr="00AD0FFE">
        <w:rPr>
          <w:rFonts w:asciiTheme="minorHAnsi" w:eastAsia="SimSun" w:hAnsiTheme="minorHAnsi" w:cs="Arial"/>
          <w:bCs/>
          <w:szCs w:val="24"/>
          <w:lang w:eastAsia="zh-CN"/>
        </w:rPr>
        <w:tab/>
      </w:r>
      <w:bookmarkStart w:id="18" w:name="lt_pId044"/>
      <w:r w:rsidR="00AD0FFE" w:rsidRPr="00AD0FFE">
        <w:rPr>
          <w:rFonts w:asciiTheme="minorHAnsi" w:hAnsiTheme="minorHAnsi" w:cstheme="minorHAnsi"/>
          <w:szCs w:val="24"/>
        </w:rPr>
        <w:t xml:space="preserve">En la próxima reunión </w:t>
      </w:r>
      <w:r w:rsidR="00AD0FFE">
        <w:rPr>
          <w:rFonts w:asciiTheme="minorHAnsi" w:hAnsiTheme="minorHAnsi" w:cstheme="minorHAnsi"/>
          <w:szCs w:val="24"/>
        </w:rPr>
        <w:t>de la CE 17</w:t>
      </w:r>
      <w:r w:rsidR="004F6114">
        <w:rPr>
          <w:rFonts w:asciiTheme="minorHAnsi" w:hAnsiTheme="minorHAnsi" w:cstheme="minorHAnsi"/>
          <w:szCs w:val="24"/>
        </w:rPr>
        <w:t>, que tendrá lugar</w:t>
      </w:r>
      <w:r w:rsidR="00AD0FFE" w:rsidRPr="00AD0FFE">
        <w:rPr>
          <w:rFonts w:asciiTheme="minorHAnsi" w:hAnsiTheme="minorHAnsi" w:cstheme="minorHAnsi"/>
          <w:szCs w:val="24"/>
        </w:rPr>
        <w:t xml:space="preserve"> en marzo de 2018, se </w:t>
      </w:r>
      <w:r w:rsidR="00AD0FFE">
        <w:rPr>
          <w:rFonts w:asciiTheme="minorHAnsi" w:hAnsiTheme="minorHAnsi" w:cstheme="minorHAnsi"/>
          <w:szCs w:val="24"/>
        </w:rPr>
        <w:t>prevé la aprobación de</w:t>
      </w:r>
      <w:r w:rsidR="00AD0FFE" w:rsidRPr="00AD0FFE">
        <w:rPr>
          <w:rFonts w:asciiTheme="minorHAnsi" w:hAnsiTheme="minorHAnsi" w:cstheme="minorHAnsi"/>
          <w:szCs w:val="24"/>
        </w:rPr>
        <w:t xml:space="preserve"> tres proyectos de nueva Recomendación </w:t>
      </w:r>
      <w:r w:rsidR="00AD0FFE">
        <w:rPr>
          <w:rFonts w:asciiTheme="minorHAnsi" w:hAnsiTheme="minorHAnsi" w:cstheme="minorHAnsi"/>
          <w:szCs w:val="24"/>
        </w:rPr>
        <w:t>por el proyecto de aprobación tradicional</w:t>
      </w:r>
      <w:r w:rsidR="00AD0FFE" w:rsidRPr="00AD0FFE">
        <w:rPr>
          <w:rFonts w:asciiTheme="minorHAnsi" w:hAnsiTheme="minorHAnsi" w:cstheme="minorHAnsi"/>
          <w:szCs w:val="24"/>
        </w:rPr>
        <w:t xml:space="preserve">. </w:t>
      </w:r>
      <w:r w:rsidR="00C62AAB">
        <w:rPr>
          <w:rFonts w:asciiTheme="minorHAnsi" w:hAnsiTheme="minorHAnsi" w:cstheme="minorHAnsi"/>
          <w:szCs w:val="24"/>
        </w:rPr>
        <w:t>Se prevé finalizar y aprobar asimismo o</w:t>
      </w:r>
      <w:r w:rsidR="00AD0FFE" w:rsidRPr="00AD0FFE">
        <w:rPr>
          <w:rFonts w:asciiTheme="minorHAnsi" w:hAnsiTheme="minorHAnsi" w:cstheme="minorHAnsi"/>
          <w:szCs w:val="24"/>
        </w:rPr>
        <w:t xml:space="preserve">tros </w:t>
      </w:r>
      <w:r w:rsidR="00AD0FFE">
        <w:rPr>
          <w:rFonts w:asciiTheme="minorHAnsi" w:hAnsiTheme="minorHAnsi" w:cstheme="minorHAnsi"/>
          <w:szCs w:val="24"/>
        </w:rPr>
        <w:t>temas</w:t>
      </w:r>
      <w:r w:rsidR="00AD0FFE" w:rsidRPr="00AD0FFE">
        <w:rPr>
          <w:rFonts w:asciiTheme="minorHAnsi" w:hAnsiTheme="minorHAnsi" w:cstheme="minorHAnsi"/>
          <w:szCs w:val="24"/>
        </w:rPr>
        <w:t xml:space="preserve"> de trabajo </w:t>
      </w:r>
      <w:r w:rsidR="00E75BCB">
        <w:rPr>
          <w:rFonts w:asciiTheme="minorHAnsi" w:hAnsiTheme="minorHAnsi" w:cstheme="minorHAnsi"/>
          <w:szCs w:val="24"/>
        </w:rPr>
        <w:t xml:space="preserve">en curso </w:t>
      </w:r>
      <w:r w:rsidR="00AD0FFE" w:rsidRPr="00AD0FFE">
        <w:rPr>
          <w:rFonts w:asciiTheme="minorHAnsi" w:hAnsiTheme="minorHAnsi" w:cstheme="minorHAnsi"/>
          <w:szCs w:val="24"/>
        </w:rPr>
        <w:t>sobre</w:t>
      </w:r>
      <w:r w:rsidR="00D53BEB">
        <w:rPr>
          <w:rFonts w:asciiTheme="minorHAnsi" w:hAnsiTheme="minorHAnsi" w:cstheme="minorHAnsi"/>
          <w:szCs w:val="24"/>
        </w:rPr>
        <w:t xml:space="preserve"> el "</w:t>
      </w:r>
      <w:r w:rsidR="00E75BCB" w:rsidRPr="00E75BCB">
        <w:rPr>
          <w:rFonts w:asciiTheme="minorHAnsi" w:hAnsiTheme="minorHAnsi" w:cstheme="minorHAnsi"/>
          <w:szCs w:val="24"/>
        </w:rPr>
        <w:t xml:space="preserve">Marco técnico para </w:t>
      </w:r>
      <w:r w:rsidR="00E75BCB">
        <w:rPr>
          <w:rFonts w:asciiTheme="minorHAnsi" w:hAnsiTheme="minorHAnsi" w:cstheme="minorHAnsi"/>
          <w:szCs w:val="24"/>
        </w:rPr>
        <w:t>la lucha</w:t>
      </w:r>
      <w:r w:rsidR="00E75BCB" w:rsidRPr="00E75BCB">
        <w:rPr>
          <w:rFonts w:asciiTheme="minorHAnsi" w:hAnsiTheme="minorHAnsi" w:cstheme="minorHAnsi"/>
          <w:szCs w:val="24"/>
        </w:rPr>
        <w:t xml:space="preserve"> contra el correo basura </w:t>
      </w:r>
      <w:r w:rsidR="00E75BCB">
        <w:rPr>
          <w:rFonts w:asciiTheme="minorHAnsi" w:hAnsiTheme="minorHAnsi" w:cstheme="minorHAnsi"/>
          <w:szCs w:val="24"/>
        </w:rPr>
        <w:t xml:space="preserve">publicitario </w:t>
      </w:r>
      <w:r w:rsidR="00E75BCB" w:rsidRPr="00E75BCB">
        <w:rPr>
          <w:rFonts w:asciiTheme="minorHAnsi" w:hAnsiTheme="minorHAnsi" w:cstheme="minorHAnsi"/>
          <w:szCs w:val="24"/>
        </w:rPr>
        <w:t>en la mensajería móvil"</w:t>
      </w:r>
      <w:r w:rsidR="00D53BEB">
        <w:rPr>
          <w:rFonts w:asciiTheme="minorHAnsi" w:hAnsiTheme="minorHAnsi" w:cstheme="minorHAnsi"/>
          <w:szCs w:val="24"/>
        </w:rPr>
        <w:t>, "</w:t>
      </w:r>
      <w:r w:rsidR="00E75BCB">
        <w:rPr>
          <w:rFonts w:asciiTheme="minorHAnsi" w:hAnsiTheme="minorHAnsi" w:cstheme="minorHAnsi"/>
          <w:szCs w:val="24"/>
        </w:rPr>
        <w:t>M</w:t>
      </w:r>
      <w:r w:rsidR="00E75BCB" w:rsidRPr="00E75BCB">
        <w:rPr>
          <w:rFonts w:asciiTheme="minorHAnsi" w:hAnsiTheme="minorHAnsi" w:cstheme="minorHAnsi"/>
          <w:szCs w:val="24"/>
        </w:rPr>
        <w:t>arco de seguridad para Internet de las Cosas</w:t>
      </w:r>
      <w:r w:rsidR="00D53BEB">
        <w:rPr>
          <w:rFonts w:asciiTheme="minorHAnsi" w:hAnsiTheme="minorHAnsi" w:cstheme="minorHAnsi"/>
          <w:szCs w:val="24"/>
        </w:rPr>
        <w:t>"</w:t>
      </w:r>
      <w:r w:rsidR="00E75BCB">
        <w:rPr>
          <w:rFonts w:asciiTheme="minorHAnsi" w:hAnsiTheme="minorHAnsi" w:cstheme="minorHAnsi"/>
          <w:szCs w:val="24"/>
        </w:rPr>
        <w:t>,</w:t>
      </w:r>
      <w:r w:rsidR="00AD0FFE" w:rsidRPr="00AD0FFE">
        <w:rPr>
          <w:rFonts w:asciiTheme="minorHAnsi" w:hAnsiTheme="minorHAnsi" w:cstheme="minorHAnsi"/>
          <w:szCs w:val="24"/>
        </w:rPr>
        <w:t xml:space="preserve"> </w:t>
      </w:r>
      <w:r w:rsidR="00D53BEB">
        <w:rPr>
          <w:rFonts w:asciiTheme="minorHAnsi" w:hAnsiTheme="minorHAnsi" w:cstheme="minorHAnsi"/>
          <w:szCs w:val="24"/>
        </w:rPr>
        <w:t>"</w:t>
      </w:r>
      <w:r w:rsidR="00E75BCB">
        <w:rPr>
          <w:rFonts w:asciiTheme="minorHAnsi" w:hAnsiTheme="minorHAnsi" w:cstheme="minorHAnsi"/>
          <w:szCs w:val="24"/>
        </w:rPr>
        <w:t>Marco de seguridad para la operación de redes</w:t>
      </w:r>
      <w:r w:rsidR="00E75BCB" w:rsidRPr="00E75BCB">
        <w:rPr>
          <w:rFonts w:asciiTheme="minorHAnsi" w:hAnsiTheme="minorHAnsi" w:cstheme="minorHAnsi"/>
          <w:szCs w:val="24"/>
        </w:rPr>
        <w:t xml:space="preserve"> de voz por evolución a largo plazo </w:t>
      </w:r>
      <w:r w:rsidR="00E75BCB">
        <w:rPr>
          <w:rFonts w:asciiTheme="minorHAnsi" w:hAnsiTheme="minorHAnsi" w:cstheme="minorHAnsi"/>
          <w:szCs w:val="24"/>
        </w:rPr>
        <w:lastRenderedPageBreak/>
        <w:t>(VoLTE)</w:t>
      </w:r>
      <w:r w:rsidR="00D53BEB">
        <w:rPr>
          <w:rFonts w:asciiTheme="minorHAnsi" w:hAnsiTheme="minorHAnsi" w:cstheme="minorHAnsi"/>
          <w:szCs w:val="24"/>
        </w:rPr>
        <w:t>"</w:t>
      </w:r>
      <w:r w:rsidR="00E75BCB">
        <w:rPr>
          <w:rFonts w:asciiTheme="minorHAnsi" w:hAnsiTheme="minorHAnsi" w:cstheme="minorHAnsi"/>
          <w:szCs w:val="24"/>
        </w:rPr>
        <w:t xml:space="preserve">, </w:t>
      </w:r>
      <w:r w:rsidR="00C62AAB">
        <w:rPr>
          <w:rFonts w:asciiTheme="minorHAnsi" w:hAnsiTheme="minorHAnsi" w:cstheme="minorHAnsi"/>
          <w:szCs w:val="24"/>
        </w:rPr>
        <w:t xml:space="preserve">y </w:t>
      </w:r>
      <w:r w:rsidR="00D53BEB">
        <w:rPr>
          <w:rFonts w:asciiTheme="minorHAnsi" w:hAnsiTheme="minorHAnsi" w:cstheme="minorHAnsi"/>
          <w:szCs w:val="24"/>
        </w:rPr>
        <w:t>"</w:t>
      </w:r>
      <w:r w:rsidR="00E75BCB">
        <w:rPr>
          <w:rFonts w:asciiTheme="minorHAnsi" w:hAnsiTheme="minorHAnsi" w:cstheme="minorHAnsi"/>
          <w:szCs w:val="24"/>
        </w:rPr>
        <w:t>Protocolo para el aumento de la confianza</w:t>
      </w:r>
      <w:r w:rsidR="00AD0FFE" w:rsidRPr="00AD0FFE">
        <w:rPr>
          <w:rFonts w:asciiTheme="minorHAnsi" w:hAnsiTheme="minorHAnsi" w:cstheme="minorHAnsi"/>
          <w:szCs w:val="24"/>
        </w:rPr>
        <w:t xml:space="preserve">: </w:t>
      </w:r>
      <w:r w:rsidR="00E75BCB">
        <w:rPr>
          <w:rFonts w:asciiTheme="minorHAnsi" w:hAnsiTheme="minorHAnsi" w:cstheme="minorHAnsi"/>
          <w:szCs w:val="24"/>
        </w:rPr>
        <w:t>Protocolo y metadatos de establecimient</w:t>
      </w:r>
      <w:r w:rsidR="00D53BEB">
        <w:rPr>
          <w:rFonts w:asciiTheme="minorHAnsi" w:hAnsiTheme="minorHAnsi" w:cstheme="minorHAnsi"/>
          <w:szCs w:val="24"/>
        </w:rPr>
        <w:t>o de autenticación, Versión 1.0"</w:t>
      </w:r>
      <w:r w:rsidR="00AD0FFE" w:rsidRPr="00AD0FFE">
        <w:rPr>
          <w:rFonts w:asciiTheme="minorHAnsi" w:hAnsiTheme="minorHAnsi" w:cstheme="minorHAnsi"/>
          <w:szCs w:val="24"/>
        </w:rPr>
        <w:t>.</w:t>
      </w:r>
      <w:bookmarkEnd w:id="18"/>
    </w:p>
    <w:p w:rsidR="009759F7" w:rsidRPr="00C62AAB" w:rsidRDefault="009759F7" w:rsidP="00A00DE2">
      <w:pPr>
        <w:rPr>
          <w:rFonts w:asciiTheme="minorHAnsi" w:hAnsiTheme="minorHAnsi"/>
        </w:rPr>
      </w:pPr>
      <w:r w:rsidRPr="00C62AAB">
        <w:rPr>
          <w:rFonts w:asciiTheme="minorHAnsi" w:hAnsiTheme="minorHAnsi"/>
        </w:rPr>
        <w:t xml:space="preserve">3.5 </w:t>
      </w:r>
      <w:r w:rsidRPr="00C62AAB">
        <w:rPr>
          <w:rFonts w:asciiTheme="minorHAnsi" w:hAnsiTheme="minorHAnsi"/>
        </w:rPr>
        <w:tab/>
      </w:r>
      <w:bookmarkStart w:id="19" w:name="lt_pId047"/>
      <w:r w:rsidR="00C62AAB" w:rsidRPr="00C62AAB">
        <w:rPr>
          <w:rFonts w:asciiTheme="minorHAnsi" w:hAnsiTheme="minorHAnsi" w:cstheme="majorBidi"/>
        </w:rPr>
        <w:t>El</w:t>
      </w:r>
      <w:r w:rsidRPr="00C62AAB">
        <w:rPr>
          <w:rFonts w:asciiTheme="minorHAnsi" w:hAnsiTheme="minorHAnsi" w:cstheme="majorBidi"/>
        </w:rPr>
        <w:t xml:space="preserve"> </w:t>
      </w:r>
      <w:hyperlink r:id="rId42" w:history="1">
        <w:r w:rsidR="00395914" w:rsidRPr="00C62AAB">
          <w:rPr>
            <w:rStyle w:val="Hyperlink"/>
            <w:szCs w:val="24"/>
          </w:rPr>
          <w:t xml:space="preserve">Taller </w:t>
        </w:r>
        <w:r w:rsidR="00C62AAB" w:rsidRPr="00C62AAB">
          <w:rPr>
            <w:rStyle w:val="Hyperlink"/>
            <w:szCs w:val="24"/>
          </w:rPr>
          <w:t xml:space="preserve">de la UIT </w:t>
        </w:r>
        <w:r w:rsidR="00395914" w:rsidRPr="00C62AAB">
          <w:rPr>
            <w:rStyle w:val="Hyperlink"/>
            <w:szCs w:val="24"/>
          </w:rPr>
          <w:t xml:space="preserve">sobre aspectos de seguridad para las cadenas de bloques </w:t>
        </w:r>
      </w:hyperlink>
      <w:r w:rsidR="007609BF">
        <w:rPr>
          <w:rFonts w:asciiTheme="minorHAnsi" w:hAnsiTheme="minorHAnsi" w:cstheme="majorBidi"/>
        </w:rPr>
        <w:t>tuvo lugar el 21 </w:t>
      </w:r>
      <w:r w:rsidR="00C62AAB" w:rsidRPr="00C62AAB">
        <w:rPr>
          <w:rFonts w:asciiTheme="minorHAnsi" w:hAnsiTheme="minorHAnsi" w:cstheme="majorBidi"/>
        </w:rPr>
        <w:t>de marzo de 2017</w:t>
      </w:r>
      <w:r w:rsidR="007609BF">
        <w:rPr>
          <w:rFonts w:asciiTheme="minorHAnsi" w:hAnsiTheme="minorHAnsi" w:cstheme="majorBidi"/>
        </w:rPr>
        <w:t xml:space="preserve"> en Ginebra (Suiza), </w:t>
      </w:r>
      <w:r w:rsidR="00C62AAB">
        <w:rPr>
          <w:rFonts w:asciiTheme="minorHAnsi" w:hAnsiTheme="minorHAnsi" w:cstheme="majorBidi"/>
        </w:rPr>
        <w:t xml:space="preserve">con objeto de examinar el potencial que brinda la cadena de bloques para aumentar la confianza en la utilización de las TIC. </w:t>
      </w:r>
      <w:r w:rsidR="00C62AAB" w:rsidRPr="00C62AAB">
        <w:rPr>
          <w:rFonts w:asciiTheme="minorHAnsi" w:hAnsiTheme="minorHAnsi" w:cstheme="majorBidi"/>
        </w:rPr>
        <w:t xml:space="preserve">Diversas asociaciones industriales y órganos de </w:t>
      </w:r>
      <w:r w:rsidR="00C62AAB">
        <w:rPr>
          <w:rFonts w:asciiTheme="minorHAnsi" w:hAnsiTheme="minorHAnsi" w:cstheme="majorBidi"/>
        </w:rPr>
        <w:t>normalización participaron en una mesa redonda de expertos para determinar en qué medida la labor de la CE 17 del UIT-T podría contribuir a la colaboración en el ámbito de la normalización en apoyo a la cadena de bloques</w:t>
      </w:r>
      <w:bookmarkStart w:id="20" w:name="lt_pId048"/>
      <w:bookmarkEnd w:id="19"/>
      <w:r w:rsidRPr="00C62AAB">
        <w:rPr>
          <w:rFonts w:asciiTheme="minorHAnsi" w:hAnsiTheme="minorHAnsi" w:cstheme="majorBidi"/>
        </w:rPr>
        <w:t>.</w:t>
      </w:r>
      <w:bookmarkEnd w:id="20"/>
    </w:p>
    <w:p w:rsidR="009759F7" w:rsidRPr="00771C51" w:rsidRDefault="009759F7" w:rsidP="00771C51">
      <w:pPr>
        <w:rPr>
          <w:szCs w:val="24"/>
        </w:rPr>
      </w:pPr>
      <w:r w:rsidRPr="00771C51">
        <w:rPr>
          <w:rFonts w:asciiTheme="minorHAnsi" w:hAnsiTheme="minorHAnsi"/>
          <w:szCs w:val="24"/>
        </w:rPr>
        <w:t>3.6</w:t>
      </w:r>
      <w:r w:rsidRPr="00771C51">
        <w:rPr>
          <w:rFonts w:asciiTheme="minorHAnsi" w:hAnsiTheme="minorHAnsi"/>
          <w:szCs w:val="24"/>
        </w:rPr>
        <w:tab/>
      </w:r>
      <w:r w:rsidRPr="00771C51">
        <w:rPr>
          <w:rFonts w:asciiTheme="minorHAnsi" w:hAnsiTheme="minorHAnsi"/>
          <w:szCs w:val="24"/>
        </w:rPr>
        <w:tab/>
      </w:r>
      <w:bookmarkStart w:id="21" w:name="lt_pId050"/>
      <w:r w:rsidR="00C62AAB" w:rsidRPr="00771C51">
        <w:rPr>
          <w:rFonts w:asciiTheme="minorHAnsi" w:hAnsiTheme="minorHAnsi"/>
          <w:szCs w:val="24"/>
        </w:rPr>
        <w:t>La CE 17 del UIT-T organizó un</w:t>
      </w:r>
      <w:r w:rsidRPr="00771C51">
        <w:rPr>
          <w:rFonts w:asciiTheme="minorHAnsi" w:hAnsiTheme="minorHAnsi"/>
          <w:szCs w:val="24"/>
        </w:rPr>
        <w:t xml:space="preserve"> </w:t>
      </w:r>
      <w:hyperlink r:id="rId43" w:history="1">
        <w:r w:rsidR="00D63325" w:rsidRPr="00771C51">
          <w:rPr>
            <w:rStyle w:val="Hyperlink"/>
          </w:rPr>
          <w:t>Taller sobre aspectos de seguridad del sistema de transporte inteligente</w:t>
        </w:r>
      </w:hyperlink>
      <w:r w:rsidR="00D63325" w:rsidRPr="00771C51">
        <w:rPr>
          <w:szCs w:val="24"/>
        </w:rPr>
        <w:t xml:space="preserve"> </w:t>
      </w:r>
      <w:r w:rsidR="00771C51" w:rsidRPr="00771C51">
        <w:rPr>
          <w:szCs w:val="24"/>
        </w:rPr>
        <w:t>el 28 de Agosto de 2017 en Ginebra (Suiza), para deba</w:t>
      </w:r>
      <w:r w:rsidR="00771C51">
        <w:rPr>
          <w:szCs w:val="24"/>
        </w:rPr>
        <w:t>tir los requisitos de seguridad de todos los actores de la cadena de valor subyacente en los sistemas de transporte inteligentes (ITS) y ampliar la colaboración entre los órganos pertinentes</w:t>
      </w:r>
      <w:r w:rsidRPr="00771C51">
        <w:rPr>
          <w:szCs w:val="24"/>
        </w:rPr>
        <w:t>.</w:t>
      </w:r>
      <w:bookmarkEnd w:id="21"/>
      <w:r w:rsidRPr="00771C51">
        <w:rPr>
          <w:szCs w:val="24"/>
        </w:rPr>
        <w:t xml:space="preserve"> </w:t>
      </w:r>
    </w:p>
    <w:p w:rsidR="009759F7" w:rsidRPr="00771C51" w:rsidRDefault="009759F7" w:rsidP="00771C5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rFonts w:eastAsia="SimSun" w:cs="Arial"/>
          <w:bCs/>
          <w:szCs w:val="24"/>
          <w:lang w:eastAsia="zh-CN"/>
        </w:rPr>
      </w:pPr>
      <w:r w:rsidRPr="00771C51">
        <w:rPr>
          <w:rFonts w:asciiTheme="minorHAnsi" w:eastAsia="SimSun" w:hAnsiTheme="minorHAnsi" w:cs="Arial"/>
          <w:bCs/>
          <w:szCs w:val="24"/>
          <w:lang w:eastAsia="zh-CN"/>
        </w:rPr>
        <w:t>3.7</w:t>
      </w:r>
      <w:r w:rsidRPr="00771C51">
        <w:rPr>
          <w:rFonts w:asciiTheme="minorHAnsi" w:eastAsia="SimSun" w:hAnsiTheme="minorHAnsi" w:cs="Arial"/>
          <w:bCs/>
          <w:szCs w:val="24"/>
          <w:lang w:eastAsia="zh-CN"/>
        </w:rPr>
        <w:tab/>
      </w:r>
      <w:bookmarkStart w:id="22" w:name="lt_pId052"/>
      <w:r w:rsidR="00771C51">
        <w:rPr>
          <w:rFonts w:asciiTheme="minorHAnsi" w:eastAsia="SimSun" w:hAnsiTheme="minorHAnsi" w:cs="Arial"/>
          <w:bCs/>
          <w:szCs w:val="24"/>
          <w:lang w:eastAsia="zh-CN"/>
        </w:rPr>
        <w:t>El</w:t>
      </w:r>
      <w:r w:rsidRPr="00771C51">
        <w:rPr>
          <w:rFonts w:asciiTheme="minorHAnsi" w:eastAsia="SimSun" w:hAnsiTheme="minorHAnsi" w:cs="Arial"/>
          <w:bCs/>
          <w:szCs w:val="24"/>
          <w:lang w:eastAsia="zh-CN"/>
        </w:rPr>
        <w:t xml:space="preserve"> </w:t>
      </w:r>
      <w:hyperlink r:id="rId44" w:history="1">
        <w:r w:rsidR="00771C51" w:rsidRPr="00771C51">
          <w:rPr>
            <w:rFonts w:asciiTheme="minorHAnsi" w:eastAsia="SimSun" w:hAnsiTheme="minorHAnsi" w:cs="Arial"/>
            <w:bCs/>
            <w:color w:val="0000FF"/>
            <w:szCs w:val="24"/>
            <w:u w:val="single"/>
            <w:lang w:eastAsia="zh-CN"/>
          </w:rPr>
          <w:t>Grupo Regional de la CE 17 de la UIT para la Región Árabe</w:t>
        </w:r>
      </w:hyperlink>
      <w:r w:rsidRPr="00771C51">
        <w:rPr>
          <w:rFonts w:asciiTheme="minorHAnsi" w:eastAsia="SimSun" w:hAnsiTheme="minorHAnsi" w:cs="Arial"/>
          <w:bCs/>
          <w:szCs w:val="24"/>
          <w:lang w:eastAsia="zh-CN"/>
        </w:rPr>
        <w:t xml:space="preserve"> </w:t>
      </w:r>
      <w:r w:rsidR="00771C51">
        <w:rPr>
          <w:rFonts w:asciiTheme="minorHAnsi" w:eastAsia="SimSun" w:hAnsiTheme="minorHAnsi" w:cs="Arial"/>
          <w:bCs/>
          <w:szCs w:val="24"/>
          <w:lang w:eastAsia="zh-CN"/>
        </w:rPr>
        <w:t>celebró su primera reunión el 10 de diciembre de</w:t>
      </w:r>
      <w:r w:rsidR="00771C51">
        <w:rPr>
          <w:rFonts w:eastAsia="SimSun" w:cs="Arial"/>
          <w:bCs/>
          <w:szCs w:val="24"/>
          <w:lang w:eastAsia="zh-CN"/>
        </w:rPr>
        <w:t xml:space="preserve"> 2017 en </w:t>
      </w:r>
      <w:r w:rsidRPr="00771C51">
        <w:rPr>
          <w:rFonts w:eastAsia="SimSun" w:cs="Arial"/>
          <w:bCs/>
          <w:szCs w:val="24"/>
          <w:lang w:eastAsia="zh-CN"/>
        </w:rPr>
        <w:t>Muscat</w:t>
      </w:r>
      <w:r w:rsidR="00771C51">
        <w:rPr>
          <w:rFonts w:eastAsia="SimSun" w:cs="Arial"/>
          <w:bCs/>
          <w:szCs w:val="24"/>
          <w:lang w:eastAsia="zh-CN"/>
        </w:rPr>
        <w:t xml:space="preserve"> (</w:t>
      </w:r>
      <w:r w:rsidR="00771C51" w:rsidRPr="00771C51">
        <w:rPr>
          <w:rFonts w:eastAsia="SimSun" w:cs="Arial"/>
          <w:bCs/>
          <w:szCs w:val="24"/>
          <w:lang w:eastAsia="zh-CN"/>
        </w:rPr>
        <w:t>Omán</w:t>
      </w:r>
      <w:r w:rsidR="00771C51">
        <w:rPr>
          <w:rFonts w:eastAsia="SimSun" w:cs="Arial"/>
          <w:bCs/>
          <w:szCs w:val="24"/>
          <w:lang w:eastAsia="zh-CN"/>
        </w:rPr>
        <w:t>)</w:t>
      </w:r>
      <w:r w:rsidRPr="00771C51">
        <w:rPr>
          <w:rFonts w:eastAsia="SimSun" w:cs="Arial"/>
          <w:bCs/>
          <w:szCs w:val="24"/>
          <w:lang w:eastAsia="zh-CN"/>
        </w:rPr>
        <w:t>.</w:t>
      </w:r>
      <w:bookmarkEnd w:id="22"/>
    </w:p>
    <w:p w:rsidR="009759F7" w:rsidRPr="00872CFA" w:rsidRDefault="009759F7" w:rsidP="00872CFA">
      <w:pPr>
        <w:pStyle w:val="normalWSIS"/>
        <w:numPr>
          <w:ilvl w:val="0"/>
          <w:numId w:val="0"/>
        </w:numPr>
        <w:rPr>
          <w:rFonts w:asciiTheme="minorHAnsi" w:hAnsiTheme="minorHAnsi"/>
          <w:bCs/>
          <w:szCs w:val="24"/>
          <w:lang w:val="es-ES_tradnl"/>
        </w:rPr>
      </w:pPr>
      <w:r w:rsidRPr="00872CFA">
        <w:rPr>
          <w:sz w:val="24"/>
          <w:szCs w:val="24"/>
          <w:lang w:val="es-ES_tradnl"/>
        </w:rPr>
        <w:t>3.8</w:t>
      </w:r>
      <w:r w:rsidRPr="00872CFA">
        <w:rPr>
          <w:sz w:val="24"/>
          <w:szCs w:val="24"/>
          <w:lang w:val="es-ES_tradnl"/>
        </w:rPr>
        <w:tab/>
      </w:r>
      <w:r w:rsidRPr="00872CFA">
        <w:rPr>
          <w:sz w:val="24"/>
          <w:szCs w:val="24"/>
          <w:lang w:val="es-ES_tradnl"/>
        </w:rPr>
        <w:tab/>
      </w:r>
      <w:bookmarkStart w:id="23" w:name="lt_pId054"/>
      <w:r w:rsidR="00872CFA" w:rsidRPr="00872CFA">
        <w:rPr>
          <w:sz w:val="24"/>
          <w:szCs w:val="24"/>
          <w:lang w:val="es-ES_tradnl"/>
        </w:rPr>
        <w:t>La CE 17 de la UIT prevé organizar un</w:t>
      </w:r>
      <w:r w:rsidRPr="00872CFA">
        <w:rPr>
          <w:sz w:val="24"/>
          <w:szCs w:val="24"/>
          <w:lang w:val="es-ES_tradnl"/>
        </w:rPr>
        <w:t xml:space="preserve"> </w:t>
      </w:r>
      <w:hyperlink r:id="rId45" w:history="1">
        <w:r w:rsidR="00872CFA" w:rsidRPr="00872CFA">
          <w:rPr>
            <w:rStyle w:val="Hyperlink"/>
            <w:sz w:val="24"/>
            <w:szCs w:val="24"/>
            <w:lang w:val="es-ES_tradnl"/>
          </w:rPr>
          <w:t>Taller de la UIT sobre seguridad 5G</w:t>
        </w:r>
      </w:hyperlink>
      <w:r w:rsidRPr="00872CFA">
        <w:rPr>
          <w:sz w:val="24"/>
          <w:szCs w:val="24"/>
          <w:lang w:val="es-ES_tradnl"/>
        </w:rPr>
        <w:t xml:space="preserve"> </w:t>
      </w:r>
      <w:r w:rsidR="00872CFA" w:rsidRPr="00872CFA">
        <w:rPr>
          <w:sz w:val="24"/>
          <w:szCs w:val="24"/>
          <w:lang w:val="es-ES_tradnl"/>
        </w:rPr>
        <w:t>e</w:t>
      </w:r>
      <w:r w:rsidR="00872CFA">
        <w:rPr>
          <w:sz w:val="24"/>
          <w:szCs w:val="24"/>
          <w:lang w:val="es-ES_tradnl"/>
        </w:rPr>
        <w:t>l</w:t>
      </w:r>
      <w:r w:rsidR="00872CFA" w:rsidRPr="00872CFA">
        <w:rPr>
          <w:sz w:val="24"/>
          <w:szCs w:val="24"/>
          <w:lang w:val="es-ES_tradnl"/>
        </w:rPr>
        <w:t xml:space="preserve"> 19 de marzo de</w:t>
      </w:r>
      <w:r w:rsidRPr="00872CFA">
        <w:rPr>
          <w:sz w:val="24"/>
          <w:szCs w:val="24"/>
          <w:lang w:val="es-ES_tradnl"/>
        </w:rPr>
        <w:t xml:space="preserve"> 2018, </w:t>
      </w:r>
      <w:r w:rsidR="00872CFA">
        <w:rPr>
          <w:sz w:val="24"/>
          <w:szCs w:val="24"/>
          <w:lang w:val="es-ES_tradnl"/>
        </w:rPr>
        <w:t>antes de la siguiente reunión de la CE 17 que tendrá lugar del 20 al 29 de marzo de 2018 e</w:t>
      </w:r>
      <w:r w:rsidRPr="00872CFA">
        <w:rPr>
          <w:sz w:val="24"/>
          <w:szCs w:val="24"/>
          <w:lang w:val="es-ES_tradnl"/>
        </w:rPr>
        <w:t xml:space="preserve">n </w:t>
      </w:r>
      <w:r w:rsidR="00872CFA">
        <w:rPr>
          <w:sz w:val="24"/>
          <w:szCs w:val="24"/>
          <w:lang w:val="es-ES_tradnl"/>
        </w:rPr>
        <w:t>Ginebra (Suiza)</w:t>
      </w:r>
      <w:r w:rsidRPr="00872CFA">
        <w:rPr>
          <w:sz w:val="24"/>
          <w:szCs w:val="24"/>
          <w:lang w:val="es-ES_tradnl"/>
        </w:rPr>
        <w:t>.</w:t>
      </w:r>
      <w:bookmarkEnd w:id="23"/>
      <w:r w:rsidRPr="00872CFA">
        <w:rPr>
          <w:sz w:val="24"/>
          <w:szCs w:val="24"/>
          <w:lang w:val="es-ES_tradnl"/>
        </w:rPr>
        <w:t xml:space="preserve"> </w:t>
      </w:r>
    </w:p>
    <w:p w:rsidR="009759F7" w:rsidRPr="00723C30" w:rsidRDefault="009759F7" w:rsidP="00C62AA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jc w:val="both"/>
        <w:textAlignment w:val="auto"/>
        <w:rPr>
          <w:b/>
          <w:color w:val="800000"/>
          <w:sz w:val="22"/>
          <w:szCs w:val="24"/>
        </w:rPr>
      </w:pPr>
      <w:r w:rsidRPr="00723C30">
        <w:rPr>
          <w:rFonts w:asciiTheme="minorHAnsi" w:eastAsia="SimSun" w:hAnsiTheme="minorHAnsi" w:cs="Arial"/>
          <w:bCs/>
          <w:szCs w:val="24"/>
          <w:lang w:eastAsia="zh-CN"/>
        </w:rPr>
        <w:t>3.9</w:t>
      </w:r>
      <w:r w:rsidRPr="00723C30">
        <w:rPr>
          <w:rFonts w:asciiTheme="minorHAnsi" w:eastAsia="SimSun" w:hAnsiTheme="minorHAnsi" w:cs="Arial"/>
          <w:bCs/>
          <w:szCs w:val="24"/>
          <w:lang w:eastAsia="zh-CN"/>
        </w:rPr>
        <w:tab/>
      </w:r>
      <w:r w:rsidR="00723C30" w:rsidRPr="00BD2D4D">
        <w:t>La CE</w:t>
      </w:r>
      <w:r w:rsidR="00723C30">
        <w:t> </w:t>
      </w:r>
      <w:r w:rsidR="00723C30" w:rsidRPr="00BD2D4D">
        <w:t xml:space="preserve">17 </w:t>
      </w:r>
      <w:r w:rsidR="008F57B0">
        <w:t xml:space="preserve">de la UIT </w:t>
      </w:r>
      <w:r w:rsidR="00723C30">
        <w:t>prosiguió</w:t>
      </w:r>
      <w:r w:rsidR="00723C30" w:rsidRPr="00BD2D4D">
        <w:t xml:space="preserve"> la</w:t>
      </w:r>
      <w:r w:rsidR="002D2247">
        <w:t xml:space="preserve"> labor de</w:t>
      </w:r>
      <w:r w:rsidR="00723C30" w:rsidRPr="00BD2D4D">
        <w:t xml:space="preserve"> coordinación con la CE</w:t>
      </w:r>
      <w:r w:rsidR="00723C30">
        <w:t xml:space="preserve"> </w:t>
      </w:r>
      <w:r w:rsidR="00723C30" w:rsidRPr="00BD2D4D">
        <w:t xml:space="preserve">20 del UIT-T </w:t>
      </w:r>
      <w:r w:rsidR="00723C30">
        <w:t>"</w:t>
      </w:r>
      <w:r w:rsidR="00723C30" w:rsidRPr="00BD2D4D">
        <w:t>IoT y sus aplicaciones, incluidas las ciudades y comunidades inteligentes (SC&amp;C)</w:t>
      </w:r>
      <w:r w:rsidR="00723C30">
        <w:t>"</w:t>
      </w:r>
      <w:r w:rsidR="00723C30" w:rsidRPr="00BD2D4D">
        <w:t xml:space="preserve"> en el ámbito de la seguridad de la IoT.</w:t>
      </w:r>
    </w:p>
    <w:p w:rsidR="00723C30" w:rsidRDefault="009759F7" w:rsidP="00395914">
      <w:r w:rsidRPr="00723C30">
        <w:rPr>
          <w:rFonts w:asciiTheme="minorHAnsi" w:hAnsiTheme="minorHAnsi"/>
          <w:szCs w:val="24"/>
        </w:rPr>
        <w:t>3.10</w:t>
      </w:r>
      <w:r w:rsidR="00395914" w:rsidRPr="00723C30">
        <w:rPr>
          <w:rFonts w:asciiTheme="minorHAnsi" w:eastAsia="SimSun" w:hAnsiTheme="minorHAnsi" w:cs="Arial"/>
          <w:bCs/>
          <w:szCs w:val="24"/>
          <w:lang w:eastAsia="zh-CN"/>
        </w:rPr>
        <w:tab/>
      </w:r>
      <w:r w:rsidR="00723C30" w:rsidRPr="00723C30">
        <w:t>El UIT-R prosigue sus trabajos sobre normalización de las radiocomunicaciones, adaptándose a la constante evolución de las redes de telecomunicación modernas. Ese Sector ha establecido principios de seguridad claros para las redes IMT (3G, 4G y 5G) (Recomendaciones UIT-R M.1078, M.1223, M.1457, M.1645, M.2012 y M.2083). Ha publicado también Recomendaciones sobre cuestiones de seguridad en la arquitectura de la gestión de red para sistemas digitales de satélite (Recomendación UIT-R S.1250) y mejoras en el comportamiento del protocolo de control de transmisión por redes de satélites (Recomendación UIT-R S.1711).</w:t>
      </w:r>
    </w:p>
    <w:p w:rsidR="00723C30" w:rsidRPr="009A53D4" w:rsidRDefault="00723C30" w:rsidP="00723C30">
      <w:pPr>
        <w:pStyle w:val="Heading1"/>
      </w:pPr>
      <w:r w:rsidRPr="009A53D4">
        <w:t>4</w:t>
      </w:r>
      <w:r w:rsidRPr="009A53D4">
        <w:tab/>
        <w:t>Estructuras institucionales</w:t>
      </w:r>
    </w:p>
    <w:p w:rsidR="00723C30" w:rsidRDefault="00723C30" w:rsidP="00A64FCC">
      <w:pPr>
        <w:rPr>
          <w:rFonts w:cs="Segoe UI"/>
        </w:rPr>
      </w:pPr>
      <w:r w:rsidRPr="00BD2D4D">
        <w:t>4.1</w:t>
      </w:r>
      <w:r w:rsidRPr="00BD2D4D">
        <w:tab/>
        <w:t>La UIT sigue contribuyendo a la creación de capacidades a escala</w:t>
      </w:r>
      <w:r w:rsidR="008F57B0">
        <w:t>s</w:t>
      </w:r>
      <w:r w:rsidRPr="00BD2D4D">
        <w:t xml:space="preserve"> regional e internacional. Ha </w:t>
      </w:r>
      <w:r w:rsidR="008F57B0">
        <w:t>llevado a cabo</w:t>
      </w:r>
      <w:r w:rsidRPr="00BD2D4D">
        <w:t xml:space="preserve"> comprobaciones técnicas a fin de evaluar el grado de preparación para el </w:t>
      </w:r>
      <w:hyperlink r:id="rId46" w:history="1">
        <w:r w:rsidRPr="001E4596">
          <w:rPr>
            <w:rStyle w:val="Hyperlink"/>
          </w:rPr>
          <w:t>establecimiento de equipos de intervención en caso de incidentes informáticos (EIII)</w:t>
        </w:r>
      </w:hyperlink>
      <w:r w:rsidRPr="00BD2D4D">
        <w:t xml:space="preserve"> en 6</w:t>
      </w:r>
      <w:r>
        <w:t>8</w:t>
      </w:r>
      <w:r w:rsidRPr="00BD2D4D">
        <w:t xml:space="preserve"> países, y prosigue </w:t>
      </w:r>
      <w:r w:rsidR="00AE2188">
        <w:t>la</w:t>
      </w:r>
      <w:r w:rsidR="00A00DE2">
        <w:t>s</w:t>
      </w:r>
      <w:bookmarkStart w:id="24" w:name="_GoBack"/>
      <w:bookmarkEnd w:id="24"/>
      <w:r w:rsidRPr="00BD2D4D">
        <w:t xml:space="preserve"> actividades de seguimiento necesarias. </w:t>
      </w:r>
      <w:r>
        <w:t xml:space="preserve">Se están </w:t>
      </w:r>
      <w:r w:rsidR="00AE2188">
        <w:t>estableciendo y mejorando</w:t>
      </w:r>
      <w:r>
        <w:t xml:space="preserve"> los</w:t>
      </w:r>
      <w:r w:rsidRPr="00BD2D4D">
        <w:t xml:space="preserve"> </w:t>
      </w:r>
      <w:r>
        <w:t>EIII</w:t>
      </w:r>
      <w:r w:rsidRPr="00BD2D4D">
        <w:t xml:space="preserve"> nacionales </w:t>
      </w:r>
      <w:r>
        <w:t>de Burundi, Chipre</w:t>
      </w:r>
      <w:r w:rsidR="00AE2188">
        <w:t>,</w:t>
      </w:r>
      <w:r>
        <w:t xml:space="preserve"> </w:t>
      </w:r>
      <w:r w:rsidR="00AE2188">
        <w:t>Gambia</w:t>
      </w:r>
      <w:r w:rsidR="00A64FCC">
        <w:t>, Palestina</w:t>
      </w:r>
      <w:r w:rsidR="00AE2188">
        <w:t xml:space="preserve"> </w:t>
      </w:r>
      <w:r>
        <w:t xml:space="preserve">y </w:t>
      </w:r>
      <w:r w:rsidR="00A64FCC">
        <w:t>Zimbabwe</w:t>
      </w:r>
      <w:r>
        <w:t xml:space="preserve"> </w:t>
      </w:r>
      <w:r w:rsidRPr="00BD2D4D">
        <w:t xml:space="preserve">tras haber finalizado satisfactoriamente las actividades en esta materia en </w:t>
      </w:r>
      <w:r>
        <w:t>1</w:t>
      </w:r>
      <w:r w:rsidR="00A64FCC">
        <w:t>3</w:t>
      </w:r>
      <w:r w:rsidRPr="00BD2D4D">
        <w:t xml:space="preserve"> países</w:t>
      </w:r>
      <w:r w:rsidRPr="00BD2D4D">
        <w:rPr>
          <w:rFonts w:cs="Segoe UI"/>
        </w:rPr>
        <w:t>.</w:t>
      </w:r>
    </w:p>
    <w:p w:rsidR="009759F7" w:rsidRPr="002D2247" w:rsidRDefault="009759F7" w:rsidP="00A64FCC">
      <w:pPr>
        <w:pStyle w:val="normalWSIS"/>
        <w:numPr>
          <w:ilvl w:val="0"/>
          <w:numId w:val="0"/>
        </w:numPr>
        <w:tabs>
          <w:tab w:val="clear" w:pos="426"/>
        </w:tabs>
        <w:adjustRightInd w:val="0"/>
        <w:snapToGrid w:val="0"/>
        <w:spacing w:after="120"/>
        <w:rPr>
          <w:rFonts w:asciiTheme="minorHAnsi" w:hAnsiTheme="minorHAnsi"/>
          <w:sz w:val="24"/>
          <w:szCs w:val="24"/>
          <w:lang w:val="es-ES_tradnl"/>
        </w:rPr>
      </w:pPr>
      <w:r w:rsidRPr="00723C30">
        <w:rPr>
          <w:rFonts w:asciiTheme="minorHAnsi" w:hAnsiTheme="minorHAnsi"/>
          <w:sz w:val="24"/>
          <w:szCs w:val="24"/>
          <w:lang w:val="es-ES_tradnl"/>
        </w:rPr>
        <w:t>4.2</w:t>
      </w:r>
      <w:r w:rsidRPr="00723C30">
        <w:rPr>
          <w:rFonts w:asciiTheme="minorHAnsi" w:hAnsiTheme="minorHAnsi"/>
          <w:sz w:val="24"/>
          <w:szCs w:val="24"/>
          <w:lang w:val="es-ES_tradnl"/>
        </w:rPr>
        <w:tab/>
      </w:r>
      <w:bookmarkStart w:id="25" w:name="lt_pId069"/>
      <w:r w:rsidR="00723C30" w:rsidRPr="002D2247">
        <w:rPr>
          <w:sz w:val="24"/>
          <w:szCs w:val="24"/>
          <w:lang w:val="es-ES_tradnl"/>
        </w:rPr>
        <w:t xml:space="preserve">La UIT </w:t>
      </w:r>
      <w:r w:rsidR="00A64FCC" w:rsidRPr="002D2247">
        <w:rPr>
          <w:sz w:val="24"/>
          <w:szCs w:val="24"/>
          <w:lang w:val="es-ES_tradnl"/>
        </w:rPr>
        <w:t>estableció una asociación</w:t>
      </w:r>
      <w:r w:rsidR="00723C30" w:rsidRPr="002D2247">
        <w:rPr>
          <w:sz w:val="24"/>
          <w:szCs w:val="24"/>
          <w:lang w:val="es-ES_tradnl"/>
        </w:rPr>
        <w:t xml:space="preserve"> con el </w:t>
      </w:r>
      <w:r w:rsidR="00A64FCC" w:rsidRPr="002D2247">
        <w:rPr>
          <w:sz w:val="24"/>
          <w:szCs w:val="24"/>
          <w:lang w:val="es-ES_tradnl"/>
        </w:rPr>
        <w:t xml:space="preserve">Centro de Mundial de Capacidad en Ciberseguridad del Centro Académico Oxford Martin para la realización de </w:t>
      </w:r>
      <w:r w:rsidR="00723C30" w:rsidRPr="002D2247">
        <w:rPr>
          <w:sz w:val="24"/>
          <w:szCs w:val="24"/>
          <w:lang w:val="es-ES_tradnl"/>
        </w:rPr>
        <w:t xml:space="preserve">exámenes de capacidad de ciberseguridad en Tailandia, Sierra Leona y Madagascar. </w:t>
      </w:r>
      <w:r w:rsidR="00A64FCC" w:rsidRPr="002D2247">
        <w:rPr>
          <w:rFonts w:asciiTheme="minorHAnsi" w:hAnsiTheme="minorHAnsi"/>
          <w:sz w:val="24"/>
          <w:szCs w:val="24"/>
          <w:lang w:val="es-ES_tradnl"/>
        </w:rPr>
        <w:t xml:space="preserve">A raíz de un Proyecto financiado por el Gobierno australiano (DOCA), la UIT llevará a cabo evaluaciones de EIII en </w:t>
      </w:r>
      <w:r w:rsidRPr="002D2247">
        <w:rPr>
          <w:rFonts w:asciiTheme="minorHAnsi" w:hAnsiTheme="minorHAnsi"/>
          <w:sz w:val="24"/>
          <w:szCs w:val="24"/>
          <w:lang w:val="es-ES_tradnl"/>
        </w:rPr>
        <w:t xml:space="preserve">Samoa, Tonga, Vanuatu, </w:t>
      </w:r>
      <w:r w:rsidR="00A64FCC" w:rsidRPr="002D2247">
        <w:rPr>
          <w:rFonts w:asciiTheme="minorHAnsi" w:hAnsiTheme="minorHAnsi"/>
          <w:sz w:val="24"/>
          <w:szCs w:val="24"/>
          <w:lang w:val="es-ES_tradnl"/>
        </w:rPr>
        <w:t>y</w:t>
      </w:r>
      <w:r w:rsidRPr="002D2247">
        <w:rPr>
          <w:rFonts w:asciiTheme="minorHAnsi" w:hAnsiTheme="minorHAnsi"/>
          <w:sz w:val="24"/>
          <w:szCs w:val="24"/>
          <w:lang w:val="es-ES_tradnl"/>
        </w:rPr>
        <w:t xml:space="preserve"> Papua New Guinea, </w:t>
      </w:r>
      <w:r w:rsidR="00A64FCC" w:rsidRPr="002D2247">
        <w:rPr>
          <w:rFonts w:asciiTheme="minorHAnsi" w:hAnsiTheme="minorHAnsi"/>
          <w:sz w:val="24"/>
          <w:szCs w:val="24"/>
          <w:lang w:val="es-ES_tradnl"/>
        </w:rPr>
        <w:t>seguidas de revisiones de capacidad de ciberseguridad</w:t>
      </w:r>
      <w:r w:rsidRPr="002D2247">
        <w:rPr>
          <w:rFonts w:asciiTheme="minorHAnsi" w:hAnsiTheme="minorHAnsi"/>
          <w:sz w:val="24"/>
          <w:szCs w:val="24"/>
          <w:lang w:val="es-ES_tradnl"/>
        </w:rPr>
        <w:t>.</w:t>
      </w:r>
      <w:bookmarkEnd w:id="25"/>
    </w:p>
    <w:p w:rsidR="009759F7" w:rsidRPr="0056727C" w:rsidRDefault="009759F7" w:rsidP="00A64FCC">
      <w:pPr>
        <w:rPr>
          <w:rFonts w:asciiTheme="minorHAnsi" w:hAnsiTheme="minorHAnsi"/>
          <w:szCs w:val="24"/>
        </w:rPr>
      </w:pPr>
      <w:r w:rsidRPr="00755F69">
        <w:rPr>
          <w:rFonts w:asciiTheme="minorHAnsi" w:hAnsiTheme="minorHAnsi"/>
          <w:szCs w:val="24"/>
        </w:rPr>
        <w:t>4.3</w:t>
      </w:r>
      <w:r w:rsidRPr="00755F69">
        <w:rPr>
          <w:rFonts w:asciiTheme="minorHAnsi" w:hAnsiTheme="minorHAnsi"/>
          <w:szCs w:val="24"/>
        </w:rPr>
        <w:tab/>
      </w:r>
      <w:bookmarkStart w:id="26" w:name="lt_pId071"/>
      <w:r w:rsidR="00755F69" w:rsidRPr="00755F69">
        <w:t xml:space="preserve">La UIT sigue organizando </w:t>
      </w:r>
      <w:hyperlink r:id="rId47" w:history="1">
        <w:r w:rsidR="00755F69" w:rsidRPr="00755F69">
          <w:rPr>
            <w:rStyle w:val="Hyperlink"/>
          </w:rPr>
          <w:t>ciberejercicios de simulación</w:t>
        </w:r>
      </w:hyperlink>
      <w:r w:rsidR="00755F69" w:rsidRPr="00755F69">
        <w:rPr>
          <w:color w:val="0000FF"/>
          <w:szCs w:val="24"/>
        </w:rPr>
        <w:t xml:space="preserve"> </w:t>
      </w:r>
      <w:r w:rsidR="00755F69" w:rsidRPr="00755F69">
        <w:t>para sus países asociados</w:t>
      </w:r>
      <w:r w:rsidRPr="00755F69">
        <w:rPr>
          <w:rFonts w:asciiTheme="minorHAnsi" w:hAnsiTheme="minorHAnsi"/>
          <w:szCs w:val="24"/>
        </w:rPr>
        <w:t>.</w:t>
      </w:r>
      <w:bookmarkEnd w:id="26"/>
      <w:r w:rsidRPr="00755F69">
        <w:rPr>
          <w:rFonts w:asciiTheme="minorHAnsi" w:hAnsiTheme="minorHAnsi"/>
          <w:szCs w:val="24"/>
        </w:rPr>
        <w:t xml:space="preserve"> </w:t>
      </w:r>
      <w:bookmarkStart w:id="27" w:name="lt_pId073"/>
      <w:r w:rsidR="00A64FCC">
        <w:rPr>
          <w:rFonts w:asciiTheme="minorHAnsi" w:hAnsiTheme="minorHAnsi"/>
          <w:szCs w:val="24"/>
        </w:rPr>
        <w:t xml:space="preserve">Hasta ahora ha llevado a cabo 19 ciberejercicios en más de 100 países. </w:t>
      </w:r>
      <w:r w:rsidR="00755F69" w:rsidRPr="00755F69">
        <w:t>En el</w:t>
      </w:r>
      <w:r w:rsidR="00755F69" w:rsidRPr="00BD2D4D">
        <w:t xml:space="preserve"> periodo abarcado por el presente Informe, se </w:t>
      </w:r>
      <w:r w:rsidR="00A64FCC">
        <w:t>realizaron</w:t>
      </w:r>
      <w:r w:rsidR="00755F69" w:rsidRPr="00BD2D4D">
        <w:t xml:space="preserve"> ciberejercicios </w:t>
      </w:r>
      <w:r w:rsidR="00755F69" w:rsidRPr="00263386">
        <w:t xml:space="preserve">de simulación </w:t>
      </w:r>
      <w:r w:rsidR="00A64FCC">
        <w:t>a nivel internacional</w:t>
      </w:r>
      <w:r w:rsidR="00755F69" w:rsidRPr="00263386">
        <w:t xml:space="preserve"> </w:t>
      </w:r>
      <w:r w:rsidR="00755F69" w:rsidRPr="00BD2D4D">
        <w:t>en</w:t>
      </w:r>
      <w:r w:rsidRPr="0051126F">
        <w:rPr>
          <w:rFonts w:asciiTheme="minorHAnsi" w:hAnsiTheme="minorHAnsi"/>
          <w:szCs w:val="24"/>
        </w:rPr>
        <w:t>:</w:t>
      </w:r>
      <w:bookmarkEnd w:id="27"/>
      <w:r w:rsidRPr="0051126F">
        <w:rPr>
          <w:rFonts w:asciiTheme="minorHAnsi" w:hAnsiTheme="minorHAnsi"/>
          <w:szCs w:val="24"/>
        </w:rPr>
        <w:t xml:space="preserve"> </w:t>
      </w:r>
      <w:bookmarkStart w:id="28" w:name="lt_pId074"/>
      <w:r w:rsidRPr="0051126F">
        <w:rPr>
          <w:rFonts w:asciiTheme="minorHAnsi" w:hAnsiTheme="minorHAnsi"/>
          <w:szCs w:val="24"/>
        </w:rPr>
        <w:t xml:space="preserve">a) </w:t>
      </w:r>
      <w:r w:rsidR="00A64FCC">
        <w:rPr>
          <w:rFonts w:asciiTheme="minorHAnsi" w:hAnsiTheme="minorHAnsi"/>
          <w:szCs w:val="24"/>
        </w:rPr>
        <w:t xml:space="preserve">del 3 al </w:t>
      </w:r>
      <w:r w:rsidRPr="0051126F">
        <w:rPr>
          <w:rFonts w:asciiTheme="minorHAnsi" w:hAnsiTheme="minorHAnsi"/>
          <w:szCs w:val="24"/>
        </w:rPr>
        <w:t xml:space="preserve">7 </w:t>
      </w:r>
      <w:r w:rsidR="00A64FCC">
        <w:rPr>
          <w:rFonts w:asciiTheme="minorHAnsi" w:hAnsiTheme="minorHAnsi"/>
          <w:szCs w:val="24"/>
        </w:rPr>
        <w:lastRenderedPageBreak/>
        <w:t>de julio de</w:t>
      </w:r>
      <w:r w:rsidRPr="0051126F">
        <w:rPr>
          <w:rFonts w:asciiTheme="minorHAnsi" w:hAnsiTheme="minorHAnsi"/>
          <w:szCs w:val="24"/>
        </w:rPr>
        <w:t xml:space="preserve"> 2017 </w:t>
      </w:r>
      <w:r w:rsidR="00A64FCC">
        <w:rPr>
          <w:rFonts w:asciiTheme="minorHAnsi" w:hAnsiTheme="minorHAnsi"/>
          <w:szCs w:val="24"/>
        </w:rPr>
        <w:t>e</w:t>
      </w:r>
      <w:r w:rsidRPr="0051126F">
        <w:rPr>
          <w:rFonts w:asciiTheme="minorHAnsi" w:hAnsiTheme="minorHAnsi"/>
          <w:szCs w:val="24"/>
        </w:rPr>
        <w:t xml:space="preserve">n </w:t>
      </w:r>
      <w:hyperlink r:id="rId48" w:history="1">
        <w:r w:rsidRPr="0051126F">
          <w:rPr>
            <w:rStyle w:val="Hyperlink"/>
            <w:rFonts w:asciiTheme="minorHAnsi" w:hAnsiTheme="minorHAnsi"/>
            <w:szCs w:val="24"/>
          </w:rPr>
          <w:t>Paramaribo</w:t>
        </w:r>
        <w:r w:rsidR="00A64FCC">
          <w:rPr>
            <w:rStyle w:val="Hyperlink"/>
            <w:rFonts w:asciiTheme="minorHAnsi" w:hAnsiTheme="minorHAnsi"/>
            <w:szCs w:val="24"/>
          </w:rPr>
          <w:t xml:space="preserve"> (</w:t>
        </w:r>
        <w:r w:rsidRPr="0051126F">
          <w:rPr>
            <w:rStyle w:val="Hyperlink"/>
            <w:rFonts w:asciiTheme="minorHAnsi" w:hAnsiTheme="minorHAnsi"/>
            <w:szCs w:val="24"/>
          </w:rPr>
          <w:t>Suriname</w:t>
        </w:r>
      </w:hyperlink>
      <w:r w:rsidR="00A64FCC">
        <w:rPr>
          <w:rStyle w:val="Hyperlink"/>
          <w:rFonts w:asciiTheme="minorHAnsi" w:hAnsiTheme="minorHAnsi"/>
          <w:szCs w:val="24"/>
        </w:rPr>
        <w:t>)</w:t>
      </w:r>
      <w:r w:rsidRPr="0056727C">
        <w:rPr>
          <w:rFonts w:asciiTheme="minorHAnsi" w:hAnsiTheme="minorHAnsi"/>
          <w:szCs w:val="24"/>
        </w:rPr>
        <w:t xml:space="preserve"> </w:t>
      </w:r>
      <w:r w:rsidR="00A64FCC">
        <w:rPr>
          <w:rFonts w:asciiTheme="minorHAnsi" w:hAnsiTheme="minorHAnsi"/>
          <w:szCs w:val="24"/>
        </w:rPr>
        <w:t>en la Región del Caribe</w:t>
      </w:r>
      <w:r w:rsidRPr="0056727C">
        <w:rPr>
          <w:rFonts w:asciiTheme="minorHAnsi" w:hAnsiTheme="minorHAnsi"/>
          <w:szCs w:val="24"/>
        </w:rPr>
        <w:t xml:space="preserve">, b) </w:t>
      </w:r>
      <w:r w:rsidR="00A64FCC">
        <w:rPr>
          <w:rFonts w:asciiTheme="minorHAnsi" w:hAnsiTheme="minorHAnsi"/>
          <w:szCs w:val="24"/>
        </w:rPr>
        <w:t>del</w:t>
      </w:r>
      <w:r w:rsidRPr="0056727C">
        <w:rPr>
          <w:rFonts w:asciiTheme="minorHAnsi" w:hAnsiTheme="minorHAnsi"/>
          <w:szCs w:val="24"/>
        </w:rPr>
        <w:t xml:space="preserve"> 13</w:t>
      </w:r>
      <w:r w:rsidR="00A64FCC">
        <w:rPr>
          <w:rFonts w:asciiTheme="minorHAnsi" w:hAnsiTheme="minorHAnsi"/>
          <w:szCs w:val="24"/>
        </w:rPr>
        <w:t xml:space="preserve"> al </w:t>
      </w:r>
      <w:r w:rsidRPr="0056727C">
        <w:rPr>
          <w:rFonts w:asciiTheme="minorHAnsi" w:hAnsiTheme="minorHAnsi"/>
          <w:szCs w:val="24"/>
        </w:rPr>
        <w:t xml:space="preserve">17 </w:t>
      </w:r>
      <w:r w:rsidR="00A64FCC">
        <w:rPr>
          <w:rFonts w:asciiTheme="minorHAnsi" w:hAnsiTheme="minorHAnsi"/>
          <w:szCs w:val="24"/>
        </w:rPr>
        <w:t>de noviembre de</w:t>
      </w:r>
      <w:r w:rsidRPr="0056727C">
        <w:rPr>
          <w:rFonts w:asciiTheme="minorHAnsi" w:hAnsiTheme="minorHAnsi"/>
          <w:szCs w:val="24"/>
        </w:rPr>
        <w:t xml:space="preserve"> 2017 </w:t>
      </w:r>
      <w:r w:rsidR="00A64FCC">
        <w:rPr>
          <w:rFonts w:asciiTheme="minorHAnsi" w:hAnsiTheme="minorHAnsi"/>
          <w:szCs w:val="24"/>
        </w:rPr>
        <w:t>e</w:t>
      </w:r>
      <w:r w:rsidRPr="0056727C">
        <w:rPr>
          <w:rFonts w:asciiTheme="minorHAnsi" w:hAnsiTheme="minorHAnsi"/>
          <w:szCs w:val="24"/>
        </w:rPr>
        <w:t xml:space="preserve">n </w:t>
      </w:r>
      <w:hyperlink r:id="rId49" w:history="1">
        <w:r w:rsidR="00A64FCC">
          <w:rPr>
            <w:rStyle w:val="Hyperlink"/>
            <w:rFonts w:asciiTheme="minorHAnsi" w:hAnsiTheme="minorHAnsi"/>
            <w:szCs w:val="24"/>
          </w:rPr>
          <w:t>Dar Es Salaam (</w:t>
        </w:r>
        <w:r w:rsidRPr="0056727C">
          <w:rPr>
            <w:rStyle w:val="Hyperlink"/>
            <w:rFonts w:asciiTheme="minorHAnsi" w:hAnsiTheme="minorHAnsi"/>
            <w:szCs w:val="24"/>
          </w:rPr>
          <w:t>Tanzania</w:t>
        </w:r>
      </w:hyperlink>
      <w:r w:rsidR="00A64FCC">
        <w:rPr>
          <w:rStyle w:val="Hyperlink"/>
          <w:rFonts w:asciiTheme="minorHAnsi" w:hAnsiTheme="minorHAnsi"/>
          <w:szCs w:val="24"/>
        </w:rPr>
        <w:t>)</w:t>
      </w:r>
      <w:r w:rsidRPr="0056727C">
        <w:rPr>
          <w:rFonts w:asciiTheme="minorHAnsi" w:hAnsiTheme="minorHAnsi"/>
          <w:szCs w:val="24"/>
        </w:rPr>
        <w:t xml:space="preserve">, </w:t>
      </w:r>
      <w:r w:rsidR="00A64FCC">
        <w:rPr>
          <w:rFonts w:asciiTheme="minorHAnsi" w:hAnsiTheme="minorHAnsi"/>
          <w:szCs w:val="24"/>
        </w:rPr>
        <w:t>para las Regiones de África y Árabe</w:t>
      </w:r>
      <w:r w:rsidRPr="0056727C">
        <w:rPr>
          <w:rFonts w:asciiTheme="minorHAnsi" w:hAnsiTheme="minorHAnsi"/>
          <w:szCs w:val="24"/>
        </w:rPr>
        <w:t xml:space="preserve">, </w:t>
      </w:r>
      <w:r w:rsidR="00A64FCC">
        <w:rPr>
          <w:rFonts w:asciiTheme="minorHAnsi" w:hAnsiTheme="minorHAnsi"/>
          <w:szCs w:val="24"/>
        </w:rPr>
        <w:t>y</w:t>
      </w:r>
      <w:r w:rsidRPr="0056727C">
        <w:rPr>
          <w:rFonts w:asciiTheme="minorHAnsi" w:hAnsiTheme="minorHAnsi"/>
          <w:szCs w:val="24"/>
        </w:rPr>
        <w:t xml:space="preserve"> c) </w:t>
      </w:r>
      <w:r w:rsidR="00A64FCC">
        <w:rPr>
          <w:rFonts w:asciiTheme="minorHAnsi" w:hAnsiTheme="minorHAnsi"/>
          <w:szCs w:val="24"/>
        </w:rPr>
        <w:t>del</w:t>
      </w:r>
      <w:r w:rsidRPr="0056727C">
        <w:rPr>
          <w:rFonts w:asciiTheme="minorHAnsi" w:hAnsiTheme="minorHAnsi"/>
          <w:szCs w:val="24"/>
        </w:rPr>
        <w:t xml:space="preserve"> 21</w:t>
      </w:r>
      <w:r w:rsidR="00A64FCC">
        <w:rPr>
          <w:rFonts w:asciiTheme="minorHAnsi" w:hAnsiTheme="minorHAnsi"/>
          <w:szCs w:val="24"/>
        </w:rPr>
        <w:t xml:space="preserve"> al </w:t>
      </w:r>
      <w:r w:rsidRPr="0056727C">
        <w:rPr>
          <w:rFonts w:asciiTheme="minorHAnsi" w:hAnsiTheme="minorHAnsi"/>
          <w:szCs w:val="24"/>
        </w:rPr>
        <w:t xml:space="preserve">23 </w:t>
      </w:r>
      <w:r w:rsidR="00A64FCC">
        <w:rPr>
          <w:rFonts w:asciiTheme="minorHAnsi" w:hAnsiTheme="minorHAnsi"/>
          <w:szCs w:val="24"/>
        </w:rPr>
        <w:t>de noviembre de</w:t>
      </w:r>
      <w:r w:rsidRPr="0056727C">
        <w:rPr>
          <w:rFonts w:asciiTheme="minorHAnsi" w:hAnsiTheme="minorHAnsi"/>
          <w:szCs w:val="24"/>
        </w:rPr>
        <w:t xml:space="preserve"> 2017</w:t>
      </w:r>
      <w:r w:rsidR="00A64FCC">
        <w:rPr>
          <w:rFonts w:asciiTheme="minorHAnsi" w:hAnsiTheme="minorHAnsi"/>
          <w:szCs w:val="24"/>
        </w:rPr>
        <w:t xml:space="preserve"> e</w:t>
      </w:r>
      <w:r w:rsidRPr="0056727C">
        <w:rPr>
          <w:rFonts w:asciiTheme="minorHAnsi" w:hAnsiTheme="minorHAnsi"/>
          <w:szCs w:val="24"/>
        </w:rPr>
        <w:t xml:space="preserve">n </w:t>
      </w:r>
      <w:hyperlink r:id="rId50" w:history="1">
        <w:r w:rsidR="00A64FCC">
          <w:rPr>
            <w:rStyle w:val="Hyperlink"/>
            <w:rFonts w:asciiTheme="minorHAnsi" w:hAnsiTheme="minorHAnsi"/>
            <w:szCs w:val="24"/>
          </w:rPr>
          <w:t>Chisinau (</w:t>
        </w:r>
        <w:r w:rsidRPr="0056727C">
          <w:rPr>
            <w:rStyle w:val="Hyperlink"/>
            <w:rFonts w:asciiTheme="minorHAnsi" w:hAnsiTheme="minorHAnsi"/>
            <w:szCs w:val="24"/>
          </w:rPr>
          <w:t>Moldova</w:t>
        </w:r>
      </w:hyperlink>
      <w:r w:rsidR="00A64FCC">
        <w:rPr>
          <w:rStyle w:val="Hyperlink"/>
          <w:rFonts w:asciiTheme="minorHAnsi" w:hAnsiTheme="minorHAnsi"/>
          <w:szCs w:val="24"/>
        </w:rPr>
        <w:t>)</w:t>
      </w:r>
      <w:r w:rsidRPr="0056727C">
        <w:rPr>
          <w:rFonts w:asciiTheme="minorHAnsi" w:hAnsiTheme="minorHAnsi"/>
          <w:szCs w:val="24"/>
        </w:rPr>
        <w:t xml:space="preserve"> </w:t>
      </w:r>
      <w:r w:rsidR="00A64FCC">
        <w:rPr>
          <w:rFonts w:asciiTheme="minorHAnsi" w:hAnsiTheme="minorHAnsi"/>
          <w:szCs w:val="24"/>
        </w:rPr>
        <w:t>para las Regiones de Europa y la CIS</w:t>
      </w:r>
      <w:r w:rsidRPr="0056727C">
        <w:rPr>
          <w:rFonts w:asciiTheme="minorHAnsi" w:hAnsiTheme="minorHAnsi"/>
          <w:szCs w:val="24"/>
        </w:rPr>
        <w:t>.</w:t>
      </w:r>
      <w:bookmarkEnd w:id="28"/>
    </w:p>
    <w:p w:rsidR="00755F69" w:rsidRDefault="00755F69" w:rsidP="00847146">
      <w:r w:rsidRPr="00BD2D4D">
        <w:t>4.</w:t>
      </w:r>
      <w:r>
        <w:t>4</w:t>
      </w:r>
      <w:r w:rsidRPr="00BD2D4D">
        <w:tab/>
        <w:t xml:space="preserve">Se encuentra en fase de desarrollo </w:t>
      </w:r>
      <w:r w:rsidR="00847146">
        <w:t>un conjunto de instrumentos</w:t>
      </w:r>
      <w:r w:rsidRPr="00BD2D4D">
        <w:t xml:space="preserve"> de </w:t>
      </w:r>
      <w:hyperlink r:id="rId51" w:history="1">
        <w:r>
          <w:rPr>
            <w:rStyle w:val="Hyperlink"/>
          </w:rPr>
          <w:t>estrategia nacional de ciberseguridad</w:t>
        </w:r>
      </w:hyperlink>
      <w:r w:rsidR="00847146">
        <w:rPr>
          <w:rStyle w:val="Hyperlink"/>
        </w:rPr>
        <w:t>,</w:t>
      </w:r>
      <w:r w:rsidRPr="00BD2D4D">
        <w:t xml:space="preserve"> </w:t>
      </w:r>
      <w:r w:rsidR="00847146">
        <w:t>en el marco de los esfuerzos desplegados por varias</w:t>
      </w:r>
      <w:r w:rsidRPr="00BD2D4D">
        <w:t xml:space="preserve"> partes interesadas</w:t>
      </w:r>
      <w:r w:rsidR="00847146">
        <w:t xml:space="preserve"> y</w:t>
      </w:r>
      <w:r w:rsidRPr="00BD2D4D">
        <w:t xml:space="preserve"> facilitad</w:t>
      </w:r>
      <w:r>
        <w:t>o</w:t>
      </w:r>
      <w:r w:rsidR="00847146">
        <w:t>s</w:t>
      </w:r>
      <w:r w:rsidRPr="00BD2D4D">
        <w:t xml:space="preserve"> por la UIT. Para avanzar en los trabajos, se celebr</w:t>
      </w:r>
      <w:r>
        <w:t>aron tres talleres</w:t>
      </w:r>
      <w:r w:rsidRPr="00BD2D4D">
        <w:t xml:space="preserve"> de asociados </w:t>
      </w:r>
      <w:r w:rsidR="0092097B">
        <w:t>en</w:t>
      </w:r>
      <w:r w:rsidRPr="00BD2D4D">
        <w:t xml:space="preserve"> 2016 </w:t>
      </w:r>
      <w:r w:rsidR="0092097B">
        <w:t xml:space="preserve">y tuvo lugar una reunión de seguimiento en Washington DC (Estados Unidos) del 25 al 26 de febrero de 2018. </w:t>
      </w:r>
      <w:r>
        <w:t>El producto se está finalizando.</w:t>
      </w:r>
    </w:p>
    <w:p w:rsidR="00755F69" w:rsidRPr="009A53D4" w:rsidRDefault="00755F69" w:rsidP="00847146">
      <w:pPr>
        <w:pStyle w:val="Heading1"/>
      </w:pPr>
      <w:r w:rsidRPr="009A53D4">
        <w:t>5</w:t>
      </w:r>
      <w:r w:rsidRPr="009A53D4">
        <w:tab/>
        <w:t>Creación de capacidad</w:t>
      </w:r>
    </w:p>
    <w:p w:rsidR="00755F69" w:rsidRPr="00BD2D4D" w:rsidRDefault="00755F69" w:rsidP="00847146">
      <w:r w:rsidRPr="00BD2D4D">
        <w:t>5.1</w:t>
      </w:r>
      <w:r w:rsidRPr="00BD2D4D">
        <w:tab/>
        <w:t xml:space="preserve">La UIT sigue organizando </w:t>
      </w:r>
      <w:hyperlink r:id="rId52" w:history="1">
        <w:r w:rsidRPr="001E4596">
          <w:rPr>
            <w:rStyle w:val="Hyperlink"/>
          </w:rPr>
          <w:t>foros regionales de ciberseguridad</w:t>
        </w:r>
      </w:hyperlink>
      <w:r w:rsidRPr="00BD2D4D">
        <w:t xml:space="preserve"> para todas </w:t>
      </w:r>
      <w:r w:rsidR="00847146">
        <w:t>sus</w:t>
      </w:r>
      <w:r w:rsidRPr="00BD2D4D">
        <w:t xml:space="preserve"> regiones, y los utiliza como </w:t>
      </w:r>
      <w:r w:rsidR="00847146">
        <w:t>medio</w:t>
      </w:r>
      <w:r w:rsidRPr="00BD2D4D">
        <w:t xml:space="preserve"> </w:t>
      </w:r>
      <w:r w:rsidR="00847146">
        <w:t>de aumento de las</w:t>
      </w:r>
      <w:r w:rsidRPr="00BD2D4D">
        <w:t xml:space="preserve"> capacidades </w:t>
      </w:r>
      <w:r w:rsidR="00847146">
        <w:t>en el marco de varios</w:t>
      </w:r>
      <w:r w:rsidRPr="00BD2D4D">
        <w:t xml:space="preserve"> programas y actividades del UIT-D, </w:t>
      </w:r>
      <w:r>
        <w:t>y</w:t>
      </w:r>
      <w:r w:rsidRPr="00BD2D4D">
        <w:t xml:space="preserve"> como plataforma operacional de cooperación a escala</w:t>
      </w:r>
      <w:r w:rsidR="00847146">
        <w:t>s</w:t>
      </w:r>
      <w:r w:rsidRPr="00BD2D4D">
        <w:t xml:space="preserve"> regional e internacional.</w:t>
      </w:r>
    </w:p>
    <w:p w:rsidR="009759F7" w:rsidRPr="00D63325" w:rsidRDefault="009759F7" w:rsidP="00847146">
      <w:pPr>
        <w:pStyle w:val="normalWSIS"/>
        <w:numPr>
          <w:ilvl w:val="0"/>
          <w:numId w:val="0"/>
        </w:numPr>
        <w:tabs>
          <w:tab w:val="clear" w:pos="426"/>
        </w:tabs>
        <w:adjustRightInd w:val="0"/>
        <w:snapToGrid w:val="0"/>
        <w:spacing w:after="120"/>
        <w:rPr>
          <w:rFonts w:asciiTheme="minorHAnsi" w:hAnsiTheme="minorHAnsi"/>
          <w:spacing w:val="-2"/>
          <w:sz w:val="24"/>
          <w:szCs w:val="24"/>
          <w:lang w:val="es-ES_tradnl"/>
        </w:rPr>
      </w:pPr>
      <w:r w:rsidRPr="00D63325">
        <w:rPr>
          <w:rFonts w:asciiTheme="minorHAnsi" w:hAnsiTheme="minorHAnsi"/>
          <w:sz w:val="24"/>
          <w:szCs w:val="24"/>
          <w:lang w:val="es-ES_tradnl"/>
        </w:rPr>
        <w:t>5.2</w:t>
      </w:r>
      <w:r w:rsidRPr="00D63325">
        <w:rPr>
          <w:rFonts w:asciiTheme="minorHAnsi" w:hAnsiTheme="minorHAnsi"/>
          <w:b/>
          <w:bCs/>
          <w:sz w:val="24"/>
          <w:szCs w:val="24"/>
          <w:lang w:val="es-ES_tradnl"/>
        </w:rPr>
        <w:tab/>
      </w:r>
      <w:bookmarkStart w:id="29" w:name="lt_pId084"/>
      <w:r w:rsidR="00847146">
        <w:rPr>
          <w:rFonts w:asciiTheme="minorHAnsi" w:hAnsiTheme="minorHAnsi"/>
          <w:spacing w:val="-2"/>
          <w:sz w:val="24"/>
          <w:szCs w:val="24"/>
          <w:lang w:val="es-ES_tradnl"/>
        </w:rPr>
        <w:t>Después de la CMDT-</w:t>
      </w:r>
      <w:r w:rsidRPr="00D63325">
        <w:rPr>
          <w:rFonts w:asciiTheme="minorHAnsi" w:hAnsiTheme="minorHAnsi"/>
          <w:spacing w:val="-2"/>
          <w:sz w:val="24"/>
          <w:szCs w:val="24"/>
          <w:lang w:val="es-ES_tradnl"/>
        </w:rPr>
        <w:t xml:space="preserve">2017, </w:t>
      </w:r>
      <w:r w:rsidR="00847146">
        <w:rPr>
          <w:rFonts w:asciiTheme="minorHAnsi" w:hAnsiTheme="minorHAnsi"/>
          <w:spacing w:val="-2"/>
          <w:sz w:val="24"/>
          <w:szCs w:val="24"/>
          <w:lang w:val="es-ES_tradnl"/>
        </w:rPr>
        <w:t xml:space="preserve">la </w:t>
      </w:r>
      <w:r w:rsidR="00847146" w:rsidRPr="00D63325">
        <w:rPr>
          <w:rFonts w:asciiTheme="minorHAnsi" w:hAnsiTheme="minorHAnsi"/>
          <w:spacing w:val="-2"/>
          <w:sz w:val="24"/>
          <w:szCs w:val="24"/>
          <w:lang w:val="es-ES_tradnl"/>
        </w:rPr>
        <w:t>Cuestión</w:t>
      </w:r>
      <w:r w:rsidRPr="00D63325">
        <w:rPr>
          <w:rFonts w:asciiTheme="minorHAnsi" w:hAnsiTheme="minorHAnsi"/>
          <w:spacing w:val="-2"/>
          <w:sz w:val="24"/>
          <w:szCs w:val="24"/>
          <w:lang w:val="es-ES_tradnl"/>
        </w:rPr>
        <w:t xml:space="preserve"> 3/2 (</w:t>
      </w:r>
      <w:hyperlink r:id="rId53" w:history="1">
        <w:r w:rsidR="00D63325" w:rsidRPr="00D63325">
          <w:rPr>
            <w:rStyle w:val="Hyperlink"/>
            <w:bCs/>
            <w:sz w:val="24"/>
            <w:szCs w:val="24"/>
            <w:lang w:val="es-ES_tradnl"/>
          </w:rPr>
          <w:t>Seguridad en las redes de información y comunicación: prácticas óptimas para el desarrollo de una cultura de ciberseguridad</w:t>
        </w:r>
      </w:hyperlink>
      <w:r w:rsidRPr="00D63325">
        <w:rPr>
          <w:rFonts w:asciiTheme="minorHAnsi" w:hAnsiTheme="minorHAnsi"/>
          <w:spacing w:val="-2"/>
          <w:sz w:val="24"/>
          <w:szCs w:val="24"/>
          <w:lang w:val="es-ES_tradnl"/>
        </w:rPr>
        <w:t xml:space="preserve">) </w:t>
      </w:r>
      <w:r w:rsidR="00847146">
        <w:rPr>
          <w:rFonts w:asciiTheme="minorHAnsi" w:hAnsiTheme="minorHAnsi"/>
          <w:spacing w:val="-2"/>
          <w:sz w:val="24"/>
          <w:szCs w:val="24"/>
          <w:lang w:val="es-ES_tradnl"/>
        </w:rPr>
        <w:t>proseguirá su labor en el período de estudios</w:t>
      </w:r>
      <w:r w:rsidRPr="00D63325">
        <w:rPr>
          <w:rFonts w:asciiTheme="minorHAnsi" w:hAnsiTheme="minorHAnsi"/>
          <w:spacing w:val="-2"/>
          <w:sz w:val="24"/>
          <w:szCs w:val="24"/>
          <w:lang w:val="es-ES_tradnl"/>
        </w:rPr>
        <w:t xml:space="preserve"> 2018-2021.</w:t>
      </w:r>
      <w:bookmarkEnd w:id="29"/>
    </w:p>
    <w:p w:rsidR="009759F7" w:rsidRPr="004913E6" w:rsidRDefault="009759F7" w:rsidP="007609BF">
      <w:pPr>
        <w:pStyle w:val="normalWSIS"/>
        <w:numPr>
          <w:ilvl w:val="0"/>
          <w:numId w:val="0"/>
        </w:numPr>
        <w:tabs>
          <w:tab w:val="clear" w:pos="426"/>
        </w:tabs>
        <w:adjustRightInd w:val="0"/>
        <w:snapToGrid w:val="0"/>
        <w:spacing w:after="120"/>
        <w:rPr>
          <w:rFonts w:asciiTheme="minorHAnsi" w:hAnsiTheme="minorHAnsi"/>
          <w:sz w:val="24"/>
          <w:szCs w:val="24"/>
          <w:lang w:val="es-ES_tradnl"/>
        </w:rPr>
      </w:pPr>
      <w:r w:rsidRPr="00847146">
        <w:rPr>
          <w:rFonts w:asciiTheme="minorHAnsi" w:hAnsiTheme="minorHAnsi"/>
          <w:sz w:val="24"/>
          <w:szCs w:val="24"/>
          <w:lang w:val="es-ES_tradnl"/>
        </w:rPr>
        <w:t>5.3</w:t>
      </w:r>
      <w:r w:rsidRPr="00847146">
        <w:rPr>
          <w:rFonts w:asciiTheme="minorHAnsi" w:hAnsiTheme="minorHAnsi"/>
          <w:sz w:val="24"/>
          <w:szCs w:val="24"/>
          <w:lang w:val="es-ES_tradnl"/>
        </w:rPr>
        <w:tab/>
      </w:r>
      <w:bookmarkStart w:id="30" w:name="lt_pId086"/>
      <w:r w:rsidR="00847146" w:rsidRPr="00847146">
        <w:rPr>
          <w:rFonts w:asciiTheme="minorHAnsi" w:hAnsiTheme="minorHAnsi"/>
          <w:sz w:val="24"/>
          <w:szCs w:val="24"/>
          <w:lang w:val="es-ES_tradnl"/>
        </w:rPr>
        <w:t>La UIT, junto con</w:t>
      </w:r>
      <w:r w:rsidRPr="00847146">
        <w:rPr>
          <w:rFonts w:asciiTheme="minorHAnsi" w:hAnsiTheme="minorHAnsi"/>
          <w:sz w:val="24"/>
          <w:szCs w:val="24"/>
          <w:lang w:val="es-ES_tradnl"/>
        </w:rPr>
        <w:t xml:space="preserve"> AfricaCERT, </w:t>
      </w:r>
      <w:r w:rsidR="00847146">
        <w:rPr>
          <w:rFonts w:asciiTheme="minorHAnsi" w:hAnsiTheme="minorHAnsi"/>
          <w:sz w:val="24"/>
          <w:szCs w:val="24"/>
          <w:lang w:val="es-ES_tradnl"/>
        </w:rPr>
        <w:t xml:space="preserve">organizó un taller de creación de capacidad de cinco días de duración sobre </w:t>
      </w:r>
      <w:hyperlink r:id="rId54" w:history="1">
        <w:r w:rsidR="007609BF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"</w:t>
        </w:r>
        <w:r w:rsidR="004913E6" w:rsidRPr="004913E6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Información sobre amenazas</w:t>
        </w:r>
        <w:r w:rsidR="007609BF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"</w:t>
        </w:r>
      </w:hyperlink>
      <w:r w:rsidR="00847146" w:rsidRPr="00847146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4913E6">
        <w:rPr>
          <w:rFonts w:asciiTheme="minorHAnsi" w:hAnsiTheme="minorHAnsi"/>
          <w:sz w:val="24"/>
          <w:szCs w:val="24"/>
          <w:lang w:val="es-ES_tradnl"/>
        </w:rPr>
        <w:t>del 11 al 15 de diciembre de 2017 e</w:t>
      </w:r>
      <w:r w:rsidR="00847146" w:rsidRPr="00847146">
        <w:rPr>
          <w:rFonts w:asciiTheme="minorHAnsi" w:hAnsiTheme="minorHAnsi"/>
          <w:sz w:val="24"/>
          <w:szCs w:val="24"/>
          <w:lang w:val="es-ES_tradnl"/>
        </w:rPr>
        <w:t>n Cotonou</w:t>
      </w:r>
      <w:r w:rsidR="004913E6">
        <w:rPr>
          <w:rFonts w:asciiTheme="minorHAnsi" w:hAnsiTheme="minorHAnsi"/>
          <w:sz w:val="24"/>
          <w:szCs w:val="24"/>
          <w:lang w:val="es-ES_tradnl"/>
        </w:rPr>
        <w:t xml:space="preserve"> (</w:t>
      </w:r>
      <w:r w:rsidR="00847146" w:rsidRPr="00847146">
        <w:rPr>
          <w:rFonts w:asciiTheme="minorHAnsi" w:hAnsiTheme="minorHAnsi"/>
          <w:sz w:val="24"/>
          <w:szCs w:val="24"/>
          <w:lang w:val="es-ES_tradnl"/>
        </w:rPr>
        <w:t>Benin</w:t>
      </w:r>
      <w:r w:rsidR="004913E6">
        <w:rPr>
          <w:rFonts w:asciiTheme="minorHAnsi" w:hAnsiTheme="minorHAnsi"/>
          <w:sz w:val="24"/>
          <w:szCs w:val="24"/>
          <w:lang w:val="es-ES_tradnl"/>
        </w:rPr>
        <w:t xml:space="preserve">), en colaboración con </w:t>
      </w:r>
      <w:r w:rsidR="00847146" w:rsidRPr="004913E6">
        <w:rPr>
          <w:rFonts w:asciiTheme="minorHAnsi" w:hAnsiTheme="minorHAnsi"/>
          <w:sz w:val="24"/>
          <w:szCs w:val="24"/>
          <w:lang w:val="es-ES_tradnl"/>
        </w:rPr>
        <w:t xml:space="preserve">l’Agence Nationale de la Sécurité des systèmes d'information (ANSSI FRANCE). </w:t>
      </w:r>
      <w:bookmarkEnd w:id="30"/>
    </w:p>
    <w:p w:rsidR="009759F7" w:rsidRPr="007709CD" w:rsidRDefault="009759F7" w:rsidP="00E966A6">
      <w:pPr>
        <w:pStyle w:val="normalWSIS"/>
        <w:numPr>
          <w:ilvl w:val="0"/>
          <w:numId w:val="0"/>
        </w:numPr>
        <w:tabs>
          <w:tab w:val="clear" w:pos="426"/>
        </w:tabs>
        <w:adjustRightInd w:val="0"/>
        <w:snapToGrid w:val="0"/>
        <w:spacing w:after="120"/>
        <w:rPr>
          <w:rFonts w:asciiTheme="minorHAnsi" w:hAnsiTheme="minorHAnsi"/>
          <w:sz w:val="24"/>
          <w:szCs w:val="24"/>
          <w:lang w:val="es-ES_tradnl"/>
        </w:rPr>
      </w:pPr>
      <w:r w:rsidRPr="007709CD">
        <w:rPr>
          <w:rFonts w:asciiTheme="minorHAnsi" w:hAnsiTheme="minorHAnsi"/>
          <w:sz w:val="24"/>
          <w:szCs w:val="24"/>
          <w:lang w:val="es-ES_tradnl"/>
        </w:rPr>
        <w:t>5.4</w:t>
      </w:r>
      <w:r w:rsidRPr="007709CD">
        <w:rPr>
          <w:rFonts w:asciiTheme="minorHAnsi" w:hAnsiTheme="minorHAnsi"/>
          <w:sz w:val="24"/>
          <w:szCs w:val="24"/>
          <w:lang w:val="es-ES_tradnl"/>
        </w:rPr>
        <w:tab/>
      </w:r>
      <w:bookmarkStart w:id="31" w:name="lt_pId088"/>
      <w:r w:rsidR="004913E6" w:rsidRPr="007709CD">
        <w:rPr>
          <w:rFonts w:asciiTheme="minorHAnsi" w:hAnsiTheme="minorHAnsi"/>
          <w:sz w:val="24"/>
          <w:szCs w:val="24"/>
          <w:lang w:val="es-ES_tradnl"/>
        </w:rPr>
        <w:t>Tras la presentación de los primeros resultados del</w:t>
      </w:r>
      <w:r w:rsidRPr="007709CD">
        <w:rPr>
          <w:rFonts w:asciiTheme="minorHAnsi" w:hAnsiTheme="minorHAnsi"/>
          <w:sz w:val="24"/>
          <w:szCs w:val="24"/>
          <w:lang w:val="es-ES_tradnl"/>
        </w:rPr>
        <w:t xml:space="preserve"> </w:t>
      </w:r>
      <w:hyperlink r:id="rId55" w:history="1">
        <w:r w:rsidR="007709CD" w:rsidRPr="007709CD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Índice Mundial de Ciberseguridad</w:t>
        </w:r>
      </w:hyperlink>
      <w:r w:rsidR="007709CD" w:rsidRPr="007709CD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Pr="007709CD">
        <w:rPr>
          <w:rFonts w:asciiTheme="minorHAnsi" w:hAnsiTheme="minorHAnsi"/>
          <w:sz w:val="24"/>
          <w:szCs w:val="24"/>
          <w:lang w:val="es-ES_tradnl"/>
        </w:rPr>
        <w:t xml:space="preserve">(GCI) </w:t>
      </w:r>
      <w:r w:rsidR="007709CD" w:rsidRPr="007709CD">
        <w:rPr>
          <w:rFonts w:asciiTheme="minorHAnsi" w:hAnsiTheme="minorHAnsi"/>
          <w:sz w:val="24"/>
          <w:szCs w:val="24"/>
          <w:lang w:val="es-ES_tradnl"/>
        </w:rPr>
        <w:t>e</w:t>
      </w:r>
      <w:r w:rsidRPr="007709CD">
        <w:rPr>
          <w:rFonts w:asciiTheme="minorHAnsi" w:hAnsiTheme="minorHAnsi"/>
          <w:sz w:val="24"/>
          <w:szCs w:val="24"/>
          <w:lang w:val="es-ES_tradnl"/>
        </w:rPr>
        <w:t xml:space="preserve">n 2014 </w:t>
      </w:r>
      <w:r w:rsidR="007709CD" w:rsidRPr="007709CD">
        <w:rPr>
          <w:rFonts w:asciiTheme="minorHAnsi" w:hAnsiTheme="minorHAnsi"/>
          <w:sz w:val="24"/>
          <w:szCs w:val="24"/>
          <w:lang w:val="es-ES_tradnl"/>
        </w:rPr>
        <w:t>y su incorporación a la Resoluci</w:t>
      </w:r>
      <w:r w:rsidR="007709CD">
        <w:rPr>
          <w:rFonts w:asciiTheme="minorHAnsi" w:hAnsiTheme="minorHAnsi"/>
          <w:sz w:val="24"/>
          <w:szCs w:val="24"/>
          <w:lang w:val="es-ES_tradnl"/>
        </w:rPr>
        <w:t xml:space="preserve">ón 130 (Rev. Busán, 2014) se ha avanzado en la segunda versión de dicho </w:t>
      </w:r>
      <w:hyperlink r:id="rId56" w:history="1">
        <w:r w:rsidR="007709CD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Índice Mundial de Ciberseguridad (GCI) (2017</w:t>
        </w:r>
      </w:hyperlink>
      <w:r w:rsidR="007709CD">
        <w:rPr>
          <w:rFonts w:asciiTheme="minorHAnsi" w:hAnsiTheme="minorHAnsi"/>
          <w:sz w:val="24"/>
          <w:szCs w:val="24"/>
          <w:lang w:val="es-ES_tradnl"/>
        </w:rPr>
        <w:t>), sobre la base de las contribuciones de 134 países</w:t>
      </w:r>
      <w:r w:rsidR="00E966A6">
        <w:rPr>
          <w:rFonts w:asciiTheme="minorHAnsi" w:hAnsiTheme="minorHAnsi"/>
          <w:sz w:val="24"/>
          <w:szCs w:val="24"/>
          <w:lang w:val="es-ES_tradnl"/>
        </w:rPr>
        <w:t xml:space="preserve"> y la</w:t>
      </w:r>
      <w:r w:rsidR="007709CD">
        <w:rPr>
          <w:rFonts w:asciiTheme="minorHAnsi" w:hAnsiTheme="minorHAnsi"/>
          <w:sz w:val="24"/>
          <w:szCs w:val="24"/>
          <w:lang w:val="es-ES_tradnl"/>
        </w:rPr>
        <w:t xml:space="preserve"> asistencia de asociados internacionales.</w:t>
      </w:r>
      <w:bookmarkEnd w:id="31"/>
      <w:r w:rsidRPr="007709CD">
        <w:rPr>
          <w:rFonts w:asciiTheme="minorHAnsi" w:hAnsiTheme="minorHAnsi"/>
          <w:sz w:val="24"/>
          <w:szCs w:val="24"/>
          <w:lang w:val="es-ES_tradnl"/>
        </w:rPr>
        <w:t xml:space="preserve"> </w:t>
      </w:r>
    </w:p>
    <w:p w:rsidR="009759F7" w:rsidRPr="00E7549C" w:rsidRDefault="009759F7" w:rsidP="005D0FC7">
      <w:pPr>
        <w:pStyle w:val="normalWSIS"/>
        <w:numPr>
          <w:ilvl w:val="0"/>
          <w:numId w:val="0"/>
        </w:numPr>
        <w:tabs>
          <w:tab w:val="clear" w:pos="426"/>
        </w:tabs>
        <w:adjustRightInd w:val="0"/>
        <w:snapToGrid w:val="0"/>
        <w:spacing w:after="120"/>
        <w:rPr>
          <w:rFonts w:asciiTheme="minorHAnsi" w:hAnsiTheme="minorHAnsi"/>
          <w:sz w:val="24"/>
          <w:szCs w:val="24"/>
          <w:lang w:val="es-ES_tradnl"/>
        </w:rPr>
      </w:pPr>
      <w:r w:rsidRPr="007709CD">
        <w:rPr>
          <w:rFonts w:asciiTheme="minorHAnsi" w:hAnsiTheme="minorHAnsi"/>
          <w:sz w:val="24"/>
          <w:szCs w:val="24"/>
          <w:lang w:val="es-ES_tradnl"/>
        </w:rPr>
        <w:t>5.5</w:t>
      </w:r>
      <w:r w:rsidRPr="007709CD">
        <w:rPr>
          <w:rFonts w:asciiTheme="minorHAnsi" w:hAnsiTheme="minorHAnsi"/>
          <w:sz w:val="24"/>
          <w:szCs w:val="24"/>
          <w:lang w:val="es-ES_tradnl"/>
        </w:rPr>
        <w:tab/>
      </w:r>
      <w:bookmarkStart w:id="32" w:name="lt_pId090"/>
      <w:r w:rsidR="007709CD" w:rsidRPr="007709CD">
        <w:rPr>
          <w:rFonts w:asciiTheme="minorHAnsi" w:hAnsiTheme="minorHAnsi"/>
          <w:sz w:val="24"/>
          <w:szCs w:val="24"/>
          <w:lang w:val="es-ES_tradnl"/>
        </w:rPr>
        <w:t>El 18 de diciembre de</w:t>
      </w:r>
      <w:r w:rsidRPr="007709CD">
        <w:rPr>
          <w:rFonts w:asciiTheme="minorHAnsi" w:hAnsiTheme="minorHAnsi"/>
          <w:sz w:val="24"/>
          <w:szCs w:val="24"/>
          <w:lang w:val="es-ES_tradnl"/>
        </w:rPr>
        <w:t xml:space="preserve"> 2017 </w:t>
      </w:r>
      <w:r w:rsidR="007709CD" w:rsidRPr="007709CD">
        <w:rPr>
          <w:rFonts w:asciiTheme="minorHAnsi" w:hAnsiTheme="minorHAnsi"/>
          <w:sz w:val="24"/>
          <w:szCs w:val="24"/>
          <w:lang w:val="es-ES_tradnl"/>
        </w:rPr>
        <w:t>se organiz</w:t>
      </w:r>
      <w:r w:rsidR="007709CD">
        <w:rPr>
          <w:rFonts w:asciiTheme="minorHAnsi" w:hAnsiTheme="minorHAnsi"/>
          <w:sz w:val="24"/>
          <w:szCs w:val="24"/>
          <w:lang w:val="es-ES_tradnl"/>
        </w:rPr>
        <w:t>ó</w:t>
      </w:r>
      <w:r w:rsidR="007709CD" w:rsidRPr="007709CD">
        <w:rPr>
          <w:rFonts w:asciiTheme="minorHAnsi" w:hAnsiTheme="minorHAnsi"/>
          <w:sz w:val="24"/>
          <w:szCs w:val="24"/>
          <w:lang w:val="es-ES_tradnl"/>
        </w:rPr>
        <w:t xml:space="preserve"> el seminario por Internet</w:t>
      </w:r>
      <w:r w:rsidRPr="007709CD">
        <w:rPr>
          <w:rFonts w:asciiTheme="minorHAnsi" w:hAnsiTheme="minorHAnsi"/>
          <w:sz w:val="24"/>
          <w:szCs w:val="24"/>
          <w:lang w:val="es-ES_tradnl"/>
        </w:rPr>
        <w:t xml:space="preserve"> </w:t>
      </w:r>
      <w:hyperlink r:id="rId57" w:history="1">
        <w:r w:rsidR="005D0FC7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"</w:t>
        </w:r>
        <w:r w:rsidR="007709CD">
          <w:rPr>
            <w:rStyle w:val="Hyperlink"/>
            <w:rFonts w:asciiTheme="minorHAnsi" w:hAnsiTheme="minorHAnsi"/>
            <w:sz w:val="24"/>
            <w:szCs w:val="24"/>
            <w:lang w:val="es-ES_tradnl"/>
          </w:rPr>
          <w:t xml:space="preserve">Informe sobre el Índice </w:t>
        </w:r>
        <w:r w:rsidR="00E7549C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Mundial</w:t>
        </w:r>
        <w:r w:rsidR="007709CD">
          <w:rPr>
            <w:rStyle w:val="Hyperlink"/>
            <w:rFonts w:asciiTheme="minorHAnsi" w:hAnsiTheme="minorHAnsi"/>
            <w:sz w:val="24"/>
            <w:szCs w:val="24"/>
            <w:lang w:val="es-ES_tradnl"/>
          </w:rPr>
          <w:t xml:space="preserve"> de Ciberseguridad (GCI) para la Región de Europa</w:t>
        </w:r>
        <w:r w:rsidR="005D0FC7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"</w:t>
        </w:r>
      </w:hyperlink>
      <w:r w:rsidRPr="007709CD">
        <w:rPr>
          <w:rFonts w:asciiTheme="minorHAnsi" w:hAnsiTheme="minorHAnsi"/>
          <w:sz w:val="24"/>
          <w:szCs w:val="24"/>
          <w:lang w:val="es-ES_tradnl"/>
        </w:rPr>
        <w:t>.</w:t>
      </w:r>
      <w:bookmarkEnd w:id="32"/>
      <w:r w:rsidRPr="007709CD">
        <w:rPr>
          <w:rFonts w:asciiTheme="minorHAnsi" w:hAnsiTheme="minorHAnsi"/>
          <w:sz w:val="24"/>
          <w:szCs w:val="24"/>
          <w:lang w:val="es-ES_tradnl"/>
        </w:rPr>
        <w:t xml:space="preserve"> </w:t>
      </w:r>
      <w:bookmarkStart w:id="33" w:name="lt_pId091"/>
      <w:r w:rsidR="00E7549C" w:rsidRPr="00E7549C">
        <w:rPr>
          <w:rFonts w:asciiTheme="minorHAnsi" w:hAnsiTheme="minorHAnsi"/>
          <w:sz w:val="24"/>
          <w:szCs w:val="24"/>
          <w:lang w:val="es-ES_tradnl"/>
        </w:rPr>
        <w:t>El objetivo</w:t>
      </w:r>
      <w:r w:rsidR="005D0FC7">
        <w:rPr>
          <w:rFonts w:asciiTheme="minorHAnsi" w:hAnsiTheme="minorHAnsi"/>
          <w:sz w:val="24"/>
          <w:szCs w:val="24"/>
          <w:lang w:val="es-ES_tradnl"/>
        </w:rPr>
        <w:t xml:space="preserve"> de dicho seminario fue presenta</w:t>
      </w:r>
      <w:r w:rsidR="00E7549C" w:rsidRPr="00E7549C">
        <w:rPr>
          <w:rFonts w:asciiTheme="minorHAnsi" w:hAnsiTheme="minorHAnsi"/>
          <w:sz w:val="24"/>
          <w:szCs w:val="24"/>
          <w:lang w:val="es-ES_tradnl"/>
        </w:rPr>
        <w:t>r el informe GCI 2017 para Europa, en el que se proporciona informaci</w:t>
      </w:r>
      <w:r w:rsidR="00E7549C">
        <w:rPr>
          <w:rFonts w:asciiTheme="minorHAnsi" w:hAnsiTheme="minorHAnsi"/>
          <w:sz w:val="24"/>
          <w:szCs w:val="24"/>
          <w:lang w:val="es-ES_tradnl"/>
        </w:rPr>
        <w:t>ón adecuada y pormenorizada sobre conclusiones en materia de ciberseguridad en los 43 países de la Región de Europa, incluidas prácticas idóneas en dicha Región</w:t>
      </w:r>
      <w:r w:rsidRPr="00E7549C">
        <w:rPr>
          <w:rFonts w:asciiTheme="minorHAnsi" w:hAnsiTheme="minorHAnsi"/>
          <w:sz w:val="24"/>
          <w:szCs w:val="24"/>
          <w:lang w:val="es-ES_tradnl"/>
        </w:rPr>
        <w:t>.</w:t>
      </w:r>
      <w:bookmarkEnd w:id="33"/>
    </w:p>
    <w:p w:rsidR="009759F7" w:rsidRPr="00E7549C" w:rsidRDefault="009759F7" w:rsidP="00244C7C">
      <w:pPr>
        <w:pStyle w:val="normalWSIS"/>
        <w:numPr>
          <w:ilvl w:val="0"/>
          <w:numId w:val="0"/>
        </w:numPr>
        <w:tabs>
          <w:tab w:val="clear" w:pos="426"/>
        </w:tabs>
        <w:adjustRightInd w:val="0"/>
        <w:snapToGrid w:val="0"/>
        <w:spacing w:after="120"/>
        <w:rPr>
          <w:rFonts w:asciiTheme="minorHAnsi" w:hAnsiTheme="minorHAnsi"/>
          <w:sz w:val="24"/>
          <w:szCs w:val="24"/>
          <w:lang w:val="es-ES_tradnl"/>
        </w:rPr>
      </w:pPr>
      <w:r w:rsidRPr="00E7549C">
        <w:rPr>
          <w:rFonts w:asciiTheme="minorHAnsi" w:hAnsiTheme="minorHAnsi"/>
          <w:sz w:val="24"/>
          <w:szCs w:val="24"/>
          <w:lang w:val="es-ES_tradnl"/>
        </w:rPr>
        <w:t>5.6</w:t>
      </w:r>
      <w:r w:rsidRPr="00E7549C">
        <w:rPr>
          <w:rFonts w:asciiTheme="minorHAnsi" w:hAnsiTheme="minorHAnsi"/>
          <w:sz w:val="24"/>
          <w:szCs w:val="24"/>
          <w:lang w:val="es-ES_tradnl"/>
        </w:rPr>
        <w:tab/>
      </w:r>
      <w:bookmarkStart w:id="34" w:name="lt_pId093"/>
      <w:r w:rsidR="00E7549C" w:rsidRPr="00E7549C">
        <w:rPr>
          <w:rFonts w:asciiTheme="minorHAnsi" w:hAnsiTheme="minorHAnsi"/>
          <w:sz w:val="24"/>
          <w:szCs w:val="24"/>
          <w:lang w:val="es-ES_tradnl"/>
        </w:rPr>
        <w:t xml:space="preserve">Se prevé la celebración de un </w:t>
      </w:r>
      <w:hyperlink r:id="rId58" w:history="1">
        <w:r w:rsidR="00E7549C" w:rsidRPr="00E7549C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Seminario Region</w:t>
        </w:r>
        <w:r w:rsidR="001A71FB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al de la UIT para Europa y la C</w:t>
        </w:r>
        <w:r w:rsidR="00244C7C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E</w:t>
        </w:r>
        <w:r w:rsidR="001A71FB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I</w:t>
        </w:r>
        <w:r w:rsidR="00E7549C" w:rsidRPr="00E7549C">
          <w:rPr>
            <w:rStyle w:val="Hyperlink"/>
            <w:rFonts w:asciiTheme="minorHAnsi" w:hAnsiTheme="minorHAnsi"/>
            <w:sz w:val="24"/>
            <w:szCs w:val="24"/>
            <w:lang w:val="es-ES_tradnl"/>
          </w:rPr>
          <w:t xml:space="preserve"> sobre cibe</w:t>
        </w:r>
        <w:r w:rsidR="00142EE6">
          <w:rPr>
            <w:rStyle w:val="Hyperlink"/>
            <w:rFonts w:asciiTheme="minorHAnsi" w:hAnsiTheme="minorHAnsi"/>
            <w:sz w:val="24"/>
            <w:szCs w:val="24"/>
            <w:lang w:val="es-ES_tradnl"/>
          </w:rPr>
          <w:t>rseguridad y protección de la infancia</w:t>
        </w:r>
        <w:r w:rsidR="00E7549C" w:rsidRPr="00E7549C">
          <w:rPr>
            <w:rStyle w:val="Hyperlink"/>
            <w:rFonts w:asciiTheme="minorHAnsi" w:hAnsiTheme="minorHAnsi"/>
            <w:sz w:val="24"/>
            <w:szCs w:val="24"/>
            <w:lang w:val="es-ES_tradnl"/>
          </w:rPr>
          <w:t xml:space="preserve"> en línea</w:t>
        </w:r>
      </w:hyperlink>
      <w:r w:rsidRPr="00E7549C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E7549C">
        <w:rPr>
          <w:rFonts w:asciiTheme="minorHAnsi" w:hAnsiTheme="minorHAnsi"/>
          <w:sz w:val="24"/>
          <w:szCs w:val="24"/>
          <w:lang w:val="es-ES_tradnl"/>
        </w:rPr>
        <w:t>del 4 al 6 de abril de 2018 e</w:t>
      </w:r>
      <w:r w:rsidRPr="00E7549C">
        <w:rPr>
          <w:rFonts w:asciiTheme="minorHAnsi" w:hAnsiTheme="minorHAnsi"/>
          <w:sz w:val="24"/>
          <w:szCs w:val="24"/>
          <w:lang w:val="es-ES_tradnl"/>
        </w:rPr>
        <w:t>n Odessa</w:t>
      </w:r>
      <w:r w:rsidR="00E7549C">
        <w:rPr>
          <w:rFonts w:asciiTheme="minorHAnsi" w:hAnsiTheme="minorHAnsi"/>
          <w:sz w:val="24"/>
          <w:szCs w:val="24"/>
          <w:lang w:val="es-ES_tradnl"/>
        </w:rPr>
        <w:t xml:space="preserve"> (Ucrania)</w:t>
      </w:r>
      <w:r w:rsidRPr="00E7549C">
        <w:rPr>
          <w:rFonts w:asciiTheme="minorHAnsi" w:hAnsiTheme="minorHAnsi"/>
          <w:sz w:val="24"/>
          <w:szCs w:val="24"/>
          <w:lang w:val="es-ES_tradnl"/>
        </w:rPr>
        <w:t>.</w:t>
      </w:r>
      <w:bookmarkEnd w:id="34"/>
    </w:p>
    <w:p w:rsidR="00755F69" w:rsidRPr="009A53D4" w:rsidRDefault="00755F69" w:rsidP="00755F69">
      <w:pPr>
        <w:pStyle w:val="Heading1"/>
      </w:pPr>
      <w:r w:rsidRPr="009A53D4">
        <w:t>6</w:t>
      </w:r>
      <w:r w:rsidRPr="009A53D4">
        <w:tab/>
        <w:t>Cooperación internacional</w:t>
      </w:r>
    </w:p>
    <w:p w:rsidR="00755F69" w:rsidRPr="006B4108" w:rsidRDefault="00755F69" w:rsidP="007709CD">
      <w:r w:rsidRPr="00BD2D4D">
        <w:t>6.1</w:t>
      </w:r>
      <w:r w:rsidRPr="00BD2D4D">
        <w:tab/>
        <w:t xml:space="preserve">La UIT sigue forjando relaciones y </w:t>
      </w:r>
      <w:hyperlink r:id="rId59" w:history="1">
        <w:r w:rsidRPr="006B4108">
          <w:rPr>
            <w:rStyle w:val="Hyperlink"/>
          </w:rPr>
          <w:t>asociaciones</w:t>
        </w:r>
      </w:hyperlink>
      <w:r w:rsidRPr="00BD2D4D">
        <w:t xml:space="preserve"> con diversas organizaciones e iniciativas regionales e internacionales, tales como la Iniciativa contra la ciberdelincuencia de la Commonwealth, </w:t>
      </w:r>
      <w:r w:rsidRPr="00B52CD8">
        <w:rPr>
          <w:rFonts w:asciiTheme="minorHAnsi" w:hAnsiTheme="minorHAnsi"/>
          <w:szCs w:val="24"/>
        </w:rPr>
        <w:t xml:space="preserve">ENISA, INTERPOL, </w:t>
      </w:r>
      <w:r>
        <w:rPr>
          <w:rFonts w:asciiTheme="minorHAnsi" w:hAnsiTheme="minorHAnsi"/>
          <w:szCs w:val="24"/>
        </w:rPr>
        <w:t xml:space="preserve">CEDEAO, el Banco Mundial, FIRST y las asociaciones de </w:t>
      </w:r>
      <w:r w:rsidRPr="006B4108">
        <w:t xml:space="preserve">EIISI/EIEI regionales, como el EIEI AP, el EIEI ÁFRICA y el EIEI OIC. </w:t>
      </w:r>
    </w:p>
    <w:p w:rsidR="009759F7" w:rsidRPr="000324AB" w:rsidRDefault="009759F7" w:rsidP="00A7611D">
      <w:pPr>
        <w:rPr>
          <w:rFonts w:asciiTheme="minorHAnsi" w:hAnsiTheme="minorHAnsi"/>
          <w:spacing w:val="-2"/>
          <w:szCs w:val="24"/>
        </w:rPr>
      </w:pPr>
      <w:r w:rsidRPr="00755F69">
        <w:rPr>
          <w:rFonts w:asciiTheme="minorHAnsi" w:hAnsiTheme="minorHAnsi"/>
          <w:szCs w:val="24"/>
        </w:rPr>
        <w:t>6.2</w:t>
      </w:r>
      <w:r w:rsidRPr="00755F69">
        <w:rPr>
          <w:rFonts w:asciiTheme="minorHAnsi" w:hAnsiTheme="minorHAnsi"/>
          <w:szCs w:val="24"/>
        </w:rPr>
        <w:tab/>
      </w:r>
      <w:r w:rsidR="00755F69" w:rsidRPr="00755F69">
        <w:t xml:space="preserve">La UIT, principal organismo facilitador de la Línea de Acción C5 de la CMSI, organizó varias actividades en el </w:t>
      </w:r>
      <w:hyperlink r:id="rId60" w:history="1">
        <w:r w:rsidR="00755F69" w:rsidRPr="00755F69">
          <w:rPr>
            <w:rStyle w:val="Hyperlink"/>
          </w:rPr>
          <w:t>Foro de la CMSI 201</w:t>
        </w:r>
      </w:hyperlink>
      <w:r w:rsidR="00A7611D">
        <w:rPr>
          <w:rStyle w:val="Hyperlink"/>
        </w:rPr>
        <w:t>7</w:t>
      </w:r>
      <w:r w:rsidR="00755F69" w:rsidRPr="00755F69">
        <w:t xml:space="preserve"> que facilitaron el intercambio de experiencias entre todos los grupos de interesados en la labor encaminada a promover la confianza y seguridad en la utilización de las TIC.</w:t>
      </w:r>
      <w:r w:rsidRPr="00755F69">
        <w:rPr>
          <w:rFonts w:asciiTheme="minorHAnsi" w:hAnsiTheme="minorHAnsi"/>
          <w:spacing w:val="-2"/>
          <w:szCs w:val="24"/>
        </w:rPr>
        <w:t xml:space="preserve"> </w:t>
      </w:r>
      <w:bookmarkStart w:id="35" w:name="lt_pId100"/>
      <w:r w:rsidR="00A7611D">
        <w:rPr>
          <w:rFonts w:asciiTheme="minorHAnsi" w:hAnsiTheme="minorHAnsi"/>
          <w:spacing w:val="-2"/>
          <w:szCs w:val="24"/>
        </w:rPr>
        <w:t xml:space="preserve">Está prevista la celebración de varios eventos de alto nivel en el Foro de la </w:t>
      </w:r>
      <w:r w:rsidR="00A7611D">
        <w:rPr>
          <w:rFonts w:asciiTheme="minorHAnsi" w:hAnsiTheme="minorHAnsi"/>
          <w:spacing w:val="-2"/>
          <w:szCs w:val="24"/>
        </w:rPr>
        <w:lastRenderedPageBreak/>
        <w:t>CMSI de 2018, habida cuenta del 10</w:t>
      </w:r>
      <w:r w:rsidR="001A71FB">
        <w:rPr>
          <w:rFonts w:asciiTheme="minorHAnsi" w:hAnsiTheme="minorHAnsi"/>
          <w:spacing w:val="-2"/>
          <w:szCs w:val="24"/>
        </w:rPr>
        <w:t>º Aniversario de la GCA</w:t>
      </w:r>
      <w:r w:rsidR="00A7611D">
        <w:rPr>
          <w:rFonts w:asciiTheme="minorHAnsi" w:hAnsiTheme="minorHAnsi"/>
          <w:spacing w:val="-2"/>
          <w:szCs w:val="24"/>
        </w:rPr>
        <w:t xml:space="preserve"> y la Iniciativa sobre protección de la infancia en línea. </w:t>
      </w:r>
      <w:bookmarkEnd w:id="35"/>
    </w:p>
    <w:p w:rsidR="009759F7" w:rsidRPr="00755F69" w:rsidRDefault="009759F7" w:rsidP="001A71FB">
      <w:pPr>
        <w:rPr>
          <w:rFonts w:asciiTheme="minorHAnsi" w:hAnsiTheme="minorHAnsi"/>
          <w:szCs w:val="24"/>
        </w:rPr>
      </w:pPr>
      <w:r w:rsidRPr="00755F69">
        <w:rPr>
          <w:rFonts w:asciiTheme="minorHAnsi" w:hAnsiTheme="minorHAnsi"/>
          <w:spacing w:val="-2"/>
          <w:szCs w:val="24"/>
        </w:rPr>
        <w:t>6.3</w:t>
      </w:r>
      <w:r w:rsidRPr="00755F69">
        <w:rPr>
          <w:rFonts w:asciiTheme="minorHAnsi" w:hAnsiTheme="minorHAnsi"/>
          <w:spacing w:val="-2"/>
          <w:szCs w:val="24"/>
        </w:rPr>
        <w:tab/>
      </w:r>
      <w:r w:rsidR="00755F69" w:rsidRPr="00755F69">
        <w:t xml:space="preserve">La UIT participó en la </w:t>
      </w:r>
      <w:hyperlink r:id="rId61" w:history="1">
        <w:r w:rsidR="00085B98">
          <w:rPr>
            <w:rStyle w:val="Hyperlink"/>
            <w:rFonts w:asciiTheme="minorHAnsi" w:hAnsiTheme="minorHAnsi"/>
            <w:spacing w:val="-2"/>
            <w:szCs w:val="24"/>
          </w:rPr>
          <w:t>Conferencia Internacional Multipartita "Semana de 2018 en Viena sobre ciberseguridad: Protección de infraestructuras energéticas primordiales"</w:t>
        </w:r>
      </w:hyperlink>
      <w:r w:rsidR="00755F69" w:rsidRPr="00755F69">
        <w:t>, organizada por el Gobierno austr</w:t>
      </w:r>
      <w:r w:rsidR="00085B98">
        <w:t>í</w:t>
      </w:r>
      <w:r w:rsidR="00755F69" w:rsidRPr="00755F69">
        <w:t xml:space="preserve">aco, la </w:t>
      </w:r>
      <w:r w:rsidR="00085B98">
        <w:t xml:space="preserve">Fundación </w:t>
      </w:r>
      <w:r w:rsidR="001A71FB">
        <w:t>EnergyPact y el Instituto Austrí</w:t>
      </w:r>
      <w:r w:rsidR="00755F69" w:rsidRPr="00755F69">
        <w:t xml:space="preserve">aco de Tecnología, con el apoyo de la CEI, la </w:t>
      </w:r>
      <w:r w:rsidR="00085B98">
        <w:t>OSCE</w:t>
      </w:r>
      <w:r w:rsidR="00755F69" w:rsidRPr="00755F69">
        <w:t xml:space="preserve"> y la UIT, </w:t>
      </w:r>
      <w:r w:rsidR="00085B98">
        <w:t>d</w:t>
      </w:r>
      <w:r w:rsidR="00755F69" w:rsidRPr="00755F69">
        <w:t xml:space="preserve">el </w:t>
      </w:r>
      <w:r w:rsidR="00085B98">
        <w:t>29 de enero al 2 de febrero d</w:t>
      </w:r>
      <w:r w:rsidR="00755F69" w:rsidRPr="00755F69">
        <w:t>e 201</w:t>
      </w:r>
      <w:r w:rsidR="001A71FB">
        <w:t>8</w:t>
      </w:r>
      <w:r w:rsidR="00755F69" w:rsidRPr="00755F69">
        <w:t xml:space="preserve"> en Viena (Austria).</w:t>
      </w:r>
    </w:p>
    <w:p w:rsidR="00755F69" w:rsidRPr="006B4108" w:rsidRDefault="00755F69" w:rsidP="00755F69">
      <w:pPr>
        <w:pStyle w:val="Heading1"/>
      </w:pPr>
      <w:r w:rsidRPr="00BD2D4D">
        <w:t>7</w:t>
      </w:r>
      <w:r w:rsidRPr="00BD2D4D">
        <w:tab/>
        <w:t>Protección de la Infancia en Línea (PIeL)</w:t>
      </w:r>
    </w:p>
    <w:p w:rsidR="00395914" w:rsidRPr="00BD2D4D" w:rsidRDefault="00395914" w:rsidP="00832255">
      <w:r w:rsidRPr="00BD2D4D">
        <w:t>7.1</w:t>
      </w:r>
      <w:r w:rsidRPr="00BD2D4D">
        <w:tab/>
      </w:r>
      <w:r>
        <w:t>D</w:t>
      </w:r>
      <w:r w:rsidRPr="00BD2D4D">
        <w:t xml:space="preserve">esde el periodo </w:t>
      </w:r>
      <w:r w:rsidR="00832255">
        <w:t>abarcado en</w:t>
      </w:r>
      <w:r w:rsidRPr="00BD2D4D">
        <w:t xml:space="preserve"> su último informe, </w:t>
      </w:r>
      <w:r>
        <w:t>e</w:t>
      </w:r>
      <w:r w:rsidRPr="00BD2D4D">
        <w:t xml:space="preserve">l </w:t>
      </w:r>
      <w:hyperlink r:id="rId62" w:history="1">
        <w:r w:rsidRPr="006B4108">
          <w:rPr>
            <w:rStyle w:val="Hyperlink"/>
          </w:rPr>
          <w:t>Grupo de Trabajo del Consejo sobre Protección de la Infancia en Línea (GTC-PIeL)</w:t>
        </w:r>
      </w:hyperlink>
      <w:r w:rsidRPr="00BD2D4D">
        <w:t xml:space="preserve"> se reunió en dos ocasiones </w:t>
      </w:r>
      <w:r>
        <w:t>y ha organizado</w:t>
      </w:r>
      <w:r w:rsidRPr="00BD2D4D">
        <w:t xml:space="preserve"> una consulta abierta en línea con jóvenes sobre diversos temas. Puede encontrarse más información en el </w:t>
      </w:r>
      <w:r w:rsidRPr="006B4108">
        <w:t xml:space="preserve">Documento </w:t>
      </w:r>
      <w:hyperlink r:id="rId63" w:history="1">
        <w:r w:rsidRPr="006B4108">
          <w:rPr>
            <w:rStyle w:val="Hyperlink"/>
          </w:rPr>
          <w:t>C1</w:t>
        </w:r>
        <w:r w:rsidR="00832255">
          <w:rPr>
            <w:rStyle w:val="Hyperlink"/>
          </w:rPr>
          <w:t>8</w:t>
        </w:r>
        <w:r w:rsidRPr="006B4108">
          <w:rPr>
            <w:rStyle w:val="Hyperlink"/>
          </w:rPr>
          <w:t>/15</w:t>
        </w:r>
      </w:hyperlink>
      <w:r w:rsidRPr="00BD2D4D">
        <w:t>.</w:t>
      </w:r>
    </w:p>
    <w:p w:rsidR="009759F7" w:rsidRPr="00395914" w:rsidRDefault="00395914" w:rsidP="007709C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bCs/>
          <w:szCs w:val="24"/>
        </w:rPr>
      </w:pPr>
      <w:r w:rsidRPr="00BD2D4D">
        <w:t>7.</w:t>
      </w:r>
      <w:r>
        <w:t>2</w:t>
      </w:r>
      <w:r w:rsidRPr="00BD2D4D">
        <w:tab/>
        <w:t xml:space="preserve">La UIT y sus asociados siguen </w:t>
      </w:r>
      <w:r>
        <w:t>colaborando estrechamente con miras a la consecución de los Objetivos de Desarrollo Sostenible y, en particular, del ODS 16.2, "Poner fin al maltrato, la explotación, la trata, la tortura y todas las formas de violencia contra los niños".</w:t>
      </w:r>
    </w:p>
    <w:p w:rsidR="009759F7" w:rsidRPr="00832255" w:rsidRDefault="009759F7" w:rsidP="001A71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bCs/>
          <w:szCs w:val="24"/>
        </w:rPr>
      </w:pPr>
      <w:r w:rsidRPr="00832255">
        <w:rPr>
          <w:rFonts w:asciiTheme="minorHAnsi" w:hAnsiTheme="minorHAnsi"/>
          <w:bCs/>
          <w:szCs w:val="24"/>
        </w:rPr>
        <w:t>7.3.</w:t>
      </w:r>
      <w:r w:rsidRPr="00832255">
        <w:rPr>
          <w:rFonts w:asciiTheme="minorHAnsi" w:hAnsiTheme="minorHAnsi"/>
          <w:bCs/>
          <w:szCs w:val="24"/>
        </w:rPr>
        <w:tab/>
      </w:r>
      <w:bookmarkStart w:id="36" w:name="lt_pId111"/>
      <w:r w:rsidR="00832255" w:rsidRPr="00832255">
        <w:rPr>
          <w:rFonts w:asciiTheme="minorHAnsi" w:hAnsiTheme="minorHAnsi"/>
          <w:bCs/>
          <w:szCs w:val="24"/>
        </w:rPr>
        <w:t>En junio de</w:t>
      </w:r>
      <w:r w:rsidRPr="00832255">
        <w:rPr>
          <w:rFonts w:asciiTheme="minorHAnsi" w:hAnsiTheme="minorHAnsi"/>
          <w:bCs/>
          <w:szCs w:val="24"/>
        </w:rPr>
        <w:t xml:space="preserve"> 2017</w:t>
      </w:r>
      <w:r w:rsidR="00832255" w:rsidRPr="00832255">
        <w:rPr>
          <w:rFonts w:asciiTheme="minorHAnsi" w:hAnsiTheme="minorHAnsi"/>
          <w:bCs/>
          <w:szCs w:val="24"/>
        </w:rPr>
        <w:t>, la UIT y</w:t>
      </w:r>
      <w:r w:rsidRPr="00832255">
        <w:rPr>
          <w:rFonts w:asciiTheme="minorHAnsi" w:hAnsiTheme="minorHAnsi"/>
          <w:bCs/>
          <w:szCs w:val="24"/>
        </w:rPr>
        <w:t xml:space="preserve"> UNICEF </w:t>
      </w:r>
      <w:bookmarkStart w:id="37" w:name="lt_pId113"/>
      <w:bookmarkEnd w:id="36"/>
      <w:r w:rsidR="00832255" w:rsidRPr="00832255">
        <w:rPr>
          <w:rFonts w:asciiTheme="minorHAnsi" w:hAnsiTheme="minorHAnsi"/>
          <w:bCs/>
          <w:szCs w:val="24"/>
        </w:rPr>
        <w:t>organiz</w:t>
      </w:r>
      <w:r w:rsidR="00832255">
        <w:rPr>
          <w:rFonts w:asciiTheme="minorHAnsi" w:hAnsiTheme="minorHAnsi"/>
          <w:bCs/>
          <w:szCs w:val="24"/>
        </w:rPr>
        <w:t>aron el</w:t>
      </w:r>
      <w:r w:rsidR="00832255" w:rsidRPr="00832255">
        <w:rPr>
          <w:rFonts w:asciiTheme="minorHAnsi" w:hAnsiTheme="minorHAnsi"/>
          <w:bCs/>
          <w:szCs w:val="24"/>
        </w:rPr>
        <w:t xml:space="preserve"> taller temático </w:t>
      </w:r>
      <w:r w:rsidR="001A71FB">
        <w:rPr>
          <w:rFonts w:asciiTheme="minorHAnsi" w:hAnsiTheme="minorHAnsi"/>
          <w:bCs/>
          <w:szCs w:val="24"/>
        </w:rPr>
        <w:t>"</w:t>
      </w:r>
      <w:r w:rsidR="00832255" w:rsidRPr="00832255">
        <w:rPr>
          <w:rFonts w:asciiTheme="minorHAnsi" w:hAnsiTheme="minorHAnsi"/>
          <w:bCs/>
          <w:szCs w:val="24"/>
        </w:rPr>
        <w:t xml:space="preserve">De la seguridad </w:t>
      </w:r>
      <w:r w:rsidR="00832255">
        <w:rPr>
          <w:rFonts w:asciiTheme="minorHAnsi" w:hAnsiTheme="minorHAnsi"/>
          <w:bCs/>
          <w:szCs w:val="24"/>
        </w:rPr>
        <w:t>de la infancia</w:t>
      </w:r>
      <w:r w:rsidR="00832255" w:rsidRPr="00832255">
        <w:rPr>
          <w:rFonts w:asciiTheme="minorHAnsi" w:hAnsiTheme="minorHAnsi"/>
          <w:bCs/>
          <w:szCs w:val="24"/>
        </w:rPr>
        <w:t xml:space="preserve"> en línea a la inclusión digital: el papel de las </w:t>
      </w:r>
      <w:r w:rsidR="00832255">
        <w:rPr>
          <w:rFonts w:asciiTheme="minorHAnsi" w:hAnsiTheme="minorHAnsi"/>
          <w:bCs/>
          <w:szCs w:val="24"/>
        </w:rPr>
        <w:t>asociaciones multipartitas</w:t>
      </w:r>
      <w:r w:rsidR="00832255" w:rsidRPr="00832255">
        <w:rPr>
          <w:rFonts w:asciiTheme="minorHAnsi" w:hAnsiTheme="minorHAnsi"/>
          <w:bCs/>
          <w:szCs w:val="24"/>
        </w:rPr>
        <w:t xml:space="preserve"> </w:t>
      </w:r>
      <w:r w:rsidR="00832255">
        <w:rPr>
          <w:rFonts w:asciiTheme="minorHAnsi" w:hAnsiTheme="minorHAnsi"/>
          <w:bCs/>
          <w:szCs w:val="24"/>
        </w:rPr>
        <w:t>a nivel mundial</w:t>
      </w:r>
      <w:r w:rsidR="001A71FB">
        <w:rPr>
          <w:rFonts w:asciiTheme="minorHAnsi" w:hAnsiTheme="minorHAnsi"/>
          <w:bCs/>
          <w:szCs w:val="24"/>
        </w:rPr>
        <w:t>"</w:t>
      </w:r>
      <w:r w:rsidR="00832255" w:rsidRPr="00832255">
        <w:rPr>
          <w:rFonts w:asciiTheme="minorHAnsi" w:hAnsiTheme="minorHAnsi"/>
          <w:bCs/>
          <w:szCs w:val="24"/>
        </w:rPr>
        <w:t xml:space="preserve">. </w:t>
      </w:r>
      <w:r w:rsidR="00832255">
        <w:rPr>
          <w:rFonts w:asciiTheme="minorHAnsi" w:hAnsiTheme="minorHAnsi"/>
          <w:bCs/>
          <w:szCs w:val="24"/>
        </w:rPr>
        <w:t>En la reunión se debatió</w:t>
      </w:r>
      <w:r w:rsidR="00832255" w:rsidRPr="00832255">
        <w:rPr>
          <w:rFonts w:asciiTheme="minorHAnsi" w:hAnsiTheme="minorHAnsi"/>
          <w:bCs/>
          <w:szCs w:val="24"/>
        </w:rPr>
        <w:t xml:space="preserve"> la participación </w:t>
      </w:r>
      <w:r w:rsidR="00832255">
        <w:rPr>
          <w:rFonts w:asciiTheme="minorHAnsi" w:hAnsiTheme="minorHAnsi"/>
          <w:bCs/>
          <w:szCs w:val="24"/>
        </w:rPr>
        <w:t>infantil</w:t>
      </w:r>
      <w:r w:rsidR="00832255" w:rsidRPr="00832255">
        <w:rPr>
          <w:rFonts w:asciiTheme="minorHAnsi" w:hAnsiTheme="minorHAnsi"/>
          <w:bCs/>
          <w:szCs w:val="24"/>
        </w:rPr>
        <w:t xml:space="preserve"> en las deliberaciones </w:t>
      </w:r>
      <w:r w:rsidR="00832255">
        <w:rPr>
          <w:rFonts w:asciiTheme="minorHAnsi" w:hAnsiTheme="minorHAnsi"/>
          <w:bCs/>
          <w:szCs w:val="24"/>
        </w:rPr>
        <w:t>para la</w:t>
      </w:r>
      <w:r w:rsidR="00832255" w:rsidRPr="00832255">
        <w:rPr>
          <w:rFonts w:asciiTheme="minorHAnsi" w:hAnsiTheme="minorHAnsi"/>
          <w:bCs/>
          <w:szCs w:val="24"/>
        </w:rPr>
        <w:t xml:space="preserve"> toma de decisiones y la importancia de </w:t>
      </w:r>
      <w:r w:rsidR="00832255">
        <w:rPr>
          <w:rFonts w:asciiTheme="minorHAnsi" w:hAnsiTheme="minorHAnsi"/>
          <w:bCs/>
          <w:szCs w:val="24"/>
        </w:rPr>
        <w:t>emplear</w:t>
      </w:r>
      <w:r w:rsidR="00832255" w:rsidRPr="00832255">
        <w:rPr>
          <w:rFonts w:asciiTheme="minorHAnsi" w:hAnsiTheme="minorHAnsi"/>
          <w:bCs/>
          <w:szCs w:val="24"/>
        </w:rPr>
        <w:t xml:space="preserve"> una terminología comúnmente acordada para identificar </w:t>
      </w:r>
      <w:r w:rsidR="00832255">
        <w:rPr>
          <w:rFonts w:asciiTheme="minorHAnsi" w:hAnsiTheme="minorHAnsi"/>
          <w:bCs/>
          <w:szCs w:val="24"/>
        </w:rPr>
        <w:t>deficiencias</w:t>
      </w:r>
      <w:r w:rsidR="00832255" w:rsidRPr="00832255">
        <w:rPr>
          <w:rFonts w:asciiTheme="minorHAnsi" w:hAnsiTheme="minorHAnsi"/>
          <w:bCs/>
          <w:szCs w:val="24"/>
        </w:rPr>
        <w:t xml:space="preserve"> y medidas de acción</w:t>
      </w:r>
      <w:r w:rsidRPr="00832255">
        <w:rPr>
          <w:rFonts w:asciiTheme="minorHAnsi" w:hAnsiTheme="minorHAnsi"/>
          <w:bCs/>
          <w:szCs w:val="24"/>
        </w:rPr>
        <w:t>.</w:t>
      </w:r>
      <w:bookmarkEnd w:id="37"/>
      <w:r w:rsidRPr="00832255">
        <w:rPr>
          <w:rFonts w:asciiTheme="minorHAnsi" w:hAnsiTheme="minorHAnsi"/>
          <w:bCs/>
          <w:szCs w:val="24"/>
        </w:rPr>
        <w:t xml:space="preserve"> </w:t>
      </w:r>
    </w:p>
    <w:p w:rsidR="009759F7" w:rsidRPr="00832255" w:rsidRDefault="009759F7" w:rsidP="00AF02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bCs/>
          <w:szCs w:val="24"/>
        </w:rPr>
      </w:pPr>
      <w:r w:rsidRPr="00832255">
        <w:rPr>
          <w:rFonts w:asciiTheme="minorHAnsi" w:hAnsiTheme="minorHAnsi"/>
          <w:bCs/>
          <w:szCs w:val="24"/>
        </w:rPr>
        <w:t>7.4.</w:t>
      </w:r>
      <w:r w:rsidRPr="00832255">
        <w:rPr>
          <w:rFonts w:asciiTheme="minorHAnsi" w:hAnsiTheme="minorHAnsi"/>
          <w:bCs/>
          <w:szCs w:val="24"/>
        </w:rPr>
        <w:tab/>
      </w:r>
      <w:bookmarkStart w:id="38" w:name="lt_pId116"/>
      <w:r w:rsidR="00832255">
        <w:rPr>
          <w:rFonts w:asciiTheme="minorHAnsi" w:hAnsiTheme="minorHAnsi"/>
          <w:bCs/>
          <w:szCs w:val="24"/>
        </w:rPr>
        <w:t>La UIT participó en la séptima C</w:t>
      </w:r>
      <w:r w:rsidR="00832255" w:rsidRPr="00832255">
        <w:rPr>
          <w:rFonts w:asciiTheme="minorHAnsi" w:hAnsiTheme="minorHAnsi"/>
          <w:bCs/>
          <w:szCs w:val="24"/>
        </w:rPr>
        <w:t xml:space="preserve">onsulta </w:t>
      </w:r>
      <w:r w:rsidR="00832255">
        <w:rPr>
          <w:rFonts w:asciiTheme="minorHAnsi" w:hAnsiTheme="minorHAnsi"/>
          <w:bCs/>
          <w:szCs w:val="24"/>
        </w:rPr>
        <w:t>Regional y en el Tercer Diálogo P</w:t>
      </w:r>
      <w:r w:rsidR="00832255" w:rsidRPr="00832255">
        <w:rPr>
          <w:rFonts w:asciiTheme="minorHAnsi" w:hAnsiTheme="minorHAnsi"/>
          <w:bCs/>
          <w:szCs w:val="24"/>
        </w:rPr>
        <w:t xml:space="preserve">olítico </w:t>
      </w:r>
      <w:r w:rsidR="00832255">
        <w:rPr>
          <w:rFonts w:asciiTheme="minorHAnsi" w:hAnsiTheme="minorHAnsi"/>
          <w:bCs/>
          <w:szCs w:val="24"/>
        </w:rPr>
        <w:t xml:space="preserve">para la ayuda a la infancia </w:t>
      </w:r>
      <w:r w:rsidR="00832255" w:rsidRPr="00832255">
        <w:rPr>
          <w:rFonts w:asciiTheme="minorHAnsi" w:hAnsiTheme="minorHAnsi"/>
          <w:bCs/>
          <w:szCs w:val="24"/>
        </w:rPr>
        <w:t xml:space="preserve">en Europa. Varios miembros </w:t>
      </w:r>
      <w:r w:rsidR="00832255">
        <w:rPr>
          <w:rFonts w:asciiTheme="minorHAnsi" w:hAnsiTheme="minorHAnsi"/>
          <w:bCs/>
          <w:szCs w:val="24"/>
        </w:rPr>
        <w:t>subrayaron</w:t>
      </w:r>
      <w:r w:rsidR="00832255" w:rsidRPr="00832255">
        <w:rPr>
          <w:rFonts w:asciiTheme="minorHAnsi" w:hAnsiTheme="minorHAnsi"/>
          <w:bCs/>
          <w:szCs w:val="24"/>
        </w:rPr>
        <w:t xml:space="preserve"> la necesidad de contar con un número regional y armonizado </w:t>
      </w:r>
      <w:r w:rsidR="00832255">
        <w:rPr>
          <w:rFonts w:asciiTheme="minorHAnsi" w:hAnsiTheme="minorHAnsi"/>
          <w:bCs/>
          <w:szCs w:val="24"/>
        </w:rPr>
        <w:t xml:space="preserve">de servicios de asistencia a la infancia </w:t>
      </w:r>
      <w:r w:rsidR="00832255" w:rsidRPr="00832255">
        <w:rPr>
          <w:rFonts w:asciiTheme="minorHAnsi" w:hAnsiTheme="minorHAnsi"/>
          <w:bCs/>
          <w:szCs w:val="24"/>
        </w:rPr>
        <w:t xml:space="preserve">y se alentó a </w:t>
      </w:r>
      <w:r w:rsidR="00AF02D4">
        <w:rPr>
          <w:rFonts w:asciiTheme="minorHAnsi" w:hAnsiTheme="minorHAnsi"/>
          <w:bCs/>
          <w:szCs w:val="24"/>
        </w:rPr>
        <w:t xml:space="preserve">que </w:t>
      </w:r>
      <w:r w:rsidR="00AF02D4" w:rsidRPr="00832255">
        <w:rPr>
          <w:rFonts w:asciiTheme="minorHAnsi" w:hAnsiTheme="minorHAnsi"/>
          <w:bCs/>
          <w:szCs w:val="24"/>
        </w:rPr>
        <w:t xml:space="preserve">los encargados de formular políticas y las instituciones regionales </w:t>
      </w:r>
      <w:r w:rsidR="00AF02D4">
        <w:rPr>
          <w:rFonts w:asciiTheme="minorHAnsi" w:hAnsiTheme="minorHAnsi"/>
          <w:bCs/>
          <w:szCs w:val="24"/>
        </w:rPr>
        <w:t>adoptaran más medidas</w:t>
      </w:r>
      <w:r w:rsidRPr="00832255">
        <w:rPr>
          <w:rFonts w:asciiTheme="minorHAnsi" w:hAnsiTheme="minorHAnsi"/>
          <w:bCs/>
          <w:szCs w:val="24"/>
        </w:rPr>
        <w:t>.</w:t>
      </w:r>
      <w:bookmarkEnd w:id="38"/>
      <w:r w:rsidRPr="00832255">
        <w:rPr>
          <w:rFonts w:asciiTheme="minorHAnsi" w:hAnsiTheme="minorHAnsi"/>
          <w:bCs/>
          <w:szCs w:val="24"/>
        </w:rPr>
        <w:t xml:space="preserve"> </w:t>
      </w:r>
    </w:p>
    <w:p w:rsidR="009759F7" w:rsidRPr="00AF02D4" w:rsidRDefault="009759F7" w:rsidP="00AF02D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bCs/>
          <w:szCs w:val="24"/>
        </w:rPr>
      </w:pPr>
      <w:r w:rsidRPr="00AF02D4">
        <w:rPr>
          <w:rFonts w:asciiTheme="minorHAnsi" w:hAnsiTheme="minorHAnsi"/>
          <w:bCs/>
          <w:szCs w:val="24"/>
        </w:rPr>
        <w:t>7.5.</w:t>
      </w:r>
      <w:r w:rsidRPr="00AF02D4">
        <w:rPr>
          <w:rFonts w:asciiTheme="minorHAnsi" w:hAnsiTheme="minorHAnsi"/>
          <w:bCs/>
          <w:szCs w:val="24"/>
        </w:rPr>
        <w:tab/>
      </w:r>
      <w:bookmarkStart w:id="39" w:name="lt_pId120"/>
      <w:r w:rsidR="00AF02D4" w:rsidRPr="00AF02D4">
        <w:rPr>
          <w:rFonts w:asciiTheme="minorHAnsi" w:hAnsiTheme="minorHAnsi"/>
          <w:bCs/>
          <w:szCs w:val="24"/>
        </w:rPr>
        <w:t xml:space="preserve">La UIT participó en la Cumbre Mundial </w:t>
      </w:r>
      <w:r w:rsidR="00AF02D4">
        <w:rPr>
          <w:rFonts w:asciiTheme="minorHAnsi" w:hAnsiTheme="minorHAnsi"/>
          <w:bCs/>
          <w:szCs w:val="24"/>
        </w:rPr>
        <w:t>de Aqdar, celebrada en Abu Dabi (EAU)</w:t>
      </w:r>
      <w:r w:rsidR="00AF02D4" w:rsidRPr="00AF02D4">
        <w:rPr>
          <w:rFonts w:asciiTheme="minorHAnsi" w:hAnsiTheme="minorHAnsi"/>
          <w:bCs/>
          <w:szCs w:val="24"/>
        </w:rPr>
        <w:t xml:space="preserve">, del 21 al 23 de noviembre de 2017. </w:t>
      </w:r>
      <w:r w:rsidR="00AF02D4">
        <w:rPr>
          <w:rFonts w:asciiTheme="minorHAnsi" w:hAnsiTheme="minorHAnsi"/>
          <w:bCs/>
          <w:szCs w:val="24"/>
        </w:rPr>
        <w:t>En la</w:t>
      </w:r>
      <w:r w:rsidR="00AF02D4" w:rsidRPr="00AF02D4">
        <w:rPr>
          <w:rFonts w:asciiTheme="minorHAnsi" w:hAnsiTheme="minorHAnsi"/>
          <w:bCs/>
          <w:szCs w:val="24"/>
        </w:rPr>
        <w:t xml:space="preserve"> reunión </w:t>
      </w:r>
      <w:r w:rsidR="00AF02D4">
        <w:rPr>
          <w:rFonts w:asciiTheme="minorHAnsi" w:hAnsiTheme="minorHAnsi"/>
          <w:bCs/>
          <w:szCs w:val="24"/>
        </w:rPr>
        <w:t>se debatieron</w:t>
      </w:r>
      <w:r w:rsidR="00AF02D4" w:rsidRPr="00AF02D4">
        <w:rPr>
          <w:rFonts w:asciiTheme="minorHAnsi" w:hAnsiTheme="minorHAnsi"/>
          <w:bCs/>
          <w:szCs w:val="24"/>
        </w:rPr>
        <w:t xml:space="preserve"> varias cuestiones relacionadas con el papel de la </w:t>
      </w:r>
      <w:r w:rsidR="00AF02D4">
        <w:rPr>
          <w:rFonts w:asciiTheme="minorHAnsi" w:hAnsiTheme="minorHAnsi"/>
          <w:bCs/>
          <w:szCs w:val="24"/>
        </w:rPr>
        <w:t>enseñanza</w:t>
      </w:r>
      <w:r w:rsidR="00AF02D4" w:rsidRPr="00AF02D4">
        <w:rPr>
          <w:rFonts w:asciiTheme="minorHAnsi" w:hAnsiTheme="minorHAnsi"/>
          <w:bCs/>
          <w:szCs w:val="24"/>
        </w:rPr>
        <w:t xml:space="preserve"> moral en las instituciones académicas a nivel</w:t>
      </w:r>
      <w:r w:rsidR="00AF02D4">
        <w:rPr>
          <w:rFonts w:asciiTheme="minorHAnsi" w:hAnsiTheme="minorHAnsi"/>
          <w:bCs/>
          <w:szCs w:val="24"/>
        </w:rPr>
        <w:t>es</w:t>
      </w:r>
      <w:r w:rsidR="00AF02D4" w:rsidRPr="00AF02D4">
        <w:rPr>
          <w:rFonts w:asciiTheme="minorHAnsi" w:hAnsiTheme="minorHAnsi"/>
          <w:bCs/>
          <w:szCs w:val="24"/>
        </w:rPr>
        <w:t xml:space="preserve"> regional e internacional</w:t>
      </w:r>
      <w:r w:rsidR="00AF02D4">
        <w:rPr>
          <w:rFonts w:asciiTheme="minorHAnsi" w:hAnsiTheme="minorHAnsi"/>
          <w:bCs/>
          <w:szCs w:val="24"/>
        </w:rPr>
        <w:t>, a fin de hacer frente a retos internacionales</w:t>
      </w:r>
      <w:r w:rsidR="00AF02D4" w:rsidRPr="00AF02D4">
        <w:rPr>
          <w:rFonts w:asciiTheme="minorHAnsi" w:hAnsiTheme="minorHAnsi"/>
          <w:bCs/>
          <w:szCs w:val="24"/>
        </w:rPr>
        <w:t>. La UIT presentó el trabajo del CWG-COP y</w:t>
      </w:r>
      <w:r w:rsidR="00AF02D4">
        <w:rPr>
          <w:rFonts w:asciiTheme="minorHAnsi" w:hAnsiTheme="minorHAnsi"/>
          <w:bCs/>
          <w:szCs w:val="24"/>
        </w:rPr>
        <w:t xml:space="preserve"> subrayó</w:t>
      </w:r>
      <w:r w:rsidR="00AF02D4" w:rsidRPr="00AF02D4">
        <w:rPr>
          <w:rFonts w:asciiTheme="minorHAnsi" w:hAnsiTheme="minorHAnsi"/>
          <w:bCs/>
          <w:szCs w:val="24"/>
        </w:rPr>
        <w:t xml:space="preserve"> la necesidad de educar a los niños </w:t>
      </w:r>
      <w:r w:rsidR="00AF02D4">
        <w:rPr>
          <w:rFonts w:asciiTheme="minorHAnsi" w:hAnsiTheme="minorHAnsi"/>
          <w:bCs/>
          <w:szCs w:val="24"/>
        </w:rPr>
        <w:t>de menor edad</w:t>
      </w:r>
      <w:r w:rsidR="00AF02D4" w:rsidRPr="00AF02D4">
        <w:rPr>
          <w:rFonts w:asciiTheme="minorHAnsi" w:hAnsiTheme="minorHAnsi"/>
          <w:bCs/>
          <w:szCs w:val="24"/>
        </w:rPr>
        <w:t xml:space="preserve"> para que </w:t>
      </w:r>
      <w:r w:rsidR="00AF02D4">
        <w:rPr>
          <w:rFonts w:asciiTheme="minorHAnsi" w:hAnsiTheme="minorHAnsi"/>
          <w:bCs/>
          <w:szCs w:val="24"/>
        </w:rPr>
        <w:t>utilicen</w:t>
      </w:r>
      <w:r w:rsidR="00AF02D4" w:rsidRPr="00AF02D4">
        <w:rPr>
          <w:rFonts w:asciiTheme="minorHAnsi" w:hAnsiTheme="minorHAnsi"/>
          <w:bCs/>
          <w:szCs w:val="24"/>
        </w:rPr>
        <w:t xml:space="preserve"> las tecnologías de </w:t>
      </w:r>
      <w:r w:rsidR="00AF02D4">
        <w:rPr>
          <w:rFonts w:asciiTheme="minorHAnsi" w:hAnsiTheme="minorHAnsi"/>
          <w:bCs/>
          <w:szCs w:val="24"/>
        </w:rPr>
        <w:t>forma</w:t>
      </w:r>
      <w:r w:rsidR="00AF02D4" w:rsidRPr="00AF02D4">
        <w:rPr>
          <w:rFonts w:asciiTheme="minorHAnsi" w:hAnsiTheme="minorHAnsi"/>
          <w:bCs/>
          <w:szCs w:val="24"/>
        </w:rPr>
        <w:t xml:space="preserve"> segura y responsable</w:t>
      </w:r>
      <w:r w:rsidRPr="00AF02D4">
        <w:rPr>
          <w:rFonts w:asciiTheme="minorHAnsi" w:hAnsiTheme="minorHAnsi"/>
          <w:bCs/>
          <w:szCs w:val="24"/>
        </w:rPr>
        <w:t>.</w:t>
      </w:r>
      <w:bookmarkEnd w:id="39"/>
    </w:p>
    <w:p w:rsidR="00723C30" w:rsidRPr="00AF02D4" w:rsidRDefault="00723C30" w:rsidP="00D0304B">
      <w:pPr>
        <w:pStyle w:val="Reasons"/>
      </w:pPr>
    </w:p>
    <w:p w:rsidR="00093EEB" w:rsidRPr="00723C30" w:rsidRDefault="00723C30" w:rsidP="00D0304B">
      <w:pPr>
        <w:jc w:val="center"/>
      </w:pPr>
      <w:r>
        <w:t>______________</w:t>
      </w:r>
    </w:p>
    <w:sectPr w:rsidR="00093EEB" w:rsidRPr="00723C30" w:rsidSect="006710F6">
      <w:headerReference w:type="default" r:id="rId64"/>
      <w:footerReference w:type="default" r:id="rId65"/>
      <w:footerReference w:type="first" r:id="rId6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E6" w:rsidRDefault="004913E6">
      <w:r>
        <w:separator/>
      </w:r>
    </w:p>
  </w:endnote>
  <w:endnote w:type="continuationSeparator" w:id="0">
    <w:p w:rsidR="004913E6" w:rsidRDefault="0049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E6" w:rsidRPr="00FC2BCA" w:rsidRDefault="004913E6" w:rsidP="00DB20DD">
    <w:pPr>
      <w:pStyle w:val="Footer"/>
      <w:rPr>
        <w:lang w:val="fr-CH"/>
      </w:rPr>
    </w:pPr>
    <w:r>
      <w:fldChar w:fldCharType="begin"/>
    </w:r>
    <w:r w:rsidRPr="00FC2BCA">
      <w:rPr>
        <w:lang w:val="fr-CH"/>
      </w:rPr>
      <w:instrText xml:space="preserve"> FILENAME \p  \* MERGEFORMAT </w:instrText>
    </w:r>
    <w:r>
      <w:fldChar w:fldCharType="separate"/>
    </w:r>
    <w:r w:rsidR="00244C7C">
      <w:rPr>
        <w:lang w:val="fr-CH"/>
      </w:rPr>
      <w:t>P:\ESP\SG\CONSEIL\C18\000\018S.docx</w:t>
    </w:r>
    <w:r>
      <w:fldChar w:fldCharType="end"/>
    </w:r>
    <w:r w:rsidRPr="00FC2BCA">
      <w:rPr>
        <w:lang w:val="fr-CH"/>
      </w:rPr>
      <w:t xml:space="preserve"> (425083)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E6" w:rsidRDefault="004913E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E6" w:rsidRDefault="004913E6">
      <w:r>
        <w:t>____________________</w:t>
      </w:r>
    </w:p>
  </w:footnote>
  <w:footnote w:type="continuationSeparator" w:id="0">
    <w:p w:rsidR="004913E6" w:rsidRDefault="0049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E6" w:rsidRDefault="004913E6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00DE2">
      <w:rPr>
        <w:noProof/>
      </w:rPr>
      <w:t>5</w:t>
    </w:r>
    <w:r>
      <w:rPr>
        <w:noProof/>
      </w:rPr>
      <w:fldChar w:fldCharType="end"/>
    </w:r>
  </w:p>
  <w:p w:rsidR="004913E6" w:rsidRDefault="004913E6" w:rsidP="00DB20DD">
    <w:pPr>
      <w:pStyle w:val="Header"/>
    </w:pPr>
    <w:r>
      <w:t>C18/18-S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561"/>
    <w:multiLevelType w:val="hybridMultilevel"/>
    <w:tmpl w:val="C8142D46"/>
    <w:lvl w:ilvl="0" w:tplc="328EE32C">
      <w:start w:val="1"/>
      <w:numFmt w:val="decimal"/>
      <w:pStyle w:val="normalWSIS"/>
      <w:lvlText w:val="%1."/>
      <w:lvlJc w:val="left"/>
      <w:pPr>
        <w:ind w:left="2490" w:hanging="360"/>
      </w:pPr>
      <w:rPr>
        <w:b w:val="0"/>
        <w:bCs w:val="0"/>
        <w:color w:val="auto"/>
        <w:sz w:val="20"/>
        <w:szCs w:val="20"/>
      </w:rPr>
    </w:lvl>
    <w:lvl w:ilvl="1" w:tplc="B04C0448">
      <w:start w:val="1"/>
      <w:numFmt w:val="lowerLetter"/>
      <w:lvlText w:val="%2."/>
      <w:lvlJc w:val="left"/>
      <w:pPr>
        <w:ind w:left="2861" w:hanging="360"/>
      </w:pPr>
    </w:lvl>
    <w:lvl w:ilvl="2" w:tplc="89224D32" w:tentative="1">
      <w:start w:val="1"/>
      <w:numFmt w:val="lowerRoman"/>
      <w:lvlText w:val="%3."/>
      <w:lvlJc w:val="right"/>
      <w:pPr>
        <w:ind w:left="3581" w:hanging="180"/>
      </w:pPr>
    </w:lvl>
    <w:lvl w:ilvl="3" w:tplc="ECE4650A" w:tentative="1">
      <w:start w:val="1"/>
      <w:numFmt w:val="decimal"/>
      <w:lvlText w:val="%4."/>
      <w:lvlJc w:val="left"/>
      <w:pPr>
        <w:ind w:left="4301" w:hanging="360"/>
      </w:pPr>
    </w:lvl>
    <w:lvl w:ilvl="4" w:tplc="C576BC8E" w:tentative="1">
      <w:start w:val="1"/>
      <w:numFmt w:val="lowerLetter"/>
      <w:lvlText w:val="%5."/>
      <w:lvlJc w:val="left"/>
      <w:pPr>
        <w:ind w:left="5021" w:hanging="360"/>
      </w:pPr>
    </w:lvl>
    <w:lvl w:ilvl="5" w:tplc="097EA496" w:tentative="1">
      <w:start w:val="1"/>
      <w:numFmt w:val="lowerRoman"/>
      <w:lvlText w:val="%6."/>
      <w:lvlJc w:val="right"/>
      <w:pPr>
        <w:ind w:left="5741" w:hanging="180"/>
      </w:pPr>
    </w:lvl>
    <w:lvl w:ilvl="6" w:tplc="94D4FA54" w:tentative="1">
      <w:start w:val="1"/>
      <w:numFmt w:val="decimal"/>
      <w:lvlText w:val="%7."/>
      <w:lvlJc w:val="left"/>
      <w:pPr>
        <w:ind w:left="6461" w:hanging="360"/>
      </w:pPr>
    </w:lvl>
    <w:lvl w:ilvl="7" w:tplc="0308B2AC" w:tentative="1">
      <w:start w:val="1"/>
      <w:numFmt w:val="lowerLetter"/>
      <w:lvlText w:val="%8."/>
      <w:lvlJc w:val="left"/>
      <w:pPr>
        <w:ind w:left="7181" w:hanging="360"/>
      </w:pPr>
    </w:lvl>
    <w:lvl w:ilvl="8" w:tplc="F3BAAD0E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" w15:restartNumberingAfterBreak="0">
    <w:nsid w:val="67A32A1E"/>
    <w:multiLevelType w:val="multilevel"/>
    <w:tmpl w:val="9A9E2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F7"/>
    <w:rsid w:val="000324AB"/>
    <w:rsid w:val="00085B98"/>
    <w:rsid w:val="0009251B"/>
    <w:rsid w:val="00093EEB"/>
    <w:rsid w:val="000B0D00"/>
    <w:rsid w:val="000B7C15"/>
    <w:rsid w:val="000D1D0F"/>
    <w:rsid w:val="000F5290"/>
    <w:rsid w:val="0010165C"/>
    <w:rsid w:val="00142EE6"/>
    <w:rsid w:val="00146BFB"/>
    <w:rsid w:val="001A71FB"/>
    <w:rsid w:val="001F14A2"/>
    <w:rsid w:val="00244C7C"/>
    <w:rsid w:val="002801AA"/>
    <w:rsid w:val="002A2778"/>
    <w:rsid w:val="002A3899"/>
    <w:rsid w:val="002C4676"/>
    <w:rsid w:val="002C70B0"/>
    <w:rsid w:val="002D2247"/>
    <w:rsid w:val="002F3CC4"/>
    <w:rsid w:val="00306EB4"/>
    <w:rsid w:val="00395914"/>
    <w:rsid w:val="004913E6"/>
    <w:rsid w:val="004F6114"/>
    <w:rsid w:val="00513630"/>
    <w:rsid w:val="00560125"/>
    <w:rsid w:val="00585553"/>
    <w:rsid w:val="005B34D9"/>
    <w:rsid w:val="005D0CCF"/>
    <w:rsid w:val="005D0FC7"/>
    <w:rsid w:val="005F3BCB"/>
    <w:rsid w:val="005F410F"/>
    <w:rsid w:val="0060149A"/>
    <w:rsid w:val="00601924"/>
    <w:rsid w:val="00606394"/>
    <w:rsid w:val="006447EA"/>
    <w:rsid w:val="0064731F"/>
    <w:rsid w:val="006710F6"/>
    <w:rsid w:val="006C1B56"/>
    <w:rsid w:val="006D4761"/>
    <w:rsid w:val="00723C30"/>
    <w:rsid w:val="00726872"/>
    <w:rsid w:val="00744B05"/>
    <w:rsid w:val="00755F69"/>
    <w:rsid w:val="007609BF"/>
    <w:rsid w:val="00760F1C"/>
    <w:rsid w:val="007657F0"/>
    <w:rsid w:val="007709CD"/>
    <w:rsid w:val="00771C51"/>
    <w:rsid w:val="0077252D"/>
    <w:rsid w:val="007D49D1"/>
    <w:rsid w:val="007E5DD3"/>
    <w:rsid w:val="007F350B"/>
    <w:rsid w:val="00820BE4"/>
    <w:rsid w:val="00832255"/>
    <w:rsid w:val="008451E8"/>
    <w:rsid w:val="00847146"/>
    <w:rsid w:val="00872CFA"/>
    <w:rsid w:val="008F57B0"/>
    <w:rsid w:val="00913B9C"/>
    <w:rsid w:val="0092097B"/>
    <w:rsid w:val="00956E77"/>
    <w:rsid w:val="009759F7"/>
    <w:rsid w:val="009A53D4"/>
    <w:rsid w:val="009F4811"/>
    <w:rsid w:val="00A00DE2"/>
    <w:rsid w:val="00A03258"/>
    <w:rsid w:val="00A50E36"/>
    <w:rsid w:val="00A64FCC"/>
    <w:rsid w:val="00A7611D"/>
    <w:rsid w:val="00AA390C"/>
    <w:rsid w:val="00AA4D01"/>
    <w:rsid w:val="00AD0FFE"/>
    <w:rsid w:val="00AE2188"/>
    <w:rsid w:val="00AF02D4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62AAB"/>
    <w:rsid w:val="00CF1A67"/>
    <w:rsid w:val="00D0304B"/>
    <w:rsid w:val="00D2750E"/>
    <w:rsid w:val="00D353C0"/>
    <w:rsid w:val="00D53BEB"/>
    <w:rsid w:val="00D62446"/>
    <w:rsid w:val="00D63325"/>
    <w:rsid w:val="00DA4EA2"/>
    <w:rsid w:val="00DB20DD"/>
    <w:rsid w:val="00DC3D3E"/>
    <w:rsid w:val="00DE2C90"/>
    <w:rsid w:val="00DE3B24"/>
    <w:rsid w:val="00E06947"/>
    <w:rsid w:val="00E3592D"/>
    <w:rsid w:val="00E6726E"/>
    <w:rsid w:val="00E70B2D"/>
    <w:rsid w:val="00E7549C"/>
    <w:rsid w:val="00E75BCB"/>
    <w:rsid w:val="00E816C9"/>
    <w:rsid w:val="00E92DE8"/>
    <w:rsid w:val="00E966A6"/>
    <w:rsid w:val="00EB1212"/>
    <w:rsid w:val="00ED65AB"/>
    <w:rsid w:val="00F12850"/>
    <w:rsid w:val="00F1601F"/>
    <w:rsid w:val="00F33BF4"/>
    <w:rsid w:val="00F7105E"/>
    <w:rsid w:val="00F7584C"/>
    <w:rsid w:val="00F75F57"/>
    <w:rsid w:val="00F82FEE"/>
    <w:rsid w:val="00FC2BCA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187DAB5-55E0-4C76-BB00-DD122C51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normalWSIS">
    <w:name w:val="normal WSIS"/>
    <w:basedOn w:val="ListParagraph"/>
    <w:link w:val="normalWSISChar"/>
    <w:qFormat/>
    <w:rsid w:val="009759F7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normalWSISChar">
    <w:name w:val="normal WSIS Char"/>
    <w:basedOn w:val="DefaultParagraphFont"/>
    <w:link w:val="normalWSIS"/>
    <w:rsid w:val="009759F7"/>
    <w:rPr>
      <w:rFonts w:ascii="Calibri" w:eastAsia="SimSun" w:hAnsi="Calibri" w:cs="Arial"/>
      <w:sz w:val="22"/>
      <w:szCs w:val="22"/>
    </w:rPr>
  </w:style>
  <w:style w:type="character" w:customStyle="1" w:styleId="enumlev1Char">
    <w:name w:val="enumlev1 Char"/>
    <w:basedOn w:val="DefaultParagraphFont"/>
    <w:link w:val="enumlev1"/>
    <w:rsid w:val="009759F7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97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osg/csd/cybersecurity/WSIS/RESOLUTION_181.pdf" TargetMode="External"/><Relationship Id="rId18" Type="http://schemas.openxmlformats.org/officeDocument/2006/relationships/hyperlink" Target="https://www.itu.int/md/D14-WTDC17-C-0115/en" TargetMode="External"/><Relationship Id="rId26" Type="http://schemas.openxmlformats.org/officeDocument/2006/relationships/hyperlink" Target="http://www.itu.int/md/S06-CL-C-0004/en" TargetMode="External"/><Relationship Id="rId39" Type="http://schemas.openxmlformats.org/officeDocument/2006/relationships/hyperlink" Target="http://www.itu.int/en/ITU-D/Cybersecurity/Pages/Legal-Measures.aspx" TargetMode="External"/><Relationship Id="rId21" Type="http://schemas.openxmlformats.org/officeDocument/2006/relationships/hyperlink" Target="https://www.itu.int/pub/T-RES-T.52-2016" TargetMode="External"/><Relationship Id="rId34" Type="http://schemas.openxmlformats.org/officeDocument/2006/relationships/hyperlink" Target="http://www.itu.int/md/S14-CL-C-0023/en" TargetMode="External"/><Relationship Id="rId42" Type="http://schemas.openxmlformats.org/officeDocument/2006/relationships/hyperlink" Target="http://www.itu.int/en/ITU-T/Workshops-and-Seminars/201703/Pages/default.aspx" TargetMode="External"/><Relationship Id="rId47" Type="http://schemas.openxmlformats.org/officeDocument/2006/relationships/hyperlink" Target="http://www.itu.int/en/ITU-D/Cybersecurity/Pages/Organizational-Structures.aspx" TargetMode="External"/><Relationship Id="rId50" Type="http://schemas.openxmlformats.org/officeDocument/2006/relationships/hyperlink" Target="https://www.itu.int/en/ITU-D/Cybersecurity/Pages/Moldova_cyberdrill_2017.aspx" TargetMode="External"/><Relationship Id="rId55" Type="http://schemas.openxmlformats.org/officeDocument/2006/relationships/hyperlink" Target="http://www.itu.int/en/ITU-D/Cybersecurity/Pages/GCI.aspx" TargetMode="External"/><Relationship Id="rId63" Type="http://schemas.openxmlformats.org/officeDocument/2006/relationships/hyperlink" Target="https://www.itu.int/md/S18-CL-C-0015/en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itu.int/en/ITU-D/Cybersecurity/Documents/45revDubai.pdf" TargetMode="External"/><Relationship Id="rId29" Type="http://schemas.openxmlformats.org/officeDocument/2006/relationships/hyperlink" Target="http://www.itu.int/md/S09-CL-C-0050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action/cybersecurity/Documents/Resolutions/pp-14_Res.%20174.pdf" TargetMode="External"/><Relationship Id="rId24" Type="http://schemas.openxmlformats.org/officeDocument/2006/relationships/hyperlink" Target="http://www.itu.int/md/S05-CL-C-0032/en" TargetMode="External"/><Relationship Id="rId32" Type="http://schemas.openxmlformats.org/officeDocument/2006/relationships/hyperlink" Target="http://www.itu.int/md/S12-CL-C-0029/en" TargetMode="External"/><Relationship Id="rId37" Type="http://schemas.openxmlformats.org/officeDocument/2006/relationships/hyperlink" Target="https://www.itu.int/md/S17-CL-C-0018/en" TargetMode="External"/><Relationship Id="rId40" Type="http://schemas.openxmlformats.org/officeDocument/2006/relationships/hyperlink" Target="http://www.itu.int/en/ITU-T/studygroups/2017-2020/17/Pages/default.aspx" TargetMode="External"/><Relationship Id="rId45" Type="http://schemas.openxmlformats.org/officeDocument/2006/relationships/hyperlink" Target="https://www.itu.int/en/ITU-T/Workshops-and-Seminars/20180319/Pages/default.aspx" TargetMode="External"/><Relationship Id="rId53" Type="http://schemas.openxmlformats.org/officeDocument/2006/relationships/hyperlink" Target="http://www.itu.int/net4/ITU-D/CDS/sg/rgqlist.asp?lg=1&amp;sp=2014&amp;rgq=D14-SG02-RGQ03.2&amp;stg=2" TargetMode="External"/><Relationship Id="rId58" Type="http://schemas.openxmlformats.org/officeDocument/2006/relationships/hyperlink" Target="https://www.itu.int/en/ITU-D/Regional-Presence/CIS/Pages/EVENTS/2018/04_Odessa/04_Odessa.aspx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5-CL-C-0109/en" TargetMode="External"/><Relationship Id="rId23" Type="http://schemas.openxmlformats.org/officeDocument/2006/relationships/hyperlink" Target="https://www.itu.int/pub/T-RES-T.58-2016" TargetMode="External"/><Relationship Id="rId28" Type="http://schemas.openxmlformats.org/officeDocument/2006/relationships/hyperlink" Target="http://www.itu.int/md/S08-CL-C-0033/en" TargetMode="External"/><Relationship Id="rId36" Type="http://schemas.openxmlformats.org/officeDocument/2006/relationships/hyperlink" Target="https://www.itu.int/md/S16-CL-C-0018/en" TargetMode="External"/><Relationship Id="rId49" Type="http://schemas.openxmlformats.org/officeDocument/2006/relationships/hyperlink" Target="https://www.itu.int/en/ITU-D/Cybersecurity/Pages/Tanzania_cyberdrill_2017.aspx" TargetMode="External"/><Relationship Id="rId57" Type="http://schemas.openxmlformats.org/officeDocument/2006/relationships/hyperlink" Target="https://www.itu.int/en/ITU-D/Regional-Presence/Europe/Pages/Events/2017/GCI/Webinar-on-New-Report-on-Global-Cybersecurity-Index-%28GCI%29-for-the-Europe-Region.aspx" TargetMode="External"/><Relationship Id="rId61" Type="http://schemas.openxmlformats.org/officeDocument/2006/relationships/hyperlink" Target="https://www.energypact.org/energypact-foundation-events18/" TargetMode="External"/><Relationship Id="rId10" Type="http://schemas.openxmlformats.org/officeDocument/2006/relationships/hyperlink" Target="http://www.itu.int/en/action/cybersecurity/Documents/Resolutions/pp-14_Res.%20140.pdf" TargetMode="External"/><Relationship Id="rId19" Type="http://schemas.openxmlformats.org/officeDocument/2006/relationships/hyperlink" Target="http://www.itu.int/osg/csd/intgov/resoultions_2010/programme2.pdf" TargetMode="External"/><Relationship Id="rId31" Type="http://schemas.openxmlformats.org/officeDocument/2006/relationships/hyperlink" Target="http://www.itu.int/md/S11-CL-C-0054/en" TargetMode="External"/><Relationship Id="rId44" Type="http://schemas.openxmlformats.org/officeDocument/2006/relationships/hyperlink" Target="https://www.itu.int/en/ITU-T/studygroups/2017-2020/17/sg17rgarb/Pages/default.aspx" TargetMode="External"/><Relationship Id="rId52" Type="http://schemas.openxmlformats.org/officeDocument/2006/relationships/hyperlink" Target="http://www.itu.int/en/ITU-D/Cybersecurity/Pages/Events.aspx" TargetMode="External"/><Relationship Id="rId60" Type="http://schemas.openxmlformats.org/officeDocument/2006/relationships/hyperlink" Target="https://www.itu.int/net4/wsis/forum/2017/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action/cybersecurity/Documents/Resolutions/pp-14_Res.%20130.pdf" TargetMode="External"/><Relationship Id="rId14" Type="http://schemas.openxmlformats.org/officeDocument/2006/relationships/hyperlink" Target="http://www.itu.int/pub/S-CONF-WCIT-2012/en" TargetMode="External"/><Relationship Id="rId22" Type="http://schemas.openxmlformats.org/officeDocument/2006/relationships/hyperlink" Target="https://www.itu.int/pub/T-RES-T.75-2016" TargetMode="External"/><Relationship Id="rId27" Type="http://schemas.openxmlformats.org/officeDocument/2006/relationships/hyperlink" Target="http://www.itu.int/md/S07-CL-C-0021/en" TargetMode="External"/><Relationship Id="rId30" Type="http://schemas.openxmlformats.org/officeDocument/2006/relationships/hyperlink" Target="http://www.itu.int/md/S10-CL-C-0012/en" TargetMode="External"/><Relationship Id="rId35" Type="http://schemas.openxmlformats.org/officeDocument/2006/relationships/hyperlink" Target="http://www.itu.int/md/S15-CL-C-0018/en" TargetMode="External"/><Relationship Id="rId43" Type="http://schemas.openxmlformats.org/officeDocument/2006/relationships/hyperlink" Target="https://www.itu.int/en/ITU-T/Workshops-and-Seminars/201708/Pages/default.aspx" TargetMode="External"/><Relationship Id="rId48" Type="http://schemas.openxmlformats.org/officeDocument/2006/relationships/hyperlink" Target="https://www.itu.int/en/ITU-D/Regional-Presence/Americas/Pages/EVENTS/2017/20287.aspx" TargetMode="External"/><Relationship Id="rId56" Type="http://schemas.openxmlformats.org/officeDocument/2006/relationships/hyperlink" Target="http://www.itu.int/en/ITU-D/Cybersecurity/Pages/GCI-2017.aspx" TargetMode="External"/><Relationship Id="rId64" Type="http://schemas.openxmlformats.org/officeDocument/2006/relationships/header" Target="header1.xml"/><Relationship Id="rId8" Type="http://schemas.openxmlformats.org/officeDocument/2006/relationships/hyperlink" Target="http://www.itu.int/en/council/planning/Documents/PP-14_Res71.pdf" TargetMode="External"/><Relationship Id="rId51" Type="http://schemas.openxmlformats.org/officeDocument/2006/relationships/hyperlink" Target="http://www.itu.int/en/ITU-D/Cybersecurity/Pages/National-Strategies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en/action/cybersecurity/Documents/Resolutions/pp-14_Res.%20179.pdf" TargetMode="External"/><Relationship Id="rId17" Type="http://schemas.openxmlformats.org/officeDocument/2006/relationships/hyperlink" Target="https://www.itu.int/md/D14-WTDC17-C-0115/en" TargetMode="External"/><Relationship Id="rId25" Type="http://schemas.openxmlformats.org/officeDocument/2006/relationships/hyperlink" Target="https://www.itu.int/md/S05-CL-INF-0010/en" TargetMode="External"/><Relationship Id="rId33" Type="http://schemas.openxmlformats.org/officeDocument/2006/relationships/hyperlink" Target="http://www.itu.int/md/S13-CL-C-0023/en" TargetMode="External"/><Relationship Id="rId38" Type="http://schemas.openxmlformats.org/officeDocument/2006/relationships/hyperlink" Target="http://www.itu.int/en/action/cybersecurity/Pages/gca.aspx" TargetMode="External"/><Relationship Id="rId46" Type="http://schemas.openxmlformats.org/officeDocument/2006/relationships/hyperlink" Target="http://www.itu.int/en/ITU-D/Cybersecurity/Pages/Organizational-Structures.aspx" TargetMode="External"/><Relationship Id="rId59" Type="http://schemas.openxmlformats.org/officeDocument/2006/relationships/hyperlink" Target="http://www.itu.int/en/ITU-D/Cybersecurity/Pages/partnership.aspx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itu.int/pub/T-RES-T.50-2016" TargetMode="External"/><Relationship Id="rId41" Type="http://schemas.openxmlformats.org/officeDocument/2006/relationships/hyperlink" Target="https://www.itu.int/en/ITU-T/studygroups/2017-2020/17/Pages/default.aspx" TargetMode="External"/><Relationship Id="rId54" Type="http://schemas.openxmlformats.org/officeDocument/2006/relationships/hyperlink" Target="https://www.itu.int/en/ITU-D/Cybersecurity/Pages/Threat-intelligence-training-Benin-2017.aspx" TargetMode="External"/><Relationship Id="rId62" Type="http://schemas.openxmlformats.org/officeDocument/2006/relationships/hyperlink" Target="http://www.itu.int/en/council/cwg-cop/Pages/defaul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27</TotalTime>
  <Pages>5</Pages>
  <Words>2339</Words>
  <Characters>16426</Characters>
  <Application>Microsoft Office Word</Application>
  <DocSecurity>0</DocSecurity>
  <Lines>136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18728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Ayala Martinez, Beatriz</cp:lastModifiedBy>
  <cp:revision>12</cp:revision>
  <cp:lastPrinted>2018-02-23T15:12:00Z</cp:lastPrinted>
  <dcterms:created xsi:type="dcterms:W3CDTF">2018-02-23T14:51:00Z</dcterms:created>
  <dcterms:modified xsi:type="dcterms:W3CDTF">2018-02-23T15:21:00Z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