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ED3D26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3C3FAE">
              <w:rPr>
                <w:b/>
                <w:bCs/>
                <w:sz w:val="30"/>
                <w:szCs w:val="30"/>
                <w:lang w:val="fr-CH"/>
              </w:rPr>
              <w:t>8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proofErr w:type="spellStart"/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proofErr w:type="spellEnd"/>
            <w:r w:rsidRPr="00520F36">
              <w:rPr>
                <w:b/>
                <w:bCs/>
                <w:szCs w:val="24"/>
                <w:lang w:val="fr-CH"/>
              </w:rPr>
              <w:t>, 1</w:t>
            </w:r>
            <w:r w:rsidR="003C3FAE">
              <w:rPr>
                <w:b/>
                <w:bCs/>
                <w:szCs w:val="24"/>
                <w:lang w:val="fr-CH"/>
              </w:rPr>
              <w:t>7</w:t>
            </w:r>
            <w:r w:rsidRPr="00520F36">
              <w:rPr>
                <w:b/>
                <w:bCs/>
                <w:szCs w:val="24"/>
                <w:lang w:val="fr-CH"/>
              </w:rPr>
              <w:t>-2</w:t>
            </w:r>
            <w:r w:rsidR="003C3FAE">
              <w:rPr>
                <w:b/>
                <w:bCs/>
                <w:szCs w:val="24"/>
                <w:lang w:val="fr-CH"/>
              </w:rPr>
              <w:t>7</w:t>
            </w:r>
            <w:r w:rsidRPr="00520F36">
              <w:rPr>
                <w:b/>
                <w:bCs/>
                <w:szCs w:val="24"/>
                <w:lang w:val="fr-CH"/>
              </w:rPr>
              <w:t xml:space="preserve"> </w:t>
            </w:r>
            <w:r w:rsidR="003C3FAE">
              <w:rPr>
                <w:b/>
                <w:bCs/>
                <w:szCs w:val="24"/>
                <w:lang w:val="fr-CH"/>
              </w:rPr>
              <w:t>avril</w:t>
            </w:r>
            <w:r w:rsidRPr="00520F36">
              <w:rPr>
                <w:b/>
                <w:bCs/>
                <w:szCs w:val="24"/>
                <w:lang w:val="fr-CH"/>
              </w:rPr>
              <w:t xml:space="preserve"> 201</w:t>
            </w:r>
            <w:r w:rsidR="003C3FAE">
              <w:rPr>
                <w:b/>
                <w:bCs/>
                <w:szCs w:val="24"/>
                <w:lang w:val="fr-CH"/>
              </w:rPr>
              <w:t>8</w:t>
            </w:r>
          </w:p>
        </w:tc>
        <w:tc>
          <w:tcPr>
            <w:tcW w:w="3261" w:type="dxa"/>
          </w:tcPr>
          <w:p w:rsidR="00520F36" w:rsidRPr="0092392D" w:rsidRDefault="00520F36" w:rsidP="00ED3D26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ED3D26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ED3D26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ED3D26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ED3D26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FD2498" w:rsidP="00ED3D26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>
              <w:rPr>
                <w:rFonts w:cs="Times"/>
                <w:b/>
                <w:bCs/>
                <w:szCs w:val="24"/>
                <w:lang w:val="fr-CH"/>
              </w:rPr>
              <w:t>Point de l</w:t>
            </w:r>
            <w:r w:rsidR="00ED3D26">
              <w:rPr>
                <w:rFonts w:cs="Times"/>
                <w:b/>
                <w:bCs/>
                <w:szCs w:val="24"/>
                <w:lang w:val="fr-CH"/>
              </w:rPr>
              <w:t>'</w:t>
            </w:r>
            <w:r>
              <w:rPr>
                <w:rFonts w:cs="Times"/>
                <w:b/>
                <w:bCs/>
                <w:szCs w:val="24"/>
                <w:lang w:val="fr-CH"/>
              </w:rPr>
              <w:t>ordre du jour: ADM 1</w:t>
            </w:r>
          </w:p>
        </w:tc>
        <w:tc>
          <w:tcPr>
            <w:tcW w:w="3261" w:type="dxa"/>
          </w:tcPr>
          <w:p w:rsidR="00520F36" w:rsidRPr="00520F36" w:rsidRDefault="00520F36" w:rsidP="00ED3D2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C1</w:t>
            </w:r>
            <w:r w:rsidR="003C3FAE">
              <w:rPr>
                <w:b/>
                <w:bCs/>
              </w:rPr>
              <w:t>8</w:t>
            </w:r>
            <w:r>
              <w:rPr>
                <w:b/>
                <w:bCs/>
              </w:rPr>
              <w:t>/</w:t>
            </w:r>
            <w:r w:rsidR="00FD2498">
              <w:rPr>
                <w:b/>
                <w:bCs/>
              </w:rPr>
              <w:t>16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ED3D26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FD2498" w:rsidP="00ED3D2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8 février</w:t>
            </w:r>
            <w:r w:rsidR="00520F36">
              <w:rPr>
                <w:b/>
                <w:bCs/>
              </w:rPr>
              <w:t xml:space="preserve"> 201</w:t>
            </w:r>
            <w:r w:rsidR="003C3FAE">
              <w:rPr>
                <w:b/>
                <w:bCs/>
              </w:rPr>
              <w:t>8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ED3D26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ED3D2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FD2498" w:rsidP="00ED3D26">
            <w:pPr>
              <w:pStyle w:val="Source"/>
            </w:pPr>
            <w:bookmarkStart w:id="6" w:name="dsource" w:colFirst="0" w:colLast="0"/>
            <w:bookmarkEnd w:id="5"/>
            <w:r w:rsidRPr="00A83750">
              <w:t>Rapport du Secrétaire général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FD2498" w:rsidP="00ED3D26">
            <w:pPr>
              <w:pStyle w:val="Title1"/>
            </w:pPr>
            <w:bookmarkStart w:id="7" w:name="dtitle1" w:colFirst="0" w:colLast="0"/>
            <w:bookmarkEnd w:id="6"/>
            <w:r w:rsidRPr="00A30FC3">
              <w:t>RECOUVREMENT DES COÛTS POUR LE TRAITEMENT DES FICHES</w:t>
            </w:r>
            <w:r>
              <w:br/>
            </w:r>
            <w:r w:rsidRPr="00A30FC3">
              <w:t>DE NOTIFICATION DES RÉSEAUX À SATELLITE</w:t>
            </w:r>
          </w:p>
        </w:tc>
      </w:tr>
      <w:bookmarkEnd w:id="7"/>
    </w:tbl>
    <w:p w:rsidR="00520F36" w:rsidRPr="0092392D" w:rsidRDefault="00520F36" w:rsidP="00ED3D26">
      <w:pPr>
        <w:rPr>
          <w:lang w:val="fr-CH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92392D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F36" w:rsidRPr="0092392D" w:rsidRDefault="00520F36" w:rsidP="00ED3D2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Résumé</w:t>
            </w:r>
          </w:p>
          <w:p w:rsidR="00520F36" w:rsidRPr="0092392D" w:rsidRDefault="00FD2498" w:rsidP="00ED3D26">
            <w:pPr>
              <w:rPr>
                <w:lang w:val="fr-CH"/>
              </w:rPr>
            </w:pPr>
            <w:bookmarkStart w:id="8" w:name="_GoBack"/>
            <w:r w:rsidRPr="00A30FC3">
              <w:t xml:space="preserve">Le présent document </w:t>
            </w:r>
            <w:r w:rsidR="00167AB2">
              <w:rPr>
                <w:color w:val="000000"/>
              </w:rPr>
              <w:t>contient un rapport d</w:t>
            </w:r>
            <w:r w:rsidR="00ED3D26">
              <w:rPr>
                <w:color w:val="000000"/>
              </w:rPr>
              <w:t>'</w:t>
            </w:r>
            <w:r w:rsidR="00167AB2">
              <w:rPr>
                <w:color w:val="000000"/>
              </w:rPr>
              <w:t>activité</w:t>
            </w:r>
            <w:r w:rsidR="00167AB2" w:rsidRPr="00A30FC3">
              <w:t xml:space="preserve"> </w:t>
            </w:r>
            <w:r w:rsidR="00167AB2">
              <w:t xml:space="preserve">sur </w:t>
            </w:r>
            <w:r w:rsidRPr="00A30FC3">
              <w:t xml:space="preserve">la mise en </w:t>
            </w:r>
            <w:proofErr w:type="spellStart"/>
            <w:r>
              <w:t>oeu</w:t>
            </w:r>
            <w:r w:rsidRPr="00A30FC3">
              <w:t>vre</w:t>
            </w:r>
            <w:proofErr w:type="spellEnd"/>
            <w:r w:rsidRPr="00A30FC3">
              <w:t xml:space="preserve"> du recouvrement des coûts pour les fiches de notification des réseaux à satellite (</w:t>
            </w:r>
            <w:r w:rsidRPr="003F30B8">
              <w:rPr>
                <w:u w:val="single"/>
              </w:rPr>
              <w:t xml:space="preserve">Décision 482 (modifiée en </w:t>
            </w:r>
            <w:r w:rsidR="00B5711C">
              <w:rPr>
                <w:u w:val="single"/>
              </w:rPr>
              <w:t>2017</w:t>
            </w:r>
            <w:r w:rsidRPr="003F30B8">
              <w:rPr>
                <w:u w:val="single"/>
              </w:rPr>
              <w:t>)</w:t>
            </w:r>
            <w:r w:rsidRPr="00A30FC3">
              <w:t>).</w:t>
            </w:r>
            <w:bookmarkEnd w:id="8"/>
          </w:p>
          <w:p w:rsidR="00520F36" w:rsidRPr="0092392D" w:rsidRDefault="00520F36" w:rsidP="00ED3D2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Suite à donner</w:t>
            </w:r>
          </w:p>
          <w:p w:rsidR="00520F36" w:rsidRPr="0092392D" w:rsidRDefault="00FD2498" w:rsidP="00ED3D26">
            <w:pPr>
              <w:spacing w:after="120"/>
              <w:rPr>
                <w:lang w:val="fr-CH"/>
              </w:rPr>
            </w:pPr>
            <w:r w:rsidRPr="00A30FC3">
              <w:t xml:space="preserve">Le Conseil est </w:t>
            </w:r>
            <w:r w:rsidR="00FD2DB0">
              <w:t>invité à</w:t>
            </w:r>
            <w:r w:rsidRPr="00A30FC3">
              <w:t xml:space="preserve"> </w:t>
            </w:r>
            <w:r w:rsidRPr="00A30FC3">
              <w:rPr>
                <w:b/>
                <w:bCs/>
              </w:rPr>
              <w:t>prendre note</w:t>
            </w:r>
            <w:r w:rsidRPr="00A30FC3">
              <w:t xml:space="preserve"> </w:t>
            </w:r>
            <w:r w:rsidR="00167AB2">
              <w:t>du rapport</w:t>
            </w:r>
            <w:r w:rsidRPr="00A30FC3">
              <w:t>.</w:t>
            </w:r>
          </w:p>
          <w:p w:rsidR="00520F36" w:rsidRPr="0092392D" w:rsidRDefault="00520F36" w:rsidP="00ED3D26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CH"/>
              </w:rPr>
            </w:pPr>
            <w:r w:rsidRPr="0092392D">
              <w:rPr>
                <w:rFonts w:ascii="Calibri" w:hAnsi="Calibri"/>
                <w:caps w:val="0"/>
                <w:sz w:val="22"/>
                <w:lang w:val="fr-CH"/>
              </w:rPr>
              <w:t>____________</w:t>
            </w:r>
          </w:p>
          <w:p w:rsidR="00520F36" w:rsidRPr="0092392D" w:rsidRDefault="00520F36" w:rsidP="00ED3D2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Références</w:t>
            </w:r>
          </w:p>
          <w:p w:rsidR="00520F36" w:rsidRPr="0092392D" w:rsidRDefault="00D57253" w:rsidP="00ED3D26">
            <w:pPr>
              <w:spacing w:after="120"/>
              <w:rPr>
                <w:i/>
                <w:iCs/>
                <w:lang w:val="fr-CH"/>
              </w:rPr>
            </w:pPr>
            <w:hyperlink r:id="rId7" w:anchor="res91" w:history="1">
              <w:r w:rsidR="00FD2498" w:rsidRPr="00A30FC3">
                <w:rPr>
                  <w:rStyle w:val="Hyperlink"/>
                  <w:i/>
                  <w:szCs w:val="24"/>
                </w:rPr>
                <w:t>Résolution 91 (</w:t>
              </w:r>
              <w:proofErr w:type="spellStart"/>
              <w:r w:rsidR="00FD2498" w:rsidRPr="00A30FC3">
                <w:rPr>
                  <w:rStyle w:val="Hyperlink"/>
                  <w:i/>
                  <w:szCs w:val="24"/>
                </w:rPr>
                <w:t>Rév</w:t>
              </w:r>
              <w:proofErr w:type="spellEnd"/>
              <w:r w:rsidR="00FD2498" w:rsidRPr="00A30FC3">
                <w:rPr>
                  <w:rStyle w:val="Hyperlink"/>
                  <w:i/>
                  <w:szCs w:val="24"/>
                </w:rPr>
                <w:t>. Guadalajara, 2010) de la Conférence de plénipotentiaires</w:t>
              </w:r>
            </w:hyperlink>
            <w:r w:rsidR="00FD2498">
              <w:t>;</w:t>
            </w:r>
            <w:r w:rsidR="00FD2498" w:rsidRPr="00A30FC3">
              <w:rPr>
                <w:i/>
                <w:szCs w:val="24"/>
                <w:u w:val="single"/>
              </w:rPr>
              <w:br/>
            </w:r>
            <w:hyperlink r:id="rId8" w:history="1">
              <w:r w:rsidR="00FD2498" w:rsidRPr="00A30FC3">
                <w:rPr>
                  <w:rStyle w:val="Hyperlink"/>
                  <w:i/>
                  <w:iCs/>
                  <w:szCs w:val="24"/>
                </w:rPr>
                <w:t>Décision 482 du Conseil (modifiée en</w:t>
              </w:r>
              <w:r w:rsidR="00B5711C">
                <w:rPr>
                  <w:rStyle w:val="Hyperlink"/>
                  <w:i/>
                  <w:iCs/>
                  <w:szCs w:val="24"/>
                </w:rPr>
                <w:t xml:space="preserve"> 2017</w:t>
              </w:r>
              <w:r w:rsidR="00FD2498" w:rsidRPr="00A30FC3">
                <w:rPr>
                  <w:rStyle w:val="Hyperlink"/>
                  <w:i/>
                  <w:iCs/>
                  <w:szCs w:val="24"/>
                </w:rPr>
                <w:t>)</w:t>
              </w:r>
            </w:hyperlink>
            <w:r w:rsidR="00FD2498">
              <w:t>;</w:t>
            </w:r>
            <w:r w:rsidR="00ED3D26">
              <w:t xml:space="preserve"> </w:t>
            </w:r>
            <w:r w:rsidR="00FD2498" w:rsidRPr="00A30FC3">
              <w:rPr>
                <w:rFonts w:asciiTheme="minorHAnsi" w:hAnsiTheme="minorHAnsi" w:cstheme="minorHAnsi"/>
                <w:i/>
                <w:iCs/>
                <w:szCs w:val="24"/>
              </w:rPr>
              <w:t xml:space="preserve">Documents </w:t>
            </w:r>
            <w:hyperlink r:id="rId9" w:history="1">
              <w:r w:rsidR="00B5711C" w:rsidRPr="009C7578">
                <w:rPr>
                  <w:rStyle w:val="Hyperlink"/>
                  <w:i/>
                  <w:iCs/>
                  <w:szCs w:val="24"/>
                </w:rPr>
                <w:t>C17/11</w:t>
              </w:r>
            </w:hyperlink>
            <w:r w:rsidR="00B5711C" w:rsidRPr="009C7578">
              <w:rPr>
                <w:i/>
                <w:iCs/>
                <w:szCs w:val="24"/>
              </w:rPr>
              <w:t xml:space="preserve">, </w:t>
            </w:r>
            <w:hyperlink r:id="rId10" w:history="1">
              <w:r w:rsidR="00B5711C" w:rsidRPr="009C7578">
                <w:rPr>
                  <w:rStyle w:val="Hyperlink"/>
                  <w:i/>
                  <w:iCs/>
                  <w:szCs w:val="24"/>
                </w:rPr>
                <w:t>C17/16</w:t>
              </w:r>
            </w:hyperlink>
            <w:r w:rsidR="00B5711C" w:rsidRPr="009C7578">
              <w:rPr>
                <w:i/>
                <w:iCs/>
                <w:szCs w:val="24"/>
              </w:rPr>
              <w:t xml:space="preserve">, </w:t>
            </w:r>
            <w:hyperlink r:id="rId11" w:history="1">
              <w:r w:rsidR="00B5711C" w:rsidRPr="009C7578">
                <w:rPr>
                  <w:rStyle w:val="Hyperlink"/>
                  <w:i/>
                  <w:iCs/>
                  <w:szCs w:val="24"/>
                </w:rPr>
                <w:t>C18/11</w:t>
              </w:r>
            </w:hyperlink>
          </w:p>
        </w:tc>
      </w:tr>
    </w:tbl>
    <w:p w:rsidR="00FD2498" w:rsidRPr="00A30FC3" w:rsidRDefault="00FD2498" w:rsidP="00ED3D26">
      <w:pPr>
        <w:spacing w:before="360"/>
      </w:pPr>
      <w:r w:rsidRPr="00A30FC3">
        <w:t>1</w:t>
      </w:r>
      <w:r w:rsidRPr="00A30FC3">
        <w:tab/>
        <w:t>A sa session de 2012, le Conseil a approuvé les modifications à apporter à la Décision 482 relatives à l</w:t>
      </w:r>
      <w:r w:rsidR="00ED3D26">
        <w:t>'</w:t>
      </w:r>
      <w:r w:rsidRPr="00A30FC3">
        <w:t xml:space="preserve">exonération de tout droit pour les soumissions au titre des points 3 et 4 du </w:t>
      </w:r>
      <w:r w:rsidRPr="00A30F11">
        <w:rPr>
          <w:i/>
          <w:iCs/>
        </w:rPr>
        <w:t>décide</w:t>
      </w:r>
      <w:r w:rsidRPr="00A30FC3">
        <w:t xml:space="preserve"> de la Résolution 555 (CMR-12) et dont la date d</w:t>
      </w:r>
      <w:r w:rsidR="00ED3D26">
        <w:t>'</w:t>
      </w:r>
      <w:r w:rsidRPr="00A30FC3">
        <w:t>entrée en vigueur était fixée au 14 juillet 2012. Par la suite</w:t>
      </w:r>
      <w:r w:rsidR="00ED3D26">
        <w:t xml:space="preserve">, </w:t>
      </w:r>
      <w:r w:rsidRPr="00A30FC3">
        <w:t>le Conseil</w:t>
      </w:r>
      <w:r w:rsidR="00ED3D26" w:rsidRPr="00A30FC3">
        <w:t xml:space="preserve">, à sa session de 2013, </w:t>
      </w:r>
      <w:r w:rsidRPr="00A30FC3">
        <w:t xml:space="preserve">a approuvé une modification de la mise en </w:t>
      </w:r>
      <w:proofErr w:type="spellStart"/>
      <w:r>
        <w:t>oeu</w:t>
      </w:r>
      <w:r w:rsidRPr="00A30FC3">
        <w:t>vre</w:t>
      </w:r>
      <w:proofErr w:type="spellEnd"/>
      <w:r w:rsidRPr="00A30FC3">
        <w:t xml:space="preserve"> du recouvrement des coûts pour les cas de regroupement d</w:t>
      </w:r>
      <w:r w:rsidR="00ED3D26">
        <w:t>'</w:t>
      </w:r>
      <w:r w:rsidRPr="00A30FC3">
        <w:t>assignations de fréquence de différents réseaux OSG dans le Fichier de référence international des fréquences</w:t>
      </w:r>
      <w:r w:rsidR="00ED3D26">
        <w:t>,</w:t>
      </w:r>
      <w:r w:rsidRPr="00A30FC3">
        <w:t xml:space="preserve"> qui ont été soumis par une administration (ou une administration agissant au nom d</w:t>
      </w:r>
      <w:r w:rsidR="00ED3D26">
        <w:t>'</w:t>
      </w:r>
      <w:r w:rsidRPr="00A30FC3">
        <w:t>un groupe d</w:t>
      </w:r>
      <w:r w:rsidR="00ED3D26">
        <w:t>'</w:t>
      </w:r>
      <w:r w:rsidRPr="00A30FC3">
        <w:t xml:space="preserve">administrations nommément désignées). </w:t>
      </w:r>
      <w:r w:rsidR="00167AB2">
        <w:t>Le Conseil à</w:t>
      </w:r>
      <w:r w:rsidR="00ED3D26">
        <w:t xml:space="preserve"> sa session de 2017 a approuvé d</w:t>
      </w:r>
      <w:r w:rsidR="00167AB2">
        <w:t>es modific</w:t>
      </w:r>
      <w:r w:rsidR="00ED3D26">
        <w:t>ations résultant de la décision</w:t>
      </w:r>
      <w:r w:rsidR="00167AB2">
        <w:t xml:space="preserve"> de la</w:t>
      </w:r>
      <w:r w:rsidR="00ED3D26">
        <w:t xml:space="preserve"> </w:t>
      </w:r>
      <w:r w:rsidR="00B5711C" w:rsidRPr="00783580">
        <w:t>CMR-15</w:t>
      </w:r>
      <w:r w:rsidR="00ED3D26">
        <w:t xml:space="preserve"> </w:t>
      </w:r>
      <w:r w:rsidR="00167AB2">
        <w:t>visant à modifier</w:t>
      </w:r>
      <w:r w:rsidR="00B5711C" w:rsidRPr="00783580">
        <w:t xml:space="preserve"> la Section </w:t>
      </w:r>
      <w:r w:rsidR="00ED3D26" w:rsidRPr="00551620">
        <w:t>I</w:t>
      </w:r>
      <w:r w:rsidR="00B5711C" w:rsidRPr="00783580">
        <w:t xml:space="preserve"> de l</w:t>
      </w:r>
      <w:r w:rsidR="00ED3D26">
        <w:t>'</w:t>
      </w:r>
      <w:r w:rsidR="00B5711C" w:rsidRPr="00783580">
        <w:t xml:space="preserve">Article 9 du Règlement des radiocommunications relative à la </w:t>
      </w:r>
      <w:r w:rsidR="00B5711C" w:rsidRPr="00783580">
        <w:rPr>
          <w:color w:val="000000"/>
        </w:rPr>
        <w:t>publication anticipée des renseignements concernant les réseaux à satellite ou les systèmes à satellites,</w:t>
      </w:r>
      <w:r w:rsidR="00ED3D26">
        <w:rPr>
          <w:color w:val="000000"/>
        </w:rPr>
        <w:t xml:space="preserve"> </w:t>
      </w:r>
      <w:r w:rsidR="00167AB2">
        <w:rPr>
          <w:color w:val="000000"/>
        </w:rPr>
        <w:t>tout en notant que</w:t>
      </w:r>
      <w:r w:rsidR="00B5711C">
        <w:rPr>
          <w:color w:val="000000"/>
        </w:rPr>
        <w:t xml:space="preserve"> </w:t>
      </w:r>
      <w:r w:rsidR="00167AB2">
        <w:rPr>
          <w:color w:val="000000"/>
        </w:rPr>
        <w:t>l</w:t>
      </w:r>
      <w:r w:rsidR="00ED3D26">
        <w:rPr>
          <w:color w:val="000000"/>
        </w:rPr>
        <w:t xml:space="preserve">a décision de la </w:t>
      </w:r>
      <w:r w:rsidR="00B5711C" w:rsidRPr="00783580">
        <w:rPr>
          <w:color w:val="000000"/>
        </w:rPr>
        <w:t>CMR-15 n</w:t>
      </w:r>
      <w:r w:rsidR="00ED3D26">
        <w:rPr>
          <w:color w:val="000000"/>
        </w:rPr>
        <w:t>'</w:t>
      </w:r>
      <w:r w:rsidR="00B5711C" w:rsidRPr="00783580">
        <w:rPr>
          <w:color w:val="000000"/>
        </w:rPr>
        <w:t>a pas d</w:t>
      </w:r>
      <w:r w:rsidR="00ED3D26">
        <w:rPr>
          <w:color w:val="000000"/>
        </w:rPr>
        <w:t>'</w:t>
      </w:r>
      <w:r w:rsidR="00B5711C" w:rsidRPr="00783580">
        <w:rPr>
          <w:color w:val="000000"/>
        </w:rPr>
        <w:t>incidences financières sur la Décision 482.</w:t>
      </w:r>
      <w:r w:rsidR="00167AB2">
        <w:t xml:space="preserve"> </w:t>
      </w:r>
      <w:r w:rsidRPr="00A30FC3">
        <w:t>La Décision 482 (modifiée en</w:t>
      </w:r>
      <w:r w:rsidR="00FD2DB0">
        <w:t xml:space="preserve"> </w:t>
      </w:r>
      <w:r w:rsidR="00B5711C">
        <w:t>2017</w:t>
      </w:r>
      <w:r w:rsidRPr="00A30FC3">
        <w:t xml:space="preserve">) est entrée en vigueur </w:t>
      </w:r>
      <w:r w:rsidR="00167AB2">
        <w:t>le</w:t>
      </w:r>
      <w:r w:rsidR="00ED3D26">
        <w:t xml:space="preserve"> </w:t>
      </w:r>
      <w:r w:rsidRPr="00A30FC3">
        <w:t>1er juillet </w:t>
      </w:r>
      <w:r w:rsidR="00B5711C">
        <w:t>2017</w:t>
      </w:r>
      <w:r w:rsidRPr="00A30FC3">
        <w:t>.</w:t>
      </w:r>
    </w:p>
    <w:p w:rsidR="00FD2498" w:rsidRPr="00A30FC3" w:rsidRDefault="00FD2498" w:rsidP="00ED3D2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</w:pPr>
      <w:r w:rsidRPr="00A30FC3">
        <w:t>2</w:t>
      </w:r>
      <w:r w:rsidRPr="00A30FC3">
        <w:tab/>
        <w:t xml:space="preserve">Le Tableau 1 ci-après donne </w:t>
      </w:r>
      <w:r w:rsidR="00ED3D26">
        <w:t>des renseignements concernant l'application de la Décision </w:t>
      </w:r>
      <w:r w:rsidRPr="00A30FC3">
        <w:t xml:space="preserve">482 pour </w:t>
      </w:r>
      <w:r w:rsidR="00B5711C">
        <w:t>2016</w:t>
      </w:r>
      <w:r w:rsidRPr="00A30FC3">
        <w:t xml:space="preserve"> et</w:t>
      </w:r>
      <w:r w:rsidR="00ED3D26">
        <w:t xml:space="preserve"> </w:t>
      </w:r>
      <w:r w:rsidR="00B5711C">
        <w:t>2017</w:t>
      </w:r>
      <w:r w:rsidRPr="00A30FC3">
        <w:t>, en particulier le pourcentage de factures établies en 201</w:t>
      </w:r>
      <w:r>
        <w:t>6</w:t>
      </w:r>
      <w:r w:rsidR="00B5711C">
        <w:t>/2017</w:t>
      </w:r>
      <w:r w:rsidRPr="00A30FC3">
        <w:t xml:space="preserve"> qui ont été payées en temps voulu. Ce pourcentage est</w:t>
      </w:r>
      <w:r w:rsidR="00ED3D26">
        <w:t xml:space="preserve"> </w:t>
      </w:r>
      <w:r w:rsidR="00167AB2">
        <w:t>supérieur à</w:t>
      </w:r>
      <w:r w:rsidR="00ED3D26">
        <w:t xml:space="preserve"> </w:t>
      </w:r>
      <w:r w:rsidRPr="00A30FC3">
        <w:t>99%.</w:t>
      </w:r>
    </w:p>
    <w:p w:rsidR="00FD2498" w:rsidRPr="00A30FC3" w:rsidRDefault="00FD2498" w:rsidP="00ED3D26">
      <w:pPr>
        <w:pStyle w:val="TableNo"/>
      </w:pPr>
      <w:r w:rsidRPr="00A30FC3">
        <w:lastRenderedPageBreak/>
        <w:t>Tableau 1</w:t>
      </w:r>
    </w:p>
    <w:p w:rsidR="00FD2498" w:rsidRPr="00A30FC3" w:rsidRDefault="00FD2498" w:rsidP="00ED3D26">
      <w:pPr>
        <w:pStyle w:val="Tabletitle"/>
      </w:pPr>
      <w:r w:rsidRPr="00A30FC3">
        <w:t xml:space="preserve">Situation en ce qui concerne la mise en </w:t>
      </w:r>
      <w:proofErr w:type="spellStart"/>
      <w:r>
        <w:t>oeu</w:t>
      </w:r>
      <w:r w:rsidRPr="00A30FC3">
        <w:t>vre</w:t>
      </w:r>
      <w:proofErr w:type="spellEnd"/>
      <w:r w:rsidRPr="00A30FC3">
        <w:t xml:space="preserve"> de la Décision 482 pour </w:t>
      </w:r>
      <w:r w:rsidR="007271B5">
        <w:t>2016-2017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900"/>
        <w:gridCol w:w="2160"/>
        <w:gridCol w:w="1980"/>
      </w:tblGrid>
      <w:tr w:rsidR="00B5711C" w:rsidRPr="00A30FC3" w:rsidTr="003B67ED">
        <w:trPr>
          <w:jc w:val="center"/>
        </w:trPr>
        <w:tc>
          <w:tcPr>
            <w:tcW w:w="2880" w:type="dxa"/>
          </w:tcPr>
          <w:p w:rsidR="00B5711C" w:rsidRPr="00A30FC3" w:rsidRDefault="00B5711C" w:rsidP="00ED3D26">
            <w:pPr>
              <w:pStyle w:val="Tablehead"/>
            </w:pPr>
          </w:p>
        </w:tc>
        <w:tc>
          <w:tcPr>
            <w:tcW w:w="900" w:type="dxa"/>
          </w:tcPr>
          <w:p w:rsidR="00B5711C" w:rsidRPr="00A30FC3" w:rsidRDefault="00B5711C" w:rsidP="00ED3D26">
            <w:pPr>
              <w:pStyle w:val="Tablehead"/>
            </w:pPr>
          </w:p>
        </w:tc>
        <w:tc>
          <w:tcPr>
            <w:tcW w:w="2160" w:type="dxa"/>
          </w:tcPr>
          <w:p w:rsidR="00B5711C" w:rsidRPr="00AC0342" w:rsidRDefault="00B5711C" w:rsidP="00ED3D26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b/>
                <w:sz w:val="22"/>
                <w:szCs w:val="22"/>
              </w:rPr>
            </w:pPr>
            <w:r w:rsidRPr="00AC0342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:rsidR="00B5711C" w:rsidRPr="00AC0342" w:rsidRDefault="00B5711C" w:rsidP="00ED3D26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b/>
                <w:sz w:val="22"/>
                <w:szCs w:val="22"/>
              </w:rPr>
            </w:pPr>
            <w:r w:rsidRPr="00AC0342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7</w:t>
            </w:r>
          </w:p>
        </w:tc>
      </w:tr>
      <w:tr w:rsidR="00B5711C" w:rsidRPr="00A30FC3" w:rsidTr="003B67ED">
        <w:trPr>
          <w:jc w:val="center"/>
        </w:trPr>
        <w:tc>
          <w:tcPr>
            <w:tcW w:w="2880" w:type="dxa"/>
            <w:vAlign w:val="center"/>
          </w:tcPr>
          <w:p w:rsidR="00B5711C" w:rsidRPr="00A30FC3" w:rsidRDefault="00B5711C" w:rsidP="00ED3D26">
            <w:pPr>
              <w:pStyle w:val="Tabletext"/>
              <w:spacing w:before="40" w:after="40"/>
            </w:pPr>
            <w:r w:rsidRPr="00A30FC3">
              <w:t>Total des factures établies*</w:t>
            </w:r>
            <w:r w:rsidRPr="00A30FC3">
              <w:br/>
              <w:t>(y compris les franchises)</w:t>
            </w:r>
          </w:p>
        </w:tc>
        <w:tc>
          <w:tcPr>
            <w:tcW w:w="900" w:type="dxa"/>
            <w:vAlign w:val="center"/>
          </w:tcPr>
          <w:p w:rsidR="00B5711C" w:rsidRPr="00A30FC3" w:rsidRDefault="00B5711C" w:rsidP="00ED3D26">
            <w:pPr>
              <w:pStyle w:val="Tabletext"/>
              <w:spacing w:before="40" w:after="40"/>
              <w:jc w:val="center"/>
            </w:pPr>
            <w:r w:rsidRPr="00A30FC3">
              <w:t>CHF</w:t>
            </w:r>
          </w:p>
        </w:tc>
        <w:tc>
          <w:tcPr>
            <w:tcW w:w="2160" w:type="dxa"/>
          </w:tcPr>
          <w:p w:rsidR="00B5711C" w:rsidRPr="00574FF5" w:rsidRDefault="00B5711C" w:rsidP="00ED3D26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AC03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7 688 111</w:t>
            </w:r>
          </w:p>
        </w:tc>
        <w:tc>
          <w:tcPr>
            <w:tcW w:w="1980" w:type="dxa"/>
          </w:tcPr>
          <w:p w:rsidR="00B5711C" w:rsidRPr="00AD337C" w:rsidRDefault="00B5711C" w:rsidP="00ED3D26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18 865 </w:t>
            </w:r>
            <w:r w:rsidRPr="00AD337C">
              <w:rPr>
                <w:sz w:val="22"/>
                <w:szCs w:val="22"/>
              </w:rPr>
              <w:t>668</w:t>
            </w:r>
          </w:p>
        </w:tc>
      </w:tr>
      <w:tr w:rsidR="00B5711C" w:rsidRPr="00A30FC3" w:rsidTr="003B67ED">
        <w:trPr>
          <w:jc w:val="center"/>
        </w:trPr>
        <w:tc>
          <w:tcPr>
            <w:tcW w:w="2880" w:type="dxa"/>
            <w:vAlign w:val="center"/>
          </w:tcPr>
          <w:p w:rsidR="00B5711C" w:rsidRPr="00A30FC3" w:rsidRDefault="00B5711C" w:rsidP="00ED3D26">
            <w:pPr>
              <w:pStyle w:val="Tabletext"/>
              <w:spacing w:before="40" w:after="40"/>
            </w:pPr>
            <w:r w:rsidRPr="00A30FC3">
              <w:t>Franchise</w:t>
            </w:r>
          </w:p>
        </w:tc>
        <w:tc>
          <w:tcPr>
            <w:tcW w:w="900" w:type="dxa"/>
            <w:vAlign w:val="center"/>
          </w:tcPr>
          <w:p w:rsidR="00B5711C" w:rsidRPr="00A30FC3" w:rsidRDefault="00B5711C" w:rsidP="00ED3D26">
            <w:pPr>
              <w:pStyle w:val="Tabletext"/>
              <w:spacing w:before="40" w:after="40"/>
              <w:jc w:val="center"/>
            </w:pPr>
            <w:r w:rsidRPr="00A30FC3">
              <w:t>CHF</w:t>
            </w:r>
          </w:p>
        </w:tc>
        <w:tc>
          <w:tcPr>
            <w:tcW w:w="2160" w:type="dxa"/>
          </w:tcPr>
          <w:p w:rsidR="00B5711C" w:rsidRPr="00574FF5" w:rsidRDefault="00B5711C" w:rsidP="00ED3D26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1 613 935</w:t>
            </w:r>
          </w:p>
        </w:tc>
        <w:tc>
          <w:tcPr>
            <w:tcW w:w="1980" w:type="dxa"/>
          </w:tcPr>
          <w:p w:rsidR="00B5711C" w:rsidRPr="00AD337C" w:rsidRDefault="00B5711C" w:rsidP="00ED3D2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D337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D337C">
              <w:rPr>
                <w:sz w:val="22"/>
                <w:szCs w:val="22"/>
              </w:rPr>
              <w:t>637</w:t>
            </w:r>
            <w:r>
              <w:rPr>
                <w:sz w:val="22"/>
                <w:szCs w:val="22"/>
              </w:rPr>
              <w:t xml:space="preserve"> </w:t>
            </w:r>
            <w:r w:rsidRPr="00AD337C">
              <w:rPr>
                <w:sz w:val="22"/>
                <w:szCs w:val="22"/>
              </w:rPr>
              <w:t>826</w:t>
            </w:r>
          </w:p>
        </w:tc>
      </w:tr>
      <w:tr w:rsidR="00B5711C" w:rsidRPr="00A30FC3" w:rsidTr="003B67ED">
        <w:trPr>
          <w:jc w:val="center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B5711C" w:rsidRPr="00A30FC3" w:rsidRDefault="00B5711C" w:rsidP="00ED3D26">
            <w:pPr>
              <w:pStyle w:val="Tabletext"/>
              <w:spacing w:before="40" w:after="40"/>
            </w:pPr>
            <w:r w:rsidRPr="00A30FC3">
              <w:t>Paiements reçus**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5711C" w:rsidRPr="00A30FC3" w:rsidRDefault="00B5711C" w:rsidP="00ED3D26">
            <w:pPr>
              <w:pStyle w:val="Tabletext"/>
              <w:spacing w:before="40" w:after="40"/>
              <w:jc w:val="center"/>
            </w:pPr>
            <w:r w:rsidRPr="00A30FC3">
              <w:t>CHF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5711C" w:rsidRPr="00574FF5" w:rsidRDefault="00B5711C" w:rsidP="00ED3D26">
            <w:pPr>
              <w:keepNext/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AC03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4 844 </w:t>
            </w:r>
            <w:r w:rsidRPr="00AC0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5711C" w:rsidRPr="00AD337C" w:rsidRDefault="00B5711C" w:rsidP="00ED3D26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  <w:r w:rsidRPr="00AD337C">
              <w:rPr>
                <w:sz w:val="22"/>
                <w:szCs w:val="22"/>
              </w:rPr>
              <w:t>559</w:t>
            </w:r>
            <w:r>
              <w:rPr>
                <w:sz w:val="22"/>
                <w:szCs w:val="22"/>
              </w:rPr>
              <w:t xml:space="preserve"> </w:t>
            </w:r>
            <w:r w:rsidRPr="00AD337C">
              <w:rPr>
                <w:sz w:val="22"/>
                <w:szCs w:val="22"/>
              </w:rPr>
              <w:t>424</w:t>
            </w:r>
          </w:p>
        </w:tc>
      </w:tr>
      <w:tr w:rsidR="00FD2498" w:rsidRPr="00A30FC3" w:rsidTr="003B67ED">
        <w:trPr>
          <w:jc w:val="center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2498" w:rsidRPr="00A30FC3" w:rsidRDefault="00FD2498" w:rsidP="00ED3D26">
            <w:pPr>
              <w:pStyle w:val="Tabletext"/>
              <w:spacing w:before="40" w:after="40"/>
            </w:pPr>
            <w:r w:rsidRPr="00A30FC3">
              <w:t xml:space="preserve">Pourcentage de factures établies en </w:t>
            </w:r>
            <w:r w:rsidR="007271B5">
              <w:t>2016/2017</w:t>
            </w:r>
            <w:r>
              <w:t xml:space="preserve"> exigibles au 31/</w:t>
            </w:r>
            <w:r w:rsidRPr="00A30FC3">
              <w:t>12</w:t>
            </w:r>
            <w:r>
              <w:t>/</w:t>
            </w:r>
            <w:r w:rsidRPr="00A30FC3">
              <w:t>201</w:t>
            </w:r>
            <w:r w:rsidR="007271B5">
              <w:t>7</w:t>
            </w:r>
            <w:r w:rsidRPr="00A30FC3">
              <w:t xml:space="preserve"> </w:t>
            </w:r>
            <w:r w:rsidR="00ED3D26">
              <w:t xml:space="preserve">et </w:t>
            </w:r>
            <w:r w:rsidRPr="00A30FC3">
              <w:t>qui ont été payées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498" w:rsidRPr="00A30FC3" w:rsidRDefault="00B5711C" w:rsidP="00ED3D26">
            <w:pPr>
              <w:pStyle w:val="Tabletext"/>
              <w:spacing w:before="40" w:after="40"/>
              <w:jc w:val="center"/>
            </w:pPr>
            <w:r>
              <w:t xml:space="preserve">&gt; </w:t>
            </w:r>
            <w:r w:rsidR="00FD2498" w:rsidRPr="00A30FC3">
              <w:t>99%</w:t>
            </w:r>
          </w:p>
        </w:tc>
      </w:tr>
      <w:tr w:rsidR="00FD2498" w:rsidRPr="00A30FC3" w:rsidTr="003B67ED">
        <w:trPr>
          <w:jc w:val="center"/>
        </w:trPr>
        <w:tc>
          <w:tcPr>
            <w:tcW w:w="79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498" w:rsidRPr="00A30FC3" w:rsidRDefault="00FD2498" w:rsidP="0062072C">
            <w:pPr>
              <w:tabs>
                <w:tab w:val="clear" w:pos="567"/>
                <w:tab w:val="left" w:pos="309"/>
              </w:tabs>
              <w:spacing w:before="80" w:after="80"/>
              <w:ind w:left="306" w:hanging="306"/>
              <w:rPr>
                <w:rFonts w:eastAsia="SimSun"/>
                <w:i/>
                <w:iCs/>
                <w:sz w:val="20"/>
                <w:lang w:eastAsia="zh-CN"/>
              </w:rPr>
            </w:pPr>
            <w:r w:rsidRPr="00A30FC3">
              <w:rPr>
                <w:sz w:val="20"/>
              </w:rPr>
              <w:t>*</w:t>
            </w:r>
            <w:r w:rsidRPr="00A30FC3">
              <w:rPr>
                <w:sz w:val="20"/>
              </w:rPr>
              <w:tab/>
            </w:r>
            <w:r w:rsidRPr="00A30FC3">
              <w:rPr>
                <w:rFonts w:eastAsia="SimSun"/>
                <w:i/>
                <w:iCs/>
                <w:sz w:val="20"/>
                <w:lang w:eastAsia="zh-CN"/>
              </w:rPr>
              <w:t>99% des factures ont été payées en temps voulu. A partir de la date d</w:t>
            </w:r>
            <w:r w:rsidR="00ED3D26">
              <w:rPr>
                <w:rFonts w:eastAsia="SimSun"/>
                <w:i/>
                <w:iCs/>
                <w:sz w:val="20"/>
                <w:lang w:eastAsia="zh-CN"/>
              </w:rPr>
              <w:t>'</w:t>
            </w:r>
            <w:r w:rsidRPr="00A30FC3">
              <w:rPr>
                <w:rFonts w:eastAsia="SimSun"/>
                <w:i/>
                <w:iCs/>
                <w:sz w:val="20"/>
                <w:lang w:eastAsia="zh-CN"/>
              </w:rPr>
              <w:t>émission des factures, 6 mois sont accordés pour le paiement.</w:t>
            </w:r>
          </w:p>
          <w:p w:rsidR="00FD2498" w:rsidRPr="00A30FC3" w:rsidRDefault="00FD2498" w:rsidP="0062072C">
            <w:pPr>
              <w:tabs>
                <w:tab w:val="clear" w:pos="567"/>
                <w:tab w:val="left" w:pos="309"/>
              </w:tabs>
              <w:spacing w:before="80" w:after="80"/>
              <w:ind w:left="306" w:hanging="306"/>
            </w:pPr>
            <w:r w:rsidRPr="00A30FC3">
              <w:rPr>
                <w:rFonts w:eastAsia="SimSun"/>
                <w:i/>
                <w:iCs/>
                <w:sz w:val="20"/>
                <w:lang w:eastAsia="zh-CN"/>
              </w:rPr>
              <w:t>**</w:t>
            </w:r>
            <w:r w:rsidRPr="00A30FC3">
              <w:rPr>
                <w:rFonts w:eastAsia="SimSun"/>
                <w:i/>
                <w:iCs/>
                <w:sz w:val="20"/>
                <w:lang w:eastAsia="zh-CN"/>
              </w:rPr>
              <w:tab/>
              <w:t>Les paiements reçus couvrent les factures qui ont été établies les années précédentes.</w:t>
            </w:r>
          </w:p>
        </w:tc>
      </w:tr>
    </w:tbl>
    <w:p w:rsidR="00FD2498" w:rsidRPr="00A30FC3" w:rsidRDefault="00FD2498" w:rsidP="00ED3D2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360" w:after="120"/>
        <w:rPr>
          <w:b/>
          <w:bCs/>
        </w:rPr>
      </w:pPr>
      <w:r w:rsidRPr="00A30FC3">
        <w:rPr>
          <w:rFonts w:eastAsia="SimSun"/>
          <w:bCs/>
          <w:lang w:eastAsia="zh-CN"/>
        </w:rPr>
        <w:t>3</w:t>
      </w:r>
      <w:r w:rsidRPr="00A30FC3">
        <w:rPr>
          <w:rFonts w:eastAsia="SimSun"/>
          <w:bCs/>
          <w:lang w:eastAsia="zh-CN"/>
        </w:rPr>
        <w:tab/>
      </w:r>
      <w:r w:rsidRPr="00A30FC3">
        <w:rPr>
          <w:bCs/>
        </w:rPr>
        <w:t>Un</w:t>
      </w:r>
      <w:r w:rsidRPr="00A30FC3">
        <w:t xml:space="preserve"> document distinct (</w:t>
      </w:r>
      <w:hyperlink r:id="rId12" w:history="1">
        <w:r w:rsidRPr="003A415E">
          <w:rPr>
            <w:rStyle w:val="Hyperlink"/>
            <w:rFonts w:asciiTheme="minorHAnsi" w:eastAsia="SimSun" w:hAnsiTheme="minorHAnsi"/>
            <w:color w:val="auto"/>
            <w:szCs w:val="24"/>
            <w:u w:val="none"/>
            <w:lang w:eastAsia="zh-CN"/>
          </w:rPr>
          <w:t xml:space="preserve">Document </w:t>
        </w:r>
        <w:r w:rsidRPr="00D10CD7">
          <w:rPr>
            <w:rStyle w:val="Hyperlink"/>
            <w:rFonts w:asciiTheme="minorHAnsi" w:eastAsia="SimSun" w:hAnsiTheme="minorHAnsi"/>
            <w:szCs w:val="24"/>
            <w:lang w:eastAsia="zh-CN"/>
          </w:rPr>
          <w:t>C1</w:t>
        </w:r>
        <w:r w:rsidR="007271B5">
          <w:rPr>
            <w:rStyle w:val="Hyperlink"/>
            <w:rFonts w:asciiTheme="minorHAnsi" w:eastAsia="SimSun" w:hAnsiTheme="minorHAnsi"/>
            <w:szCs w:val="24"/>
            <w:lang w:eastAsia="zh-CN"/>
          </w:rPr>
          <w:t>8</w:t>
        </w:r>
        <w:r w:rsidRPr="00D10CD7">
          <w:rPr>
            <w:rStyle w:val="Hyperlink"/>
            <w:rFonts w:asciiTheme="minorHAnsi" w:eastAsia="SimSun" w:hAnsiTheme="minorHAnsi"/>
            <w:szCs w:val="24"/>
            <w:lang w:eastAsia="zh-CN"/>
          </w:rPr>
          <w:t>/11</w:t>
        </w:r>
      </w:hyperlink>
      <w:r w:rsidRPr="00A30FC3">
        <w:rPr>
          <w:rFonts w:eastAsia="SimSun"/>
          <w:szCs w:val="24"/>
          <w:lang w:eastAsia="zh-CN"/>
        </w:rPr>
        <w:t>)</w:t>
      </w:r>
      <w:r w:rsidRPr="00A30FC3">
        <w:t xml:space="preserve"> donne des informations sur la situation des arriérés et des comptes spéciaux d</w:t>
      </w:r>
      <w:r w:rsidR="00ED3D26">
        <w:t>'</w:t>
      </w:r>
      <w:r w:rsidRPr="00A30FC3">
        <w:t>arriérés au 31 décembre 201</w:t>
      </w:r>
      <w:r w:rsidR="007271B5">
        <w:t>7</w:t>
      </w:r>
      <w:r w:rsidRPr="00A30FC3">
        <w:t>, sur les mesures prises pour obtenir le règlement des arriérés et comptes spéciaux d</w:t>
      </w:r>
      <w:r w:rsidR="00ED3D26">
        <w:t>'</w:t>
      </w:r>
      <w:r w:rsidRPr="00A30FC3">
        <w:t xml:space="preserve">arriérés ainsi que sur la mise en </w:t>
      </w:r>
      <w:proofErr w:type="spellStart"/>
      <w:r>
        <w:t>oeu</w:t>
      </w:r>
      <w:r w:rsidRPr="00A30FC3">
        <w:t>vre</w:t>
      </w:r>
      <w:proofErr w:type="spellEnd"/>
      <w:r w:rsidRPr="00A30FC3">
        <w:t xml:space="preserve"> de la Résolution 41 (</w:t>
      </w:r>
      <w:proofErr w:type="spellStart"/>
      <w:r w:rsidRPr="00A30FC3">
        <w:t>Rév</w:t>
      </w:r>
      <w:proofErr w:type="spellEnd"/>
      <w:r w:rsidRPr="00A30FC3">
        <w:t>. Busan, 2014) de la Conférence de plénipotentiaires, qui couvre les notifications des réseaux à satellite, en application de la</w:t>
      </w:r>
      <w:r w:rsidRPr="00A30FC3">
        <w:rPr>
          <w:bCs/>
        </w:rPr>
        <w:t xml:space="preserve"> Décision 10 (Antalya, 2006) de la Conférence de plénipotentiaires et de la Décision 545 (session de 2007 du Conseil).</w:t>
      </w:r>
    </w:p>
    <w:p w:rsidR="00FD2498" w:rsidRDefault="00FD2498" w:rsidP="00ED3D2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</w:pPr>
      <w:r w:rsidRPr="00A30FC3">
        <w:rPr>
          <w:rFonts w:cs="Arial"/>
        </w:rPr>
        <w:t>4</w:t>
      </w:r>
      <w:r w:rsidRPr="00A30FC3">
        <w:rPr>
          <w:rFonts w:cs="Arial"/>
        </w:rPr>
        <w:tab/>
        <w:t xml:space="preserve">La mise en </w:t>
      </w:r>
      <w:proofErr w:type="spellStart"/>
      <w:r>
        <w:rPr>
          <w:rFonts w:cs="Arial"/>
        </w:rPr>
        <w:t>oeu</w:t>
      </w:r>
      <w:r w:rsidRPr="00A30FC3">
        <w:rPr>
          <w:rFonts w:cs="Arial"/>
        </w:rPr>
        <w:t>vre</w:t>
      </w:r>
      <w:proofErr w:type="spellEnd"/>
      <w:r w:rsidRPr="00A30FC3">
        <w:rPr>
          <w:rFonts w:cs="Arial"/>
        </w:rPr>
        <w:t xml:space="preserve"> de la </w:t>
      </w:r>
      <w:r w:rsidRPr="00A30FC3">
        <w:t>Décision 482 (session de 2005 du Conseil) et, ultérieurement, de la Décision 482 (modifiée en 2012</w:t>
      </w:r>
      <w:r w:rsidR="00167AB2">
        <w:t>)</w:t>
      </w:r>
      <w:r w:rsidRPr="00A30FC3">
        <w:t>,</w:t>
      </w:r>
      <w:r w:rsidR="00167AB2" w:rsidRPr="00167AB2">
        <w:t xml:space="preserve"> </w:t>
      </w:r>
      <w:r w:rsidR="00167AB2" w:rsidRPr="00A30FC3">
        <w:t>de la Décision 482</w:t>
      </w:r>
      <w:r w:rsidR="00ED3D26">
        <w:t xml:space="preserve"> </w:t>
      </w:r>
      <w:r w:rsidR="00167AB2" w:rsidRPr="00A30FC3">
        <w:t xml:space="preserve">(modifiée en </w:t>
      </w:r>
      <w:r w:rsidRPr="00A30FC3">
        <w:t>2013)</w:t>
      </w:r>
      <w:r w:rsidR="00167AB2" w:rsidRPr="00167AB2">
        <w:t xml:space="preserve"> </w:t>
      </w:r>
      <w:r w:rsidR="00167AB2" w:rsidRPr="00A30FC3">
        <w:t>et</w:t>
      </w:r>
      <w:r w:rsidR="00167AB2">
        <w:t xml:space="preserve"> </w:t>
      </w:r>
      <w:r w:rsidR="00167AB2" w:rsidRPr="00A30FC3">
        <w:t>de la Décision 482 (modifiée en 201</w:t>
      </w:r>
      <w:r w:rsidR="00167AB2">
        <w:t>7)</w:t>
      </w:r>
      <w:r w:rsidR="00ED3D26">
        <w:t xml:space="preserve"> </w:t>
      </w:r>
      <w:r w:rsidRPr="00A30FC3">
        <w:t>par le Bureau des radiocommunications n</w:t>
      </w:r>
      <w:r w:rsidR="00ED3D26">
        <w:t>'</w:t>
      </w:r>
      <w:r w:rsidRPr="00A30FC3">
        <w:t>a soulevé aucune difficulté</w:t>
      </w:r>
      <w:r w:rsidR="00167AB2">
        <w:t xml:space="preserve"> d</w:t>
      </w:r>
      <w:r w:rsidR="00ED3D26">
        <w:t>'</w:t>
      </w:r>
      <w:r w:rsidR="00167AB2">
        <w:t>ordre administratif ou opérationnel,</w:t>
      </w:r>
      <w:r w:rsidR="00ED3D26">
        <w:t xml:space="preserve"> </w:t>
      </w:r>
      <w:r w:rsidRPr="00A30FC3">
        <w:t>aussi bien en interne qu</w:t>
      </w:r>
      <w:r w:rsidR="00ED3D26">
        <w:t>'</w:t>
      </w:r>
      <w:r w:rsidRPr="00A30FC3">
        <w:t xml:space="preserve">avec les administrations </w:t>
      </w:r>
      <w:r w:rsidR="007C2378">
        <w:t>présentant des fiches de notification de</w:t>
      </w:r>
      <w:r w:rsidR="00ED3D26">
        <w:t xml:space="preserve"> </w:t>
      </w:r>
      <w:r w:rsidRPr="00A30FC3">
        <w:t>réseaux à satellite.</w:t>
      </w:r>
    </w:p>
    <w:p w:rsidR="007271B5" w:rsidRPr="00A30FC3" w:rsidRDefault="007271B5" w:rsidP="00ED3D2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</w:pPr>
      <w:r>
        <w:t>5</w:t>
      </w:r>
      <w:r>
        <w:tab/>
      </w:r>
      <w:r w:rsidRPr="001D2C7C">
        <w:t>A sa session de 2017, le Conseil a chargé le Bureau des radio</w:t>
      </w:r>
      <w:r>
        <w:t>communications de soumettre une </w:t>
      </w:r>
      <w:r w:rsidRPr="001D2C7C">
        <w:t>étude relative aux questions techniques découlant du traitement des systèmes à satellites</w:t>
      </w:r>
      <w:r>
        <w:t xml:space="preserve"> non </w:t>
      </w:r>
      <w:r w:rsidRPr="001D2C7C">
        <w:t>géostationnaires (non OSG) complexes</w:t>
      </w:r>
      <w:r>
        <w:t xml:space="preserve">. </w:t>
      </w:r>
      <w:r w:rsidR="007C2378">
        <w:t>Cette étude fait l</w:t>
      </w:r>
      <w:r w:rsidR="00ED3D26">
        <w:t>'</w:t>
      </w:r>
      <w:r w:rsidR="007C2378">
        <w:t>objet du</w:t>
      </w:r>
      <w:r w:rsidR="00ED3D26">
        <w:t xml:space="preserve"> </w:t>
      </w:r>
      <w:r>
        <w:t xml:space="preserve">Document </w:t>
      </w:r>
      <w:hyperlink r:id="rId13" w:history="1">
        <w:r w:rsidRPr="009C7578">
          <w:rPr>
            <w:rStyle w:val="Hyperlink"/>
          </w:rPr>
          <w:t>C18/36</w:t>
        </w:r>
      </w:hyperlink>
      <w:r>
        <w:t>.</w:t>
      </w:r>
    </w:p>
    <w:p w:rsidR="00FD2498" w:rsidRDefault="007271B5" w:rsidP="00ED3D2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rFonts w:cs="Arial"/>
        </w:rPr>
      </w:pPr>
      <w:r>
        <w:t>6</w:t>
      </w:r>
      <w:r w:rsidR="00FD2498" w:rsidRPr="00A30FC3">
        <w:tab/>
      </w:r>
      <w:r w:rsidR="00FD2498" w:rsidRPr="00A30FC3">
        <w:rPr>
          <w:rFonts w:cs="Arial"/>
        </w:rPr>
        <w:t>Le Conseil est invité</w:t>
      </w:r>
      <w:r w:rsidR="00FD2498" w:rsidRPr="00A30FC3">
        <w:rPr>
          <w:rFonts w:cs="Arial"/>
          <w:b/>
          <w:bCs/>
        </w:rPr>
        <w:t xml:space="preserve"> à </w:t>
      </w:r>
      <w:r w:rsidR="00FD2498" w:rsidRPr="00A30FC3">
        <w:rPr>
          <w:b/>
          <w:bCs/>
        </w:rPr>
        <w:t>prendre</w:t>
      </w:r>
      <w:r w:rsidR="00FD2498" w:rsidRPr="00A30FC3">
        <w:rPr>
          <w:rFonts w:cs="Arial"/>
          <w:b/>
          <w:bCs/>
        </w:rPr>
        <w:t xml:space="preserve"> note</w:t>
      </w:r>
      <w:r w:rsidR="00FD2498" w:rsidRPr="00A30FC3">
        <w:rPr>
          <w:rFonts w:cs="Arial"/>
        </w:rPr>
        <w:t xml:space="preserve"> du présent rapport </w:t>
      </w:r>
      <w:r w:rsidR="007C2378">
        <w:rPr>
          <w:rFonts w:cs="Arial"/>
        </w:rPr>
        <w:t>d</w:t>
      </w:r>
      <w:r w:rsidR="00ED3D26">
        <w:rPr>
          <w:rFonts w:cs="Arial"/>
        </w:rPr>
        <w:t>'</w:t>
      </w:r>
      <w:r w:rsidR="007C2378">
        <w:rPr>
          <w:rFonts w:cs="Arial"/>
        </w:rPr>
        <w:t xml:space="preserve">activité </w:t>
      </w:r>
      <w:r w:rsidR="00FD2498" w:rsidRPr="00A30FC3">
        <w:rPr>
          <w:rFonts w:cs="Arial"/>
        </w:rPr>
        <w:t xml:space="preserve">concernant la mise en </w:t>
      </w:r>
      <w:proofErr w:type="spellStart"/>
      <w:r w:rsidR="00FD2498">
        <w:rPr>
          <w:rFonts w:cs="Arial"/>
        </w:rPr>
        <w:t>oeu</w:t>
      </w:r>
      <w:r w:rsidR="00FD2498" w:rsidRPr="00A30FC3">
        <w:rPr>
          <w:rFonts w:cs="Arial"/>
        </w:rPr>
        <w:t>vre</w:t>
      </w:r>
      <w:proofErr w:type="spellEnd"/>
      <w:r w:rsidR="00FD2498" w:rsidRPr="00A30FC3">
        <w:rPr>
          <w:rFonts w:cs="Arial"/>
        </w:rPr>
        <w:t xml:space="preserve"> du recouvrement des coûts pour </w:t>
      </w:r>
      <w:r w:rsidR="00ED3D26">
        <w:rPr>
          <w:rFonts w:cs="Arial"/>
        </w:rPr>
        <w:t>le traitement des</w:t>
      </w:r>
      <w:r w:rsidR="00FD2498" w:rsidRPr="00A30FC3">
        <w:rPr>
          <w:rFonts w:cs="Arial"/>
        </w:rPr>
        <w:t xml:space="preserve"> fiches de notification des réseaux à satellite.</w:t>
      </w:r>
    </w:p>
    <w:p w:rsidR="00ED3D26" w:rsidRDefault="00ED3D26" w:rsidP="0032202E">
      <w:pPr>
        <w:pStyle w:val="Reasons"/>
      </w:pPr>
    </w:p>
    <w:p w:rsidR="00ED3D26" w:rsidRPr="00ED3D26" w:rsidRDefault="00ED3D26" w:rsidP="00ED3D26">
      <w:pPr>
        <w:jc w:val="center"/>
        <w:rPr>
          <w:rFonts w:cs="Arial"/>
        </w:rPr>
      </w:pPr>
      <w:r>
        <w:t>______________</w:t>
      </w:r>
    </w:p>
    <w:sectPr w:rsidR="00ED3D26" w:rsidRPr="00ED3D26" w:rsidSect="005C3890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98" w:rsidRDefault="00FD2498">
      <w:r>
        <w:separator/>
      </w:r>
    </w:p>
  </w:endnote>
  <w:endnote w:type="continuationSeparator" w:id="0">
    <w:p w:rsidR="00FD2498" w:rsidRDefault="00FD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D57253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FD2498">
      <w:t>Document1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>
      <w:t>13.02.18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FD2498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Pr="00D82A76" w:rsidRDefault="00D57253" w:rsidP="00D82A76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ED3D26">
      <w:t>P:\FRA\SG\CONSEIL\C18\000\016F.docx</w:t>
    </w:r>
    <w:r>
      <w:fldChar w:fldCharType="end"/>
    </w:r>
    <w:r w:rsidR="00D82A76">
      <w:t xml:space="preserve"> (425081)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98" w:rsidRDefault="00FD2498">
      <w:r>
        <w:t>____________________</w:t>
      </w:r>
    </w:p>
  </w:footnote>
  <w:footnote w:type="continuationSeparator" w:id="0">
    <w:p w:rsidR="00FD2498" w:rsidRDefault="00FD2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D57253">
      <w:rPr>
        <w:noProof/>
      </w:rPr>
      <w:t>2</w:t>
    </w:r>
    <w:r>
      <w:rPr>
        <w:noProof/>
      </w:rPr>
      <w:fldChar w:fldCharType="end"/>
    </w:r>
  </w:p>
  <w:p w:rsidR="00732045" w:rsidRDefault="00732045" w:rsidP="00D82A76">
    <w:pPr>
      <w:pStyle w:val="Header"/>
    </w:pPr>
    <w:r>
      <w:t>C1</w:t>
    </w:r>
    <w:r w:rsidR="003C3FAE">
      <w:t>8</w:t>
    </w:r>
    <w:r>
      <w:t>/</w:t>
    </w:r>
    <w:r w:rsidR="00D82A76">
      <w:t>16</w:t>
    </w:r>
    <w: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FDC9113-0E20-4262-B1CA-404BA0BFC747}"/>
    <w:docVar w:name="dgnword-eventsink" w:val="667332304"/>
  </w:docVars>
  <w:rsids>
    <w:rsidRoot w:val="00FD2498"/>
    <w:rsid w:val="000D0D0A"/>
    <w:rsid w:val="00103163"/>
    <w:rsid w:val="00115D93"/>
    <w:rsid w:val="001247A8"/>
    <w:rsid w:val="001378C0"/>
    <w:rsid w:val="00167AB2"/>
    <w:rsid w:val="0018694A"/>
    <w:rsid w:val="001A3287"/>
    <w:rsid w:val="001A6508"/>
    <w:rsid w:val="001D4C31"/>
    <w:rsid w:val="001E4D21"/>
    <w:rsid w:val="00207CD1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C3FAE"/>
    <w:rsid w:val="004038CB"/>
    <w:rsid w:val="0040546F"/>
    <w:rsid w:val="0042404A"/>
    <w:rsid w:val="0044618F"/>
    <w:rsid w:val="0046769A"/>
    <w:rsid w:val="00475FB3"/>
    <w:rsid w:val="004C37A9"/>
    <w:rsid w:val="004F259E"/>
    <w:rsid w:val="00511F1D"/>
    <w:rsid w:val="00520F36"/>
    <w:rsid w:val="00540615"/>
    <w:rsid w:val="00540A6D"/>
    <w:rsid w:val="00571EEA"/>
    <w:rsid w:val="00575417"/>
    <w:rsid w:val="005768E1"/>
    <w:rsid w:val="005B1938"/>
    <w:rsid w:val="005C3890"/>
    <w:rsid w:val="005F7BFE"/>
    <w:rsid w:val="00600017"/>
    <w:rsid w:val="0062072C"/>
    <w:rsid w:val="006235CA"/>
    <w:rsid w:val="006550B6"/>
    <w:rsid w:val="006643AB"/>
    <w:rsid w:val="007210CD"/>
    <w:rsid w:val="007271B5"/>
    <w:rsid w:val="00732045"/>
    <w:rsid w:val="007369DB"/>
    <w:rsid w:val="007956C2"/>
    <w:rsid w:val="007A187E"/>
    <w:rsid w:val="007C2378"/>
    <w:rsid w:val="007C72C2"/>
    <w:rsid w:val="007D4436"/>
    <w:rsid w:val="007F257A"/>
    <w:rsid w:val="007F3665"/>
    <w:rsid w:val="00800037"/>
    <w:rsid w:val="00861D73"/>
    <w:rsid w:val="008A4E87"/>
    <w:rsid w:val="008D76E6"/>
    <w:rsid w:val="0092392D"/>
    <w:rsid w:val="0093234A"/>
    <w:rsid w:val="009C307F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D24EC"/>
    <w:rsid w:val="00B309F9"/>
    <w:rsid w:val="00B32B60"/>
    <w:rsid w:val="00B5711C"/>
    <w:rsid w:val="00B61619"/>
    <w:rsid w:val="00BB4545"/>
    <w:rsid w:val="00BD5873"/>
    <w:rsid w:val="00C04BE3"/>
    <w:rsid w:val="00C25D29"/>
    <w:rsid w:val="00C27A7C"/>
    <w:rsid w:val="00CA08ED"/>
    <w:rsid w:val="00CF183B"/>
    <w:rsid w:val="00D375CD"/>
    <w:rsid w:val="00D553A2"/>
    <w:rsid w:val="00D57253"/>
    <w:rsid w:val="00D774D3"/>
    <w:rsid w:val="00D82A76"/>
    <w:rsid w:val="00D904E8"/>
    <w:rsid w:val="00DA08C3"/>
    <w:rsid w:val="00DB5A3E"/>
    <w:rsid w:val="00DC22AA"/>
    <w:rsid w:val="00DF74DD"/>
    <w:rsid w:val="00E25AD0"/>
    <w:rsid w:val="00E90908"/>
    <w:rsid w:val="00EB6350"/>
    <w:rsid w:val="00ED3D26"/>
    <w:rsid w:val="00F15B57"/>
    <w:rsid w:val="00F427DB"/>
    <w:rsid w:val="00F54E96"/>
    <w:rsid w:val="00F922BB"/>
    <w:rsid w:val="00FA5EB1"/>
    <w:rsid w:val="00FA7439"/>
    <w:rsid w:val="00FC4EC0"/>
    <w:rsid w:val="00FD2498"/>
    <w:rsid w:val="00FD2DB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7EA50E6-8D41-4BBB-82D3-26508DFB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7-CL-C-0135/fr" TargetMode="External"/><Relationship Id="rId13" Type="http://schemas.openxmlformats.org/officeDocument/2006/relationships/hyperlink" Target="https://www.itu.int/md/S18-CL-C-0036/fr" TargetMode="Externa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tu.int/council/Basic-Texts/ResDecRec-PP10-e.docx" TargetMode="External"/><Relationship Id="rId12" Type="http://schemas.openxmlformats.org/officeDocument/2006/relationships/hyperlink" Target="https://www.itu.int/md/S18-CL-C-0011/fr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tu.int/md/S18-CL-C-0011/fr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www.itu.int/md/S17-CL-C-0016/fr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itu.int/md/S17-CL-C-0011/fr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PF_C18.dotx</Template>
  <TotalTime>0</TotalTime>
  <Pages>2</Pages>
  <Words>672</Words>
  <Characters>3910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4573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oeuvre du recouvrement des coûts pour les fiches de notification des réseaux à satellite</dc:title>
  <dc:subject>Conseil 2018</dc:subject>
  <dc:creator>Gozel, Elsa</dc:creator>
  <cp:keywords>C2018, C18</cp:keywords>
  <dc:description/>
  <cp:lastModifiedBy>Janin</cp:lastModifiedBy>
  <cp:revision>2</cp:revision>
  <cp:lastPrinted>2000-07-18T08:55:00Z</cp:lastPrinted>
  <dcterms:created xsi:type="dcterms:W3CDTF">2018-02-16T08:21:00Z</dcterms:created>
  <dcterms:modified xsi:type="dcterms:W3CDTF">2018-02-16T08:21:00Z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