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3F7198">
        <w:trPr>
          <w:cantSplit/>
        </w:trPr>
        <w:tc>
          <w:tcPr>
            <w:tcW w:w="6912" w:type="dxa"/>
          </w:tcPr>
          <w:p w:rsidR="00093EEB" w:rsidRPr="003F7198" w:rsidRDefault="00093EEB" w:rsidP="009F4811">
            <w:pPr>
              <w:spacing w:before="360"/>
              <w:rPr>
                <w:szCs w:val="24"/>
              </w:rPr>
            </w:pPr>
            <w:bookmarkStart w:id="0" w:name="dc06"/>
            <w:bookmarkStart w:id="1" w:name="dbluepink" w:colFirst="0" w:colLast="0"/>
            <w:bookmarkEnd w:id="0"/>
            <w:r w:rsidRPr="003F7198">
              <w:rPr>
                <w:b/>
                <w:bCs/>
                <w:sz w:val="30"/>
                <w:szCs w:val="30"/>
              </w:rPr>
              <w:t>Consejo 201</w:t>
            </w:r>
            <w:r w:rsidR="009F4811" w:rsidRPr="003F7198">
              <w:rPr>
                <w:b/>
                <w:bCs/>
                <w:sz w:val="30"/>
                <w:szCs w:val="30"/>
              </w:rPr>
              <w:t>8</w:t>
            </w:r>
            <w:r w:rsidRPr="003F7198">
              <w:rPr>
                <w:b/>
                <w:bCs/>
                <w:sz w:val="26"/>
                <w:szCs w:val="26"/>
              </w:rPr>
              <w:br/>
            </w:r>
            <w:r w:rsidRPr="003F7198">
              <w:rPr>
                <w:b/>
                <w:bCs/>
                <w:szCs w:val="24"/>
              </w:rPr>
              <w:t>Ginebra, 1</w:t>
            </w:r>
            <w:r w:rsidR="009F4811" w:rsidRPr="003F7198">
              <w:rPr>
                <w:b/>
                <w:bCs/>
                <w:szCs w:val="24"/>
              </w:rPr>
              <w:t>7</w:t>
            </w:r>
            <w:r w:rsidRPr="003F7198">
              <w:rPr>
                <w:b/>
                <w:bCs/>
                <w:szCs w:val="24"/>
              </w:rPr>
              <w:t>-2</w:t>
            </w:r>
            <w:r w:rsidR="009F4811" w:rsidRPr="003F7198">
              <w:rPr>
                <w:b/>
                <w:bCs/>
                <w:szCs w:val="24"/>
              </w:rPr>
              <w:t>7</w:t>
            </w:r>
            <w:r w:rsidRPr="003F7198">
              <w:rPr>
                <w:b/>
                <w:bCs/>
                <w:szCs w:val="24"/>
              </w:rPr>
              <w:t xml:space="preserve"> de </w:t>
            </w:r>
            <w:r w:rsidR="009F4811" w:rsidRPr="003F7198">
              <w:rPr>
                <w:b/>
                <w:bCs/>
                <w:szCs w:val="24"/>
              </w:rPr>
              <w:t>abril</w:t>
            </w:r>
            <w:r w:rsidRPr="003F7198">
              <w:rPr>
                <w:b/>
                <w:bCs/>
                <w:szCs w:val="24"/>
              </w:rPr>
              <w:t xml:space="preserve"> de 201</w:t>
            </w:r>
            <w:r w:rsidR="009F4811" w:rsidRPr="003F7198">
              <w:rPr>
                <w:b/>
                <w:bCs/>
                <w:szCs w:val="24"/>
              </w:rPr>
              <w:t>8</w:t>
            </w:r>
          </w:p>
        </w:tc>
        <w:tc>
          <w:tcPr>
            <w:tcW w:w="3261" w:type="dxa"/>
          </w:tcPr>
          <w:p w:rsidR="00093EEB" w:rsidRPr="003F7198" w:rsidRDefault="00093EEB" w:rsidP="00093EEB">
            <w:pPr>
              <w:spacing w:before="0"/>
              <w:jc w:val="right"/>
              <w:rPr>
                <w:szCs w:val="24"/>
              </w:rPr>
            </w:pPr>
            <w:bookmarkStart w:id="2" w:name="ditulogo"/>
            <w:bookmarkEnd w:id="2"/>
            <w:r w:rsidRPr="003F7198">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3F7198">
        <w:trPr>
          <w:cantSplit/>
          <w:trHeight w:val="20"/>
        </w:trPr>
        <w:tc>
          <w:tcPr>
            <w:tcW w:w="10173" w:type="dxa"/>
            <w:gridSpan w:val="2"/>
            <w:tcBorders>
              <w:bottom w:val="single" w:sz="12" w:space="0" w:color="auto"/>
            </w:tcBorders>
          </w:tcPr>
          <w:p w:rsidR="00093EEB" w:rsidRPr="003F7198" w:rsidRDefault="00093EEB">
            <w:pPr>
              <w:spacing w:before="0"/>
              <w:rPr>
                <w:b/>
                <w:bCs/>
                <w:szCs w:val="24"/>
              </w:rPr>
            </w:pPr>
          </w:p>
        </w:tc>
      </w:tr>
      <w:tr w:rsidR="00093EEB" w:rsidRPr="003F7198">
        <w:trPr>
          <w:cantSplit/>
          <w:trHeight w:val="20"/>
        </w:trPr>
        <w:tc>
          <w:tcPr>
            <w:tcW w:w="6912" w:type="dxa"/>
            <w:tcBorders>
              <w:top w:val="single" w:sz="12" w:space="0" w:color="auto"/>
            </w:tcBorders>
          </w:tcPr>
          <w:p w:rsidR="00093EEB" w:rsidRPr="003F7198"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3F7198" w:rsidRDefault="00093EEB">
            <w:pPr>
              <w:spacing w:before="0"/>
              <w:rPr>
                <w:b/>
                <w:bCs/>
                <w:szCs w:val="24"/>
              </w:rPr>
            </w:pPr>
          </w:p>
        </w:tc>
      </w:tr>
      <w:tr w:rsidR="00093EEB" w:rsidRPr="003F7198">
        <w:trPr>
          <w:cantSplit/>
          <w:trHeight w:val="20"/>
        </w:trPr>
        <w:tc>
          <w:tcPr>
            <w:tcW w:w="6912" w:type="dxa"/>
            <w:shd w:val="clear" w:color="auto" w:fill="auto"/>
          </w:tcPr>
          <w:p w:rsidR="00093EEB" w:rsidRPr="003F7198" w:rsidRDefault="00F14720">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3F7198">
              <w:rPr>
                <w:b/>
              </w:rPr>
              <w:t>Punto del orden del día:</w:t>
            </w:r>
            <w:r w:rsidR="00F16CCA" w:rsidRPr="003F7198">
              <w:rPr>
                <w:b/>
              </w:rPr>
              <w:t xml:space="preserve"> PL 1.10</w:t>
            </w:r>
          </w:p>
        </w:tc>
        <w:tc>
          <w:tcPr>
            <w:tcW w:w="3261" w:type="dxa"/>
          </w:tcPr>
          <w:p w:rsidR="00093EEB" w:rsidRPr="003F7198" w:rsidRDefault="00093EEB" w:rsidP="00F16CCA">
            <w:pPr>
              <w:spacing w:before="0"/>
              <w:rPr>
                <w:b/>
                <w:bCs/>
                <w:szCs w:val="24"/>
              </w:rPr>
            </w:pPr>
            <w:r w:rsidRPr="003F7198">
              <w:rPr>
                <w:b/>
                <w:bCs/>
                <w:szCs w:val="24"/>
              </w:rPr>
              <w:t>Documento C1</w:t>
            </w:r>
            <w:r w:rsidR="009F4811" w:rsidRPr="003F7198">
              <w:rPr>
                <w:b/>
                <w:bCs/>
                <w:szCs w:val="24"/>
              </w:rPr>
              <w:t>8</w:t>
            </w:r>
            <w:r w:rsidRPr="003F7198">
              <w:rPr>
                <w:b/>
                <w:bCs/>
                <w:szCs w:val="24"/>
              </w:rPr>
              <w:t>/</w:t>
            </w:r>
            <w:r w:rsidR="00F16CCA" w:rsidRPr="003F7198">
              <w:rPr>
                <w:b/>
                <w:bCs/>
                <w:szCs w:val="24"/>
              </w:rPr>
              <w:t>13</w:t>
            </w:r>
            <w:r w:rsidRPr="003F7198">
              <w:rPr>
                <w:b/>
                <w:bCs/>
                <w:szCs w:val="24"/>
              </w:rPr>
              <w:t>-S</w:t>
            </w:r>
          </w:p>
        </w:tc>
      </w:tr>
      <w:tr w:rsidR="00093EEB" w:rsidRPr="003F7198">
        <w:trPr>
          <w:cantSplit/>
          <w:trHeight w:val="20"/>
        </w:trPr>
        <w:tc>
          <w:tcPr>
            <w:tcW w:w="6912" w:type="dxa"/>
            <w:shd w:val="clear" w:color="auto" w:fill="auto"/>
          </w:tcPr>
          <w:p w:rsidR="00093EEB" w:rsidRPr="003F7198"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3F7198" w:rsidRDefault="00F16CCA" w:rsidP="00F16CCA">
            <w:pPr>
              <w:spacing w:before="0"/>
              <w:rPr>
                <w:b/>
                <w:bCs/>
                <w:szCs w:val="24"/>
              </w:rPr>
            </w:pPr>
            <w:r w:rsidRPr="003F7198">
              <w:rPr>
                <w:b/>
                <w:bCs/>
                <w:szCs w:val="24"/>
              </w:rPr>
              <w:t xml:space="preserve">8 de marzo </w:t>
            </w:r>
            <w:r w:rsidR="00093EEB" w:rsidRPr="003F7198">
              <w:rPr>
                <w:b/>
                <w:bCs/>
                <w:szCs w:val="24"/>
              </w:rPr>
              <w:t>de 201</w:t>
            </w:r>
            <w:r w:rsidR="009F4811" w:rsidRPr="003F7198">
              <w:rPr>
                <w:b/>
                <w:bCs/>
                <w:szCs w:val="24"/>
              </w:rPr>
              <w:t>8</w:t>
            </w:r>
          </w:p>
        </w:tc>
      </w:tr>
      <w:tr w:rsidR="00093EEB" w:rsidRPr="003F7198">
        <w:trPr>
          <w:cantSplit/>
          <w:trHeight w:val="20"/>
        </w:trPr>
        <w:tc>
          <w:tcPr>
            <w:tcW w:w="6912" w:type="dxa"/>
            <w:shd w:val="clear" w:color="auto" w:fill="auto"/>
          </w:tcPr>
          <w:p w:rsidR="00093EEB" w:rsidRPr="003F7198" w:rsidRDefault="00093EEB">
            <w:pPr>
              <w:shd w:val="solid" w:color="FFFFFF" w:fill="FFFFFF"/>
              <w:spacing w:before="0"/>
              <w:rPr>
                <w:smallCaps/>
                <w:szCs w:val="24"/>
              </w:rPr>
            </w:pPr>
            <w:bookmarkStart w:id="6" w:name="dorlang" w:colFirst="1" w:colLast="1"/>
            <w:bookmarkEnd w:id="5"/>
          </w:p>
        </w:tc>
        <w:tc>
          <w:tcPr>
            <w:tcW w:w="3261" w:type="dxa"/>
          </w:tcPr>
          <w:p w:rsidR="00093EEB" w:rsidRPr="003F7198" w:rsidRDefault="00093EEB" w:rsidP="00093EEB">
            <w:pPr>
              <w:spacing w:before="0"/>
              <w:rPr>
                <w:b/>
                <w:bCs/>
                <w:szCs w:val="24"/>
              </w:rPr>
            </w:pPr>
            <w:r w:rsidRPr="003F7198">
              <w:rPr>
                <w:b/>
                <w:bCs/>
                <w:szCs w:val="24"/>
              </w:rPr>
              <w:t>Original: inglés</w:t>
            </w:r>
          </w:p>
        </w:tc>
      </w:tr>
      <w:tr w:rsidR="00093EEB" w:rsidRPr="003F7198">
        <w:trPr>
          <w:cantSplit/>
        </w:trPr>
        <w:tc>
          <w:tcPr>
            <w:tcW w:w="10173" w:type="dxa"/>
            <w:gridSpan w:val="2"/>
          </w:tcPr>
          <w:p w:rsidR="00093EEB" w:rsidRPr="003F7198" w:rsidRDefault="00F16CCA" w:rsidP="00F16CCA">
            <w:pPr>
              <w:pStyle w:val="Source"/>
            </w:pPr>
            <w:bookmarkStart w:id="7" w:name="dsource" w:colFirst="0" w:colLast="0"/>
            <w:bookmarkEnd w:id="1"/>
            <w:bookmarkEnd w:id="6"/>
            <w:r w:rsidRPr="003F7198">
              <w:t>Informe del Secretario General</w:t>
            </w:r>
          </w:p>
        </w:tc>
      </w:tr>
      <w:tr w:rsidR="00093EEB" w:rsidRPr="003F7198">
        <w:trPr>
          <w:cantSplit/>
        </w:trPr>
        <w:tc>
          <w:tcPr>
            <w:tcW w:w="10173" w:type="dxa"/>
            <w:gridSpan w:val="2"/>
          </w:tcPr>
          <w:p w:rsidR="00093EEB" w:rsidRPr="003F7198" w:rsidRDefault="00F16CCA" w:rsidP="00F16CCA">
            <w:pPr>
              <w:pStyle w:val="Title1"/>
            </w:pPr>
            <w:bookmarkStart w:id="8" w:name="dtitle1" w:colFirst="0" w:colLast="0"/>
            <w:bookmarkEnd w:id="7"/>
            <w:r w:rsidRPr="003F7198">
              <w:rPr>
                <w:szCs w:val="28"/>
              </w:rPr>
              <w:t>igualdad e integración de género (IIG) de la UIT</w:t>
            </w:r>
            <w:r w:rsidRPr="003F7198">
              <w:rPr>
                <w:szCs w:val="28"/>
              </w:rPr>
              <w:br/>
              <w:t xml:space="preserve">propuesta de plan de aplicación para </w:t>
            </w:r>
            <w:bookmarkStart w:id="9" w:name="_GoBack"/>
            <w:bookmarkEnd w:id="9"/>
            <w:r w:rsidRPr="003F7198">
              <w:rPr>
                <w:szCs w:val="28"/>
              </w:rPr>
              <w:t>2018</w:t>
            </w:r>
          </w:p>
        </w:tc>
      </w:tr>
      <w:bookmarkEnd w:id="8"/>
    </w:tbl>
    <w:p w:rsidR="00093EEB" w:rsidRPr="003F7198"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3F7198">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3F7198" w:rsidRDefault="00093EEB">
            <w:pPr>
              <w:pStyle w:val="Headingb"/>
            </w:pPr>
            <w:r w:rsidRPr="003F7198">
              <w:t>Resumen</w:t>
            </w:r>
          </w:p>
          <w:p w:rsidR="00093EEB" w:rsidRPr="003F7198" w:rsidRDefault="00F16CCA">
            <w:r w:rsidRPr="003F7198">
              <w:rPr>
                <w:szCs w:val="24"/>
              </w:rPr>
              <w:t>El presente documento contiene un plan de aplicación actualizado de la Igualdad e Integración de Género de la UIT para 2018, armonizado con los nuevos indicadores ONU-SWAP 2.0 y la nueva estrategia global a escala de todo el sistema para la igualdad de género.</w:t>
            </w:r>
          </w:p>
          <w:p w:rsidR="00093EEB" w:rsidRPr="003F7198" w:rsidRDefault="00093EEB">
            <w:pPr>
              <w:pStyle w:val="Headingb"/>
            </w:pPr>
            <w:r w:rsidRPr="003F7198">
              <w:t>Acción solicitada</w:t>
            </w:r>
          </w:p>
          <w:p w:rsidR="00093EEB" w:rsidRPr="003F7198" w:rsidRDefault="00F16CCA">
            <w:r w:rsidRPr="003F7198">
              <w:rPr>
                <w:szCs w:val="24"/>
              </w:rPr>
              <w:t xml:space="preserve">Se invita al Consejo a </w:t>
            </w:r>
            <w:r w:rsidRPr="003F7198">
              <w:rPr>
                <w:b/>
                <w:szCs w:val="24"/>
              </w:rPr>
              <w:t>refrendar el plan de aplicación para 2018</w:t>
            </w:r>
            <w:r w:rsidRPr="003F7198">
              <w:rPr>
                <w:szCs w:val="24"/>
              </w:rPr>
              <w:t>.</w:t>
            </w:r>
          </w:p>
          <w:p w:rsidR="00093EEB" w:rsidRPr="003F7198" w:rsidRDefault="00093EEB">
            <w:pPr>
              <w:pStyle w:val="Table"/>
              <w:keepNext w:val="0"/>
              <w:spacing w:before="0" w:after="0"/>
              <w:rPr>
                <w:caps w:val="0"/>
                <w:sz w:val="22"/>
                <w:lang w:val="es-ES_tradnl"/>
              </w:rPr>
            </w:pPr>
            <w:r w:rsidRPr="003F7198">
              <w:rPr>
                <w:caps w:val="0"/>
                <w:sz w:val="22"/>
                <w:lang w:val="es-ES_tradnl"/>
              </w:rPr>
              <w:t>____________</w:t>
            </w:r>
          </w:p>
          <w:p w:rsidR="00093EEB" w:rsidRPr="003F7198" w:rsidRDefault="00093EEB">
            <w:pPr>
              <w:pStyle w:val="Headingb"/>
            </w:pPr>
            <w:r w:rsidRPr="003F7198">
              <w:t>Referencia</w:t>
            </w:r>
          </w:p>
          <w:p w:rsidR="00093EEB" w:rsidRPr="003F7198" w:rsidRDefault="007C4E4B" w:rsidP="00F16CCA">
            <w:pPr>
              <w:spacing w:after="120"/>
              <w:rPr>
                <w:i/>
                <w:iCs/>
              </w:rPr>
            </w:pPr>
            <w:hyperlink r:id="rId8" w:history="1">
              <w:r w:rsidR="00F16CCA" w:rsidRPr="003F7198">
                <w:rPr>
                  <w:rStyle w:val="Hyperlink"/>
                  <w:i/>
                  <w:iCs/>
                  <w:szCs w:val="24"/>
                </w:rPr>
                <w:t>Resolución 70 (Rev. </w:t>
              </w:r>
              <w:proofErr w:type="spellStart"/>
              <w:r w:rsidR="00F16CCA" w:rsidRPr="003F7198">
                <w:rPr>
                  <w:rStyle w:val="Hyperlink"/>
                  <w:i/>
                  <w:iCs/>
                  <w:szCs w:val="24"/>
                </w:rPr>
                <w:t>Busán</w:t>
              </w:r>
              <w:proofErr w:type="spellEnd"/>
              <w:r w:rsidR="00F16CCA" w:rsidRPr="003F7198">
                <w:rPr>
                  <w:rStyle w:val="Hyperlink"/>
                  <w:i/>
                  <w:iCs/>
                  <w:szCs w:val="24"/>
                </w:rPr>
                <w:t>, 2014)</w:t>
              </w:r>
            </w:hyperlink>
            <w:r w:rsidR="00F16CCA" w:rsidRPr="003F7198">
              <w:rPr>
                <w:i/>
                <w:iCs/>
                <w:szCs w:val="24"/>
              </w:rPr>
              <w:t xml:space="preserve"> de la Conferencia de Plenipotenciarios; Documentos </w:t>
            </w:r>
            <w:hyperlink r:id="rId9" w:history="1">
              <w:r w:rsidR="00F16CCA" w:rsidRPr="003F7198">
                <w:rPr>
                  <w:rStyle w:val="Hyperlink"/>
                  <w:i/>
                  <w:iCs/>
                  <w:szCs w:val="24"/>
                </w:rPr>
                <w:t>C13/39</w:t>
              </w:r>
            </w:hyperlink>
            <w:r w:rsidR="00F16CCA" w:rsidRPr="003F7198">
              <w:rPr>
                <w:i/>
                <w:iCs/>
                <w:szCs w:val="24"/>
              </w:rPr>
              <w:t xml:space="preserve"> y </w:t>
            </w:r>
            <w:hyperlink r:id="rId10" w:history="1">
              <w:r w:rsidR="00F16CCA" w:rsidRPr="003F7198">
                <w:rPr>
                  <w:rStyle w:val="Hyperlink"/>
                </w:rPr>
                <w:t>C17/</w:t>
              </w:r>
              <w:r w:rsidR="00F16CCA" w:rsidRPr="003F7198">
                <w:rPr>
                  <w:rStyle w:val="Hyperlink"/>
                  <w:i/>
                  <w:iCs/>
                </w:rPr>
                <w:t>71</w:t>
              </w:r>
            </w:hyperlink>
            <w:r w:rsidR="00F16CCA" w:rsidRPr="003F7198">
              <w:rPr>
                <w:rStyle w:val="Hyperlink"/>
                <w:i/>
                <w:iCs/>
                <w:szCs w:val="24"/>
                <w:u w:val="none"/>
              </w:rPr>
              <w:t xml:space="preserve"> </w:t>
            </w:r>
            <w:r w:rsidR="00F16CCA" w:rsidRPr="00A83B18">
              <w:rPr>
                <w:i/>
                <w:iCs/>
              </w:rPr>
              <w:t>del Consejo</w:t>
            </w:r>
          </w:p>
        </w:tc>
      </w:tr>
    </w:tbl>
    <w:p w:rsidR="00F16CCA" w:rsidRPr="003F7198" w:rsidRDefault="00F16CCA" w:rsidP="00175900">
      <w:pPr>
        <w:pStyle w:val="Heading1"/>
      </w:pPr>
      <w:r w:rsidRPr="003F7198">
        <w:t>1</w:t>
      </w:r>
      <w:r w:rsidRPr="003F7198">
        <w:tab/>
        <w:t>Introducción</w:t>
      </w:r>
    </w:p>
    <w:p w:rsidR="00F16CCA" w:rsidRPr="003F7198" w:rsidRDefault="00F16CCA" w:rsidP="00E9754E">
      <w:r w:rsidRPr="003F7198">
        <w:t xml:space="preserve">La </w:t>
      </w:r>
      <w:hyperlink r:id="rId11" w:history="1">
        <w:r w:rsidRPr="003F7198">
          <w:rPr>
            <w:rStyle w:val="Hyperlink"/>
            <w:rFonts w:cstheme="minorHAnsi"/>
            <w:szCs w:val="24"/>
          </w:rPr>
          <w:t>Política de Igualdad e Integración de Género (IIG)</w:t>
        </w:r>
      </w:hyperlink>
      <w:r w:rsidRPr="003F7198">
        <w:t xml:space="preserve"> de la UIT fue adoptada en la reunión de 2013 del Consejo. Tras examinar la política de IIG, la reunión de 2017 </w:t>
      </w:r>
      <w:r w:rsidR="00E9754E" w:rsidRPr="003F7198">
        <w:t>d</w:t>
      </w:r>
      <w:r w:rsidRPr="003F7198">
        <w:t xml:space="preserve">el Consejo adoptó un </w:t>
      </w:r>
      <w:hyperlink r:id="rId12" w:history="1">
        <w:r w:rsidR="00E9754E" w:rsidRPr="003F7198">
          <w:rPr>
            <w:rStyle w:val="Hyperlink"/>
          </w:rPr>
          <w:t>plan de aplicación de la IIG en la UIT para 2017</w:t>
        </w:r>
      </w:hyperlink>
      <w:r w:rsidRPr="003F7198">
        <w:t>. Pidió además a la Secretaría que preparase para la reunión de 2018 del Consejo un informe sobre la aplicación del plan de 2017 y su puesta al día para 2018, a fin de seguir armonizándolo con las prácticas idóneas de las Naciones Unidas.</w:t>
      </w:r>
    </w:p>
    <w:p w:rsidR="00F16CCA" w:rsidRPr="003F7198" w:rsidRDefault="00F16CCA" w:rsidP="00175900">
      <w:pPr>
        <w:pStyle w:val="Heading1"/>
      </w:pPr>
      <w:r w:rsidRPr="003F7198">
        <w:t>2</w:t>
      </w:r>
      <w:r w:rsidRPr="003F7198">
        <w:tab/>
        <w:t>Armonización de la UIT con la estrategia sobre igualdad y paridad de género en todo el sistema de las Naciones Unidas</w:t>
      </w:r>
    </w:p>
    <w:p w:rsidR="00F16CCA" w:rsidRPr="003F7198" w:rsidRDefault="00F16CCA" w:rsidP="009F74D0">
      <w:r w:rsidRPr="003F7198">
        <w:t>El plan de aplicación de la IIG para 2018 está armonizado con los marcos de todo el sistema de las Naciones Unidas para igualdad de género, a saber el Plan de Acción para todo el Sistema de las Naciones Unidas (ONU-SWAP) sobre la Igualdad de Género y el Empoderamiento de las Mujeres y la estrategia en todo el sistema de Naciones Unidas sobre la igualdad de género.</w:t>
      </w:r>
    </w:p>
    <w:p w:rsidR="00F16CCA" w:rsidRPr="003F7198" w:rsidRDefault="00F16CCA" w:rsidP="00E37A0A">
      <w:pPr>
        <w:pStyle w:val="Title4"/>
      </w:pPr>
      <w:r w:rsidRPr="003F7198">
        <w:lastRenderedPageBreak/>
        <w:t>Plan de aplicación de la Igualdad e Integración de Género (IIG) para 201</w:t>
      </w:r>
      <w:r w:rsidR="00E37A0A" w:rsidRPr="003F7198">
        <w:t>8</w:t>
      </w:r>
    </w:p>
    <w:p w:rsidR="00175900" w:rsidRPr="003F7198" w:rsidRDefault="00F16CCA" w:rsidP="00175900">
      <w:pPr>
        <w:pStyle w:val="Heading1"/>
      </w:pPr>
      <w:r w:rsidRPr="003F7198">
        <w:t>A</w:t>
      </w:r>
      <w:r w:rsidRPr="003F7198">
        <w:tab/>
        <w:t>Resultados de los ODS relacionados con el género</w:t>
      </w:r>
    </w:p>
    <w:p w:rsidR="00F16CCA" w:rsidRPr="003F7198" w:rsidRDefault="00175900" w:rsidP="00984C56">
      <w:pPr>
        <w:keepNext/>
        <w:keepLines/>
        <w:pBdr>
          <w:bottom w:val="single" w:sz="4" w:space="1" w:color="auto"/>
        </w:pBdr>
        <w:spacing w:before="240"/>
        <w:rPr>
          <w:b/>
          <w:bCs/>
        </w:rPr>
      </w:pPr>
      <w:r w:rsidRPr="003F7198">
        <w:rPr>
          <w:b/>
          <w:bCs/>
        </w:rPr>
        <w:t>1</w:t>
      </w:r>
      <w:r w:rsidRPr="003F7198">
        <w:rPr>
          <w:b/>
          <w:bCs/>
        </w:rPr>
        <w:tab/>
      </w:r>
      <w:r w:rsidRPr="003F7198">
        <w:rPr>
          <w:rFonts w:asciiTheme="minorHAnsi" w:hAnsiTheme="minorHAnsi"/>
          <w:b/>
          <w:bCs/>
          <w:color w:val="000000" w:themeColor="text1"/>
          <w:szCs w:val="24"/>
          <w:lang w:eastAsia="zh-CN"/>
        </w:rPr>
        <w:t>Resultados de los ODS relacionados con el género</w:t>
      </w:r>
      <w:r w:rsidRPr="003F7198">
        <w:rPr>
          <w:rFonts w:asciiTheme="minorHAnsi" w:hAnsiTheme="minorHAnsi"/>
          <w:b/>
          <w:bCs/>
          <w:color w:val="000000" w:themeColor="text1"/>
          <w:szCs w:val="24"/>
          <w:lang w:eastAsia="zh-CN"/>
        </w:rPr>
        <w:tab/>
        <w:t xml:space="preserve">Estado del SWAP en 2017: </w:t>
      </w:r>
      <w:r w:rsidRPr="003F7198">
        <w:rPr>
          <w:rFonts w:asciiTheme="minorHAnsi" w:hAnsiTheme="minorHAnsi"/>
          <w:color w:val="000000" w:themeColor="text1"/>
          <w:szCs w:val="24"/>
          <w:lang w:eastAsia="zh-CN"/>
        </w:rPr>
        <w:t>nuevo</w:t>
      </w:r>
    </w:p>
    <w:p w:rsidR="00F14720" w:rsidRPr="003F7198" w:rsidRDefault="00F16CCA" w:rsidP="00F14720">
      <w:pPr>
        <w:spacing w:before="0"/>
        <w:jc w:val="both"/>
        <w:rPr>
          <w:rFonts w:asciiTheme="minorHAnsi" w:hAnsiTheme="minorHAnsi"/>
          <w:color w:val="000000" w:themeColor="text1"/>
          <w:szCs w:val="24"/>
        </w:rPr>
      </w:pPr>
      <w:r w:rsidRPr="003F7198">
        <w:rPr>
          <w:rFonts w:asciiTheme="minorHAnsi" w:hAnsiTheme="minorHAnsi"/>
          <w:color w:val="000000" w:themeColor="text1"/>
          <w:szCs w:val="24"/>
        </w:rPr>
        <w:t>Para cumplir este indicador de rendimiento de ONU-SWAP, la UIT necesitaría por lo menos una declar</w:t>
      </w:r>
      <w:r w:rsidRPr="003F7198">
        <w:rPr>
          <w:rFonts w:asciiTheme="minorHAnsi" w:hAnsiTheme="minorHAnsi"/>
          <w:szCs w:val="24"/>
          <w:rPrChange w:id="10" w:author="Spanish" w:date="2018-03-21T14:59:00Z">
            <w:rPr>
              <w:rFonts w:asciiTheme="minorHAnsi" w:hAnsiTheme="minorHAnsi"/>
              <w:color w:val="000000" w:themeColor="text1"/>
              <w:szCs w:val="24"/>
              <w:lang w:val="en-GB"/>
            </w:rPr>
          </w:rPrChange>
        </w:rPr>
        <w:t xml:space="preserve">ación </w:t>
      </w:r>
      <w:r w:rsidRPr="003F7198">
        <w:rPr>
          <w:rFonts w:asciiTheme="minorHAnsi" w:hAnsiTheme="minorHAnsi"/>
          <w:szCs w:val="24"/>
          <w:rPrChange w:id="11" w:author="Spanish" w:date="2018-03-21T14:59:00Z">
            <w:rPr>
              <w:rFonts w:asciiTheme="minorHAnsi" w:hAnsiTheme="minorHAnsi"/>
              <w:color w:val="FF0000"/>
              <w:szCs w:val="24"/>
              <w:lang w:val="en-GB"/>
            </w:rPr>
          </w:rPrChange>
        </w:rPr>
        <w:t xml:space="preserve">sobre </w:t>
      </w:r>
      <w:r w:rsidR="00175900" w:rsidRPr="003F7198">
        <w:rPr>
          <w:rFonts w:asciiTheme="minorHAnsi" w:hAnsiTheme="minorHAnsi"/>
          <w:szCs w:val="24"/>
        </w:rPr>
        <w:t>los res</w:t>
      </w:r>
      <w:r w:rsidR="00175900" w:rsidRPr="003F7198">
        <w:rPr>
          <w:rFonts w:asciiTheme="minorHAnsi" w:hAnsiTheme="minorHAnsi"/>
          <w:color w:val="000000" w:themeColor="text1"/>
          <w:szCs w:val="24"/>
        </w:rPr>
        <w:t>ultados</w:t>
      </w:r>
      <w:r w:rsidRPr="003F7198">
        <w:rPr>
          <w:rFonts w:asciiTheme="minorHAnsi" w:hAnsiTheme="minorHAnsi"/>
          <w:color w:val="000000" w:themeColor="text1"/>
          <w:szCs w:val="24"/>
        </w:rPr>
        <w:t xml:space="preserve"> de una entidad de alto nivel en el principal documento de planificación estratégica. Además, la UIT necesitaría demostrar con pruebas suficientes que se ha alcanzado el resultado de alto nivel, o que se está a punto de alcanzar. Por otra parte, la UIT debería demostrar sus contribuciones a las metas del ODS 5 mientras se mantiene al día de la consecución de los resultados. Si la mención del ODS 5 está integrada en la declaración de resultados de alto nivel, debe figurar en la información sobre el resultado. Si la mención del ODS 5 figura en otro lugar del documento principal de planificación estratégica, entonces la información sobre los logros a través de la información sobre la planificación estratégica será necesaria para cumplir las condiciones</w:t>
      </w:r>
      <w:r w:rsidR="00175FFF" w:rsidRPr="003F7198">
        <w:rPr>
          <w:rFonts w:asciiTheme="minorHAnsi" w:hAnsiTheme="minorHAnsi"/>
          <w:color w:val="000000" w:themeColor="text1"/>
          <w:szCs w:val="24"/>
        </w:rPr>
        <w:t>.</w:t>
      </w:r>
    </w:p>
    <w:tbl>
      <w:tblPr>
        <w:tblStyle w:val="TableGrid"/>
        <w:tblW w:w="5000" w:type="pct"/>
        <w:tblLook w:val="04A0" w:firstRow="1" w:lastRow="0" w:firstColumn="1" w:lastColumn="0" w:noHBand="0" w:noVBand="1"/>
      </w:tblPr>
      <w:tblGrid>
        <w:gridCol w:w="6644"/>
        <w:gridCol w:w="1899"/>
        <w:gridCol w:w="1086"/>
      </w:tblGrid>
      <w:tr w:rsidR="00F14720" w:rsidRPr="003F7198" w:rsidTr="002B205E">
        <w:tc>
          <w:tcPr>
            <w:tcW w:w="3461" w:type="pct"/>
          </w:tcPr>
          <w:p w:rsidR="00F14720" w:rsidRPr="003F7198" w:rsidRDefault="00F14720" w:rsidP="002B205E">
            <w:pPr>
              <w:keepNext/>
              <w:keepLines/>
              <w:jc w:val="both"/>
              <w:rPr>
                <w:color w:val="000000" w:themeColor="text1"/>
              </w:rPr>
            </w:pPr>
            <w:r w:rsidRPr="003F7198">
              <w:rPr>
                <w:color w:val="000000" w:themeColor="text1"/>
                <w:u w:val="single"/>
              </w:rPr>
              <w:t>Productos</w:t>
            </w:r>
          </w:p>
        </w:tc>
        <w:tc>
          <w:tcPr>
            <w:tcW w:w="962" w:type="pct"/>
          </w:tcPr>
          <w:p w:rsidR="00F14720" w:rsidRPr="003F7198" w:rsidRDefault="00F14720" w:rsidP="002B205E">
            <w:pPr>
              <w:keepNext/>
              <w:keepLines/>
              <w:jc w:val="center"/>
              <w:rPr>
                <w:color w:val="000000" w:themeColor="text1"/>
              </w:rPr>
            </w:pPr>
            <w:r w:rsidRPr="003F7198">
              <w:rPr>
                <w:color w:val="000000" w:themeColor="text1"/>
                <w:u w:val="single"/>
              </w:rPr>
              <w:t>Titular/Implicado</w:t>
            </w:r>
          </w:p>
        </w:tc>
        <w:tc>
          <w:tcPr>
            <w:tcW w:w="576" w:type="pct"/>
          </w:tcPr>
          <w:p w:rsidR="00F14720" w:rsidRPr="003F7198" w:rsidRDefault="00F14720" w:rsidP="002B205E">
            <w:pPr>
              <w:keepNext/>
              <w:keepLines/>
              <w:jc w:val="center"/>
              <w:rPr>
                <w:color w:val="000000" w:themeColor="text1"/>
              </w:rPr>
            </w:pPr>
            <w:r w:rsidRPr="003F7198">
              <w:rPr>
                <w:color w:val="000000" w:themeColor="text1"/>
                <w:u w:val="single"/>
              </w:rPr>
              <w:t>Plazo</w:t>
            </w:r>
          </w:p>
        </w:tc>
      </w:tr>
      <w:tr w:rsidR="00F14720" w:rsidRPr="003F7198" w:rsidTr="002B205E">
        <w:tc>
          <w:tcPr>
            <w:tcW w:w="3461" w:type="pct"/>
          </w:tcPr>
          <w:p w:rsidR="00F14720" w:rsidRPr="003F7198" w:rsidRDefault="00F14720" w:rsidP="00A83B18">
            <w:pPr>
              <w:ind w:left="567" w:hanging="567"/>
              <w:rPr>
                <w:color w:val="000000" w:themeColor="text1"/>
              </w:rPr>
            </w:pPr>
            <w:r w:rsidRPr="003F7198">
              <w:rPr>
                <w:rFonts w:eastAsia="Times New Roman" w:cs="Times New Roman"/>
                <w:color w:val="000000" w:themeColor="text1"/>
              </w:rPr>
              <w:t>1.1</w:t>
            </w:r>
            <w:r w:rsidRPr="003F7198">
              <w:rPr>
                <w:rFonts w:eastAsia="Times New Roman" w:cs="Times New Roman"/>
                <w:color w:val="000000" w:themeColor="text1"/>
              </w:rPr>
              <w:tab/>
            </w:r>
            <w:r w:rsidRPr="003F7198">
              <w:rPr>
                <w:rFonts w:asciiTheme="minorHAnsi" w:hAnsiTheme="minorHAnsi"/>
                <w:color w:val="000000" w:themeColor="text1"/>
                <w:szCs w:val="24"/>
                <w:lang w:eastAsia="zh-CN"/>
              </w:rPr>
              <w:t>Mención de ODS relacionados con el género en el Plan Estratégico</w:t>
            </w:r>
          </w:p>
        </w:tc>
        <w:tc>
          <w:tcPr>
            <w:tcW w:w="962" w:type="pct"/>
          </w:tcPr>
          <w:p w:rsidR="00F14720" w:rsidRPr="003F7198" w:rsidRDefault="00F14720" w:rsidP="002B205E">
            <w:pPr>
              <w:keepNext/>
              <w:keepLines/>
              <w:jc w:val="center"/>
              <w:rPr>
                <w:color w:val="000000" w:themeColor="text1"/>
              </w:rPr>
            </w:pPr>
            <w:r w:rsidRPr="003F7198">
              <w:rPr>
                <w:rFonts w:asciiTheme="minorHAnsi" w:hAnsiTheme="minorHAnsi"/>
                <w:color w:val="000000" w:themeColor="text1"/>
                <w:szCs w:val="24"/>
                <w:lang w:eastAsia="zh-CN"/>
              </w:rPr>
              <w:t>CSD/Miembros</w:t>
            </w:r>
          </w:p>
        </w:tc>
        <w:tc>
          <w:tcPr>
            <w:tcW w:w="576" w:type="pct"/>
          </w:tcPr>
          <w:p w:rsidR="00F14720" w:rsidRPr="003F7198" w:rsidRDefault="00F14720" w:rsidP="002B205E">
            <w:pPr>
              <w:keepNext/>
              <w:keepLines/>
              <w:jc w:val="center"/>
              <w:rPr>
                <w:color w:val="000000" w:themeColor="text1"/>
              </w:rPr>
            </w:pPr>
            <w:r w:rsidRPr="003F7198">
              <w:rPr>
                <w:rFonts w:asciiTheme="minorHAnsi" w:hAnsiTheme="minorHAnsi"/>
                <w:color w:val="000000" w:themeColor="text1"/>
                <w:szCs w:val="24"/>
                <w:lang w:eastAsia="zh-CN"/>
              </w:rPr>
              <w:t>Ene-Abr</w:t>
            </w:r>
          </w:p>
        </w:tc>
      </w:tr>
      <w:tr w:rsidR="00F14720" w:rsidRPr="003F7198" w:rsidTr="002B205E">
        <w:tc>
          <w:tcPr>
            <w:tcW w:w="3461" w:type="pct"/>
          </w:tcPr>
          <w:p w:rsidR="00F14720" w:rsidRPr="003F7198" w:rsidRDefault="00F14720" w:rsidP="00A83B18">
            <w:pPr>
              <w:ind w:left="567" w:hanging="567"/>
              <w:rPr>
                <w:color w:val="000000" w:themeColor="text1"/>
              </w:rPr>
            </w:pPr>
            <w:r w:rsidRPr="003F7198">
              <w:rPr>
                <w:rFonts w:eastAsia="Times New Roman" w:cs="Times New Roman"/>
                <w:color w:val="000000" w:themeColor="text1"/>
              </w:rPr>
              <w:t>1.2</w:t>
            </w:r>
            <w:r w:rsidRPr="003F7198">
              <w:rPr>
                <w:rFonts w:eastAsia="Times New Roman" w:cs="Times New Roman"/>
                <w:color w:val="000000" w:themeColor="text1"/>
              </w:rPr>
              <w:tab/>
            </w:r>
            <w:r w:rsidRPr="003F7198">
              <w:rPr>
                <w:rFonts w:asciiTheme="minorHAnsi" w:hAnsiTheme="minorHAnsi"/>
                <w:color w:val="000000" w:themeColor="text1"/>
                <w:szCs w:val="24"/>
                <w:lang w:eastAsia="zh-CN"/>
              </w:rPr>
              <w:t>Pruebas de que se ha alcanzado el resultado de alto nivel, o que se está a punto de alcanzar</w:t>
            </w:r>
          </w:p>
        </w:tc>
        <w:tc>
          <w:tcPr>
            <w:tcW w:w="962" w:type="pct"/>
          </w:tcPr>
          <w:p w:rsidR="00F14720" w:rsidRPr="003F7198" w:rsidRDefault="00F14720" w:rsidP="002B205E">
            <w:pPr>
              <w:keepNext/>
              <w:keepLines/>
              <w:jc w:val="center"/>
              <w:rPr>
                <w:color w:val="000000" w:themeColor="text1"/>
              </w:rPr>
            </w:pPr>
            <w:r w:rsidRPr="003F7198">
              <w:rPr>
                <w:rFonts w:asciiTheme="minorHAnsi" w:hAnsiTheme="minorHAnsi"/>
                <w:color w:val="000000" w:themeColor="text1"/>
                <w:szCs w:val="24"/>
                <w:lang w:eastAsia="zh-CN"/>
              </w:rPr>
              <w:t>Todos</w:t>
            </w:r>
          </w:p>
        </w:tc>
        <w:tc>
          <w:tcPr>
            <w:tcW w:w="576" w:type="pct"/>
          </w:tcPr>
          <w:p w:rsidR="00F14720" w:rsidRPr="003F7198" w:rsidRDefault="00F14720" w:rsidP="002B205E">
            <w:pPr>
              <w:keepNext/>
              <w:keepLines/>
              <w:jc w:val="center"/>
              <w:rPr>
                <w:color w:val="000000" w:themeColor="text1"/>
              </w:rPr>
            </w:pPr>
            <w:r w:rsidRPr="003F7198">
              <w:rPr>
                <w:rFonts w:asciiTheme="minorHAnsi" w:hAnsiTheme="minorHAnsi"/>
                <w:color w:val="000000" w:themeColor="text1"/>
                <w:szCs w:val="24"/>
                <w:lang w:eastAsia="zh-CN"/>
              </w:rPr>
              <w:t>Dic</w:t>
            </w:r>
          </w:p>
        </w:tc>
      </w:tr>
      <w:tr w:rsidR="00F14720" w:rsidRPr="003F7198" w:rsidTr="002B205E">
        <w:tc>
          <w:tcPr>
            <w:tcW w:w="3461" w:type="pct"/>
          </w:tcPr>
          <w:p w:rsidR="00F14720" w:rsidRPr="003F7198" w:rsidRDefault="00F14720" w:rsidP="00A83B18">
            <w:pPr>
              <w:ind w:left="567" w:hanging="567"/>
              <w:rPr>
                <w:color w:val="000000" w:themeColor="text1"/>
              </w:rPr>
            </w:pPr>
            <w:r w:rsidRPr="003F7198">
              <w:rPr>
                <w:rFonts w:eastAsia="Times New Roman" w:cs="Times New Roman"/>
                <w:color w:val="000000" w:themeColor="text1"/>
              </w:rPr>
              <w:t>1.3</w:t>
            </w:r>
            <w:r w:rsidRPr="003F7198">
              <w:rPr>
                <w:rFonts w:eastAsia="Times New Roman" w:cs="Times New Roman"/>
                <w:color w:val="000000" w:themeColor="text1"/>
              </w:rPr>
              <w:tab/>
            </w:r>
            <w:r w:rsidRPr="003F7198">
              <w:rPr>
                <w:rFonts w:asciiTheme="minorHAnsi" w:hAnsiTheme="minorHAnsi"/>
                <w:color w:val="000000" w:themeColor="text1"/>
                <w:szCs w:val="24"/>
                <w:lang w:eastAsia="zh-CN"/>
              </w:rPr>
              <w:t>Información de alto nivel sobre género y ODS 5</w:t>
            </w:r>
          </w:p>
        </w:tc>
        <w:tc>
          <w:tcPr>
            <w:tcW w:w="962" w:type="pct"/>
          </w:tcPr>
          <w:p w:rsidR="00F14720" w:rsidRPr="003F7198" w:rsidRDefault="009B3AF1" w:rsidP="002B205E">
            <w:pPr>
              <w:keepNext/>
              <w:keepLines/>
              <w:jc w:val="center"/>
              <w:rPr>
                <w:color w:val="000000" w:themeColor="text1"/>
              </w:rPr>
            </w:pPr>
            <w:r w:rsidRPr="003F7198">
              <w:rPr>
                <w:rFonts w:asciiTheme="minorHAnsi" w:hAnsiTheme="minorHAnsi"/>
                <w:color w:val="000000" w:themeColor="text1"/>
                <w:szCs w:val="24"/>
                <w:lang w:eastAsia="zh-CN"/>
              </w:rPr>
              <w:t>CSD</w:t>
            </w:r>
          </w:p>
        </w:tc>
        <w:tc>
          <w:tcPr>
            <w:tcW w:w="576" w:type="pct"/>
          </w:tcPr>
          <w:p w:rsidR="00F14720" w:rsidRPr="003F7198" w:rsidRDefault="009B3AF1" w:rsidP="002B205E">
            <w:pPr>
              <w:keepNext/>
              <w:keepLines/>
              <w:jc w:val="center"/>
              <w:rPr>
                <w:color w:val="000000" w:themeColor="text1"/>
              </w:rPr>
            </w:pPr>
            <w:r w:rsidRPr="003F7198">
              <w:rPr>
                <w:rFonts w:asciiTheme="minorHAnsi" w:hAnsiTheme="minorHAnsi"/>
                <w:color w:val="000000" w:themeColor="text1"/>
                <w:szCs w:val="24"/>
                <w:lang w:eastAsia="zh-CN"/>
              </w:rPr>
              <w:t>Dic</w:t>
            </w:r>
          </w:p>
        </w:tc>
      </w:tr>
    </w:tbl>
    <w:p w:rsidR="001400D1" w:rsidRPr="004B5F3A" w:rsidRDefault="001400D1" w:rsidP="004B5F3A">
      <w:pPr>
        <w:spacing w:before="0"/>
      </w:pPr>
    </w:p>
    <w:p w:rsidR="00F16CCA" w:rsidRPr="003F7198" w:rsidRDefault="00A4105E" w:rsidP="00984C56">
      <w:pPr>
        <w:pBdr>
          <w:bottom w:val="single" w:sz="4" w:space="1" w:color="auto"/>
        </w:pBdr>
        <w:tabs>
          <w:tab w:val="left" w:pos="6379"/>
        </w:tabs>
        <w:spacing w:before="240"/>
        <w:ind w:left="567" w:hanging="567"/>
        <w:rPr>
          <w:rFonts w:eastAsiaTheme="minorEastAsia"/>
        </w:rPr>
      </w:pPr>
      <w:r w:rsidRPr="003F7198">
        <w:rPr>
          <w:b/>
          <w:bCs/>
          <w:lang w:eastAsia="zh-CN"/>
        </w:rPr>
        <w:t>2</w:t>
      </w:r>
      <w:r w:rsidRPr="003F7198">
        <w:rPr>
          <w:b/>
          <w:bCs/>
          <w:lang w:eastAsia="zh-CN"/>
        </w:rPr>
        <w:tab/>
      </w:r>
      <w:r w:rsidR="00F16CCA" w:rsidRPr="003F7198">
        <w:rPr>
          <w:b/>
          <w:bCs/>
          <w:lang w:eastAsia="zh-CN"/>
        </w:rPr>
        <w:t>Información sobre resultados relacionados con el género</w:t>
      </w:r>
      <w:r w:rsidR="00F16CCA" w:rsidRPr="003F7198">
        <w:rPr>
          <w:b/>
          <w:bCs/>
          <w:lang w:eastAsia="zh-CN"/>
        </w:rPr>
        <w:tab/>
        <w:t xml:space="preserve">Estado del SWAP en 2017: </w:t>
      </w:r>
      <w:r w:rsidR="00F16CCA" w:rsidRPr="003F7198">
        <w:rPr>
          <w:sz w:val="22"/>
          <w:szCs w:val="22"/>
        </w:rPr>
        <w:t>nuevo</w:t>
      </w:r>
    </w:p>
    <w:p w:rsidR="00F16CCA" w:rsidRPr="003F7198" w:rsidRDefault="00F16CCA" w:rsidP="00A4105E">
      <w:pPr>
        <w:spacing w:before="0"/>
        <w:jc w:val="both"/>
        <w:rPr>
          <w:rFonts w:asciiTheme="minorHAnsi" w:hAnsiTheme="minorHAnsi"/>
          <w:color w:val="000000" w:themeColor="text1"/>
          <w:szCs w:val="24"/>
        </w:rPr>
      </w:pPr>
      <w:r w:rsidRPr="003F7198">
        <w:rPr>
          <w:rFonts w:asciiTheme="minorHAnsi" w:hAnsiTheme="minorHAnsi"/>
          <w:color w:val="000000" w:themeColor="text1"/>
          <w:szCs w:val="24"/>
        </w:rPr>
        <w:t xml:space="preserve">Para cumplir este indicador de rendimiento de ONU-SWAP, la UIT necesitaría informar a su órgano rector sobre el principal documento de planificación estratégica e incluir la información sobre los principales resultados relacionados con los ODS en materia de igualdad de género y empoderamiento de las mujeres (IGEM). Estos resultados deberían presentarse como parte de la información sobre el principal Plan Estratégico y deberían utilizarse todos los informes sobre rendimiento desde la publicación del último documento central de planificación estratégica. La información debería comprender también contribuciones específicas a metas del ODS 5. Puede tratarse de información sobre la manera en que la entidad ha apoyado la aplicación de las metas del ODS 5 fijadas en </w:t>
      </w:r>
      <w:proofErr w:type="spellStart"/>
      <w:r w:rsidRPr="003F7198">
        <w:rPr>
          <w:rFonts w:asciiTheme="minorHAnsi" w:hAnsiTheme="minorHAnsi"/>
          <w:i/>
          <w:iCs/>
          <w:color w:val="000000" w:themeColor="text1"/>
          <w:szCs w:val="24"/>
        </w:rPr>
        <w:t>Transforming</w:t>
      </w:r>
      <w:proofErr w:type="spellEnd"/>
      <w:r w:rsidRPr="003F7198">
        <w:rPr>
          <w:rFonts w:asciiTheme="minorHAnsi" w:hAnsiTheme="minorHAnsi"/>
          <w:i/>
          <w:iCs/>
          <w:color w:val="000000" w:themeColor="text1"/>
          <w:szCs w:val="24"/>
        </w:rPr>
        <w:t xml:space="preserve"> </w:t>
      </w:r>
      <w:proofErr w:type="spellStart"/>
      <w:r w:rsidRPr="003F7198">
        <w:rPr>
          <w:rFonts w:asciiTheme="minorHAnsi" w:hAnsiTheme="minorHAnsi"/>
          <w:i/>
          <w:iCs/>
          <w:color w:val="000000" w:themeColor="text1"/>
          <w:szCs w:val="24"/>
        </w:rPr>
        <w:t>our</w:t>
      </w:r>
      <w:proofErr w:type="spellEnd"/>
      <w:r w:rsidRPr="003F7198">
        <w:rPr>
          <w:rFonts w:asciiTheme="minorHAnsi" w:hAnsiTheme="minorHAnsi"/>
          <w:i/>
          <w:iCs/>
          <w:color w:val="000000" w:themeColor="text1"/>
          <w:szCs w:val="24"/>
        </w:rPr>
        <w:t xml:space="preserve"> </w:t>
      </w:r>
      <w:proofErr w:type="spellStart"/>
      <w:r w:rsidRPr="003F7198">
        <w:rPr>
          <w:rFonts w:asciiTheme="minorHAnsi" w:hAnsiTheme="minorHAnsi"/>
          <w:i/>
          <w:iCs/>
          <w:color w:val="000000" w:themeColor="text1"/>
          <w:szCs w:val="24"/>
        </w:rPr>
        <w:t>Future</w:t>
      </w:r>
      <w:proofErr w:type="spellEnd"/>
      <w:r w:rsidRPr="003F7198">
        <w:rPr>
          <w:rFonts w:asciiTheme="minorHAnsi" w:hAnsiTheme="minorHAnsi"/>
          <w:color w:val="000000" w:themeColor="text1"/>
          <w:szCs w:val="24"/>
        </w:rPr>
        <w:t>. Además de cumplir los requisitos deberían utilizarse sistemáticamente datos desglosados por sexo en la información sobre el Plan Estratégico, como se indica anteriormente</w:t>
      </w:r>
      <w:r w:rsidR="003839A6" w:rsidRPr="003F7198">
        <w:rPr>
          <w:rFonts w:asciiTheme="minorHAnsi" w:hAnsiTheme="minorHAnsi"/>
          <w:color w:val="000000" w:themeColor="text1"/>
          <w:szCs w:val="24"/>
        </w:rPr>
        <w:t>.</w:t>
      </w:r>
    </w:p>
    <w:tbl>
      <w:tblPr>
        <w:tblStyle w:val="TableGrid"/>
        <w:tblW w:w="5000" w:type="pct"/>
        <w:tblLook w:val="04A0" w:firstRow="1" w:lastRow="0" w:firstColumn="1" w:lastColumn="0" w:noHBand="0" w:noVBand="1"/>
      </w:tblPr>
      <w:tblGrid>
        <w:gridCol w:w="6644"/>
        <w:gridCol w:w="1899"/>
        <w:gridCol w:w="1086"/>
      </w:tblGrid>
      <w:tr w:rsidR="00BF4940" w:rsidRPr="003F7198" w:rsidTr="002B205E">
        <w:tc>
          <w:tcPr>
            <w:tcW w:w="3461" w:type="pct"/>
          </w:tcPr>
          <w:p w:rsidR="00BF4940" w:rsidRPr="003F7198" w:rsidRDefault="00BF4940" w:rsidP="002B205E">
            <w:pPr>
              <w:keepNext/>
              <w:keepLines/>
              <w:jc w:val="both"/>
              <w:rPr>
                <w:color w:val="000000" w:themeColor="text1"/>
              </w:rPr>
            </w:pPr>
            <w:r w:rsidRPr="003F7198">
              <w:rPr>
                <w:color w:val="000000" w:themeColor="text1"/>
                <w:u w:val="single"/>
              </w:rPr>
              <w:t>Productos</w:t>
            </w:r>
          </w:p>
        </w:tc>
        <w:tc>
          <w:tcPr>
            <w:tcW w:w="962" w:type="pct"/>
          </w:tcPr>
          <w:p w:rsidR="00BF4940" w:rsidRPr="003F7198" w:rsidRDefault="00BF4940" w:rsidP="002B205E">
            <w:pPr>
              <w:keepNext/>
              <w:keepLines/>
              <w:jc w:val="center"/>
              <w:rPr>
                <w:color w:val="000000" w:themeColor="text1"/>
              </w:rPr>
            </w:pPr>
            <w:r w:rsidRPr="003F7198">
              <w:rPr>
                <w:color w:val="000000" w:themeColor="text1"/>
                <w:u w:val="single"/>
              </w:rPr>
              <w:t>Titular/Implicado</w:t>
            </w:r>
          </w:p>
        </w:tc>
        <w:tc>
          <w:tcPr>
            <w:tcW w:w="576" w:type="pct"/>
          </w:tcPr>
          <w:p w:rsidR="00BF4940" w:rsidRPr="003F7198" w:rsidRDefault="00BF4940" w:rsidP="002B205E">
            <w:pPr>
              <w:keepNext/>
              <w:keepLines/>
              <w:jc w:val="center"/>
              <w:rPr>
                <w:color w:val="000000" w:themeColor="text1"/>
              </w:rPr>
            </w:pPr>
            <w:r w:rsidRPr="003F7198">
              <w:rPr>
                <w:color w:val="000000" w:themeColor="text1"/>
                <w:u w:val="single"/>
              </w:rPr>
              <w:t>Plazo</w:t>
            </w:r>
          </w:p>
        </w:tc>
      </w:tr>
      <w:tr w:rsidR="00BF4940" w:rsidRPr="003F7198" w:rsidTr="002B205E">
        <w:tc>
          <w:tcPr>
            <w:tcW w:w="3461" w:type="pct"/>
          </w:tcPr>
          <w:p w:rsidR="00BF4940" w:rsidRPr="003F7198" w:rsidRDefault="00BF4940" w:rsidP="00A83B18">
            <w:pPr>
              <w:ind w:left="567" w:hanging="567"/>
              <w:rPr>
                <w:color w:val="000000" w:themeColor="text1"/>
              </w:rPr>
            </w:pPr>
            <w:r w:rsidRPr="003F7198">
              <w:t>2.1</w:t>
            </w:r>
            <w:r w:rsidRPr="003F7198">
              <w:tab/>
            </w:r>
            <w:r w:rsidRPr="003F7198">
              <w:rPr>
                <w:rFonts w:asciiTheme="minorHAnsi" w:hAnsiTheme="minorHAnsi"/>
                <w:color w:val="000000" w:themeColor="text1"/>
                <w:szCs w:val="24"/>
                <w:lang w:eastAsia="zh-CN"/>
              </w:rPr>
              <w:t xml:space="preserve">Informe al Consejo sobre resultados como parte de la </w:t>
            </w:r>
            <w:r w:rsidRPr="003F7198">
              <w:rPr>
                <w:rFonts w:asciiTheme="minorHAnsi" w:hAnsiTheme="minorHAnsi"/>
                <w:color w:val="000000" w:themeColor="text1"/>
                <w:szCs w:val="24"/>
                <w:lang w:eastAsia="zh-CN"/>
              </w:rPr>
              <w:br/>
              <w:t>información sobre el Plan Estratégico</w:t>
            </w:r>
          </w:p>
        </w:tc>
        <w:tc>
          <w:tcPr>
            <w:tcW w:w="962" w:type="pct"/>
          </w:tcPr>
          <w:p w:rsidR="00BF4940" w:rsidRPr="003F7198" w:rsidRDefault="00BF4940" w:rsidP="002B205E">
            <w:pPr>
              <w:keepNext/>
              <w:keepLines/>
              <w:jc w:val="center"/>
              <w:rPr>
                <w:color w:val="000000" w:themeColor="text1"/>
              </w:rPr>
            </w:pPr>
            <w:r w:rsidRPr="003F7198">
              <w:rPr>
                <w:rFonts w:asciiTheme="minorHAnsi" w:hAnsiTheme="minorHAnsi"/>
                <w:color w:val="000000" w:themeColor="text1"/>
                <w:szCs w:val="24"/>
                <w:lang w:eastAsia="zh-CN"/>
              </w:rPr>
              <w:t>CSD</w:t>
            </w:r>
          </w:p>
        </w:tc>
        <w:tc>
          <w:tcPr>
            <w:tcW w:w="576" w:type="pct"/>
          </w:tcPr>
          <w:p w:rsidR="00BF4940" w:rsidRPr="003F7198" w:rsidRDefault="00BF4940" w:rsidP="002B205E">
            <w:pPr>
              <w:keepNext/>
              <w:keepLines/>
              <w:jc w:val="center"/>
              <w:rPr>
                <w:color w:val="000000" w:themeColor="text1"/>
              </w:rPr>
            </w:pPr>
          </w:p>
        </w:tc>
      </w:tr>
      <w:tr w:rsidR="00BF4940" w:rsidRPr="003F7198" w:rsidTr="002B205E">
        <w:tc>
          <w:tcPr>
            <w:tcW w:w="3461" w:type="pct"/>
          </w:tcPr>
          <w:p w:rsidR="00BF4940" w:rsidRPr="003F7198" w:rsidRDefault="00BF4940" w:rsidP="00A83B18">
            <w:pPr>
              <w:ind w:left="567" w:hanging="567"/>
              <w:rPr>
                <w:color w:val="000000" w:themeColor="text1"/>
              </w:rPr>
            </w:pPr>
            <w:r w:rsidRPr="003F7198">
              <w:rPr>
                <w:lang w:eastAsia="zh-CN"/>
              </w:rPr>
              <w:t>2.2</w:t>
            </w:r>
            <w:r w:rsidRPr="003F7198">
              <w:rPr>
                <w:lang w:eastAsia="zh-CN"/>
              </w:rPr>
              <w:tab/>
            </w:r>
            <w:r w:rsidRPr="003F7198">
              <w:rPr>
                <w:rFonts w:asciiTheme="minorHAnsi" w:hAnsiTheme="minorHAnsi"/>
                <w:color w:val="000000" w:themeColor="text1"/>
                <w:szCs w:val="24"/>
                <w:lang w:eastAsia="zh-CN"/>
              </w:rPr>
              <w:t xml:space="preserve">Utilización sistemática de datos desglosados por sexo </w:t>
            </w:r>
            <w:r w:rsidRPr="003F7198">
              <w:rPr>
                <w:rFonts w:asciiTheme="minorHAnsi" w:hAnsiTheme="minorHAnsi"/>
                <w:color w:val="000000" w:themeColor="text1"/>
                <w:szCs w:val="24"/>
                <w:lang w:eastAsia="zh-CN"/>
              </w:rPr>
              <w:br/>
              <w:t>en la información sobre el Plan Estratégico</w:t>
            </w:r>
          </w:p>
        </w:tc>
        <w:tc>
          <w:tcPr>
            <w:tcW w:w="962" w:type="pct"/>
          </w:tcPr>
          <w:p w:rsidR="00BF4940" w:rsidRPr="003F7198" w:rsidRDefault="00BF4940" w:rsidP="002B205E">
            <w:pPr>
              <w:keepNext/>
              <w:keepLines/>
              <w:jc w:val="center"/>
              <w:rPr>
                <w:color w:val="000000" w:themeColor="text1"/>
              </w:rPr>
            </w:pPr>
            <w:r w:rsidRPr="003F7198">
              <w:rPr>
                <w:rFonts w:asciiTheme="minorHAnsi" w:hAnsiTheme="minorHAnsi"/>
                <w:color w:val="000000" w:themeColor="text1"/>
                <w:szCs w:val="24"/>
                <w:lang w:eastAsia="zh-CN"/>
              </w:rPr>
              <w:t>CSD/BDT</w:t>
            </w:r>
          </w:p>
        </w:tc>
        <w:tc>
          <w:tcPr>
            <w:tcW w:w="576" w:type="pct"/>
          </w:tcPr>
          <w:p w:rsidR="00BF4940" w:rsidRPr="003F7198" w:rsidRDefault="00BF4940" w:rsidP="002B205E">
            <w:pPr>
              <w:keepNext/>
              <w:keepLines/>
              <w:jc w:val="center"/>
              <w:rPr>
                <w:color w:val="000000" w:themeColor="text1"/>
              </w:rPr>
            </w:pPr>
            <w:r w:rsidRPr="003F7198">
              <w:rPr>
                <w:rFonts w:asciiTheme="minorHAnsi" w:hAnsiTheme="minorHAnsi"/>
                <w:color w:val="000000" w:themeColor="text1"/>
                <w:szCs w:val="24"/>
                <w:lang w:eastAsia="zh-CN"/>
              </w:rPr>
              <w:t>Ene-Abr</w:t>
            </w:r>
          </w:p>
        </w:tc>
      </w:tr>
    </w:tbl>
    <w:p w:rsidR="00BF4940" w:rsidRPr="004B5F3A" w:rsidRDefault="00BF4940" w:rsidP="004B5F3A">
      <w:pPr>
        <w:spacing w:before="0"/>
      </w:pPr>
    </w:p>
    <w:p w:rsidR="00F16CCA" w:rsidRPr="003F7198" w:rsidRDefault="0098089E" w:rsidP="00A7259C">
      <w:pPr>
        <w:keepNext/>
        <w:keepLines/>
        <w:pBdr>
          <w:bottom w:val="single" w:sz="4" w:space="1" w:color="auto"/>
        </w:pBdr>
        <w:rPr>
          <w:rFonts w:asciiTheme="minorHAnsi" w:eastAsiaTheme="minorEastAsia" w:hAnsiTheme="minorHAnsi" w:cstheme="minorBidi"/>
          <w:color w:val="000000" w:themeColor="text1"/>
          <w:szCs w:val="24"/>
          <w:lang w:eastAsia="zh-CN"/>
        </w:rPr>
      </w:pPr>
      <w:r w:rsidRPr="003F7198">
        <w:rPr>
          <w:rFonts w:eastAsiaTheme="minorEastAsia"/>
          <w:b/>
          <w:bCs/>
          <w:lang w:eastAsia="zh-CN"/>
        </w:rPr>
        <w:lastRenderedPageBreak/>
        <w:t>3</w:t>
      </w:r>
      <w:r w:rsidRPr="003F7198">
        <w:rPr>
          <w:rFonts w:eastAsiaTheme="minorEastAsia"/>
          <w:b/>
          <w:bCs/>
          <w:lang w:eastAsia="zh-CN"/>
        </w:rPr>
        <w:tab/>
      </w:r>
      <w:r w:rsidR="00F16CCA" w:rsidRPr="003F7198">
        <w:rPr>
          <w:rFonts w:asciiTheme="minorHAnsi" w:hAnsiTheme="minorHAnsi"/>
          <w:b/>
          <w:bCs/>
          <w:color w:val="000000" w:themeColor="text1"/>
          <w:szCs w:val="24"/>
          <w:lang w:eastAsia="zh-CN"/>
        </w:rPr>
        <w:t>Resultados programáticos de la igualdad de género y el empoderamiento de las mujeres</w:t>
      </w:r>
      <w:r w:rsidR="00F16CCA" w:rsidRPr="003F7198">
        <w:rPr>
          <w:rFonts w:asciiTheme="minorHAnsi" w:hAnsiTheme="minorHAnsi"/>
          <w:b/>
          <w:bCs/>
          <w:color w:val="000000" w:themeColor="text1"/>
          <w:szCs w:val="24"/>
          <w:cs/>
          <w:lang w:eastAsia="zh-CN"/>
        </w:rPr>
        <w:t>‎</w:t>
      </w:r>
    </w:p>
    <w:p w:rsidR="00580811" w:rsidRPr="003F7198" w:rsidRDefault="00F16CCA" w:rsidP="00580811">
      <w:pPr>
        <w:keepNext/>
        <w:keepLines/>
        <w:spacing w:before="0"/>
        <w:jc w:val="both"/>
        <w:rPr>
          <w:rFonts w:asciiTheme="minorHAnsi" w:hAnsiTheme="minorHAnsi"/>
          <w:color w:val="000000" w:themeColor="text1"/>
          <w:szCs w:val="24"/>
        </w:rPr>
      </w:pPr>
      <w:r w:rsidRPr="003F7198">
        <w:rPr>
          <w:rFonts w:asciiTheme="minorHAnsi" w:hAnsiTheme="minorHAnsi"/>
          <w:color w:val="000000" w:themeColor="text1"/>
          <w:szCs w:val="24"/>
        </w:rPr>
        <w:t>Para cumplir este indicador de rendimiento de ONU-SWAP, la UIT necesitaría que se incorporasen sistemáticamente en los documentos de planificación sobre iniciativas programáticas resultados sobre igualdad de género y el empoderamiento de las mujeres</w:t>
      </w:r>
      <w:r w:rsidRPr="003F7198">
        <w:rPr>
          <w:rFonts w:asciiTheme="minorHAnsi" w:hAnsiTheme="minorHAnsi"/>
          <w:color w:val="000000" w:themeColor="text1"/>
          <w:szCs w:val="24"/>
          <w:cs/>
        </w:rPr>
        <w:t>‎</w:t>
      </w:r>
      <w:r w:rsidRPr="003F7198">
        <w:rPr>
          <w:rFonts w:asciiTheme="minorHAnsi" w:hAnsiTheme="minorHAnsi"/>
          <w:color w:val="000000" w:themeColor="text1"/>
          <w:szCs w:val="24"/>
        </w:rPr>
        <w:t>. Además, los resultados deberían estar camino de ser alcanzados. Mientras que el indicador de rendimiento 1 se refiere a resultados de igualdad de género y empoderamiento de las mujeres</w:t>
      </w:r>
      <w:r w:rsidRPr="003F7198">
        <w:rPr>
          <w:rFonts w:asciiTheme="minorHAnsi" w:hAnsiTheme="minorHAnsi"/>
          <w:color w:val="000000" w:themeColor="text1"/>
          <w:szCs w:val="24"/>
          <w:cs/>
        </w:rPr>
        <w:t>‎</w:t>
      </w:r>
      <w:r w:rsidRPr="003F7198">
        <w:rPr>
          <w:rFonts w:asciiTheme="minorHAnsi" w:hAnsiTheme="minorHAnsi"/>
          <w:color w:val="000000" w:themeColor="text1"/>
          <w:szCs w:val="24"/>
        </w:rPr>
        <w:t xml:space="preserve"> a nivel corporativo, este indicador de rendimiento se refiere a resultados de iniciativas programáticas individuales que no constan plena ni directamente en el documento principal de planificación estratégica. Deberían utilizarse como alternativa a la información sobre el indicador de rendimiento 1. Las entidades deberían informar sobre el indicador de rendimiento 1 y ese indicador de rendimiento, según el caso. Esos resultados pueden ser de nivel mundial, regional, nacional y/o comunitario.</w:t>
      </w:r>
    </w:p>
    <w:tbl>
      <w:tblPr>
        <w:tblStyle w:val="TableGrid"/>
        <w:tblW w:w="5000" w:type="pct"/>
        <w:tblLook w:val="04A0" w:firstRow="1" w:lastRow="0" w:firstColumn="1" w:lastColumn="0" w:noHBand="0" w:noVBand="1"/>
      </w:tblPr>
      <w:tblGrid>
        <w:gridCol w:w="6644"/>
        <w:gridCol w:w="1899"/>
        <w:gridCol w:w="1086"/>
      </w:tblGrid>
      <w:tr w:rsidR="00580811" w:rsidRPr="003F7198" w:rsidTr="002B205E">
        <w:tc>
          <w:tcPr>
            <w:tcW w:w="3461" w:type="pct"/>
          </w:tcPr>
          <w:p w:rsidR="00580811" w:rsidRPr="003F7198" w:rsidRDefault="00580811" w:rsidP="002B205E">
            <w:pPr>
              <w:keepNext/>
              <w:keepLines/>
              <w:jc w:val="both"/>
              <w:rPr>
                <w:color w:val="000000" w:themeColor="text1"/>
              </w:rPr>
            </w:pPr>
            <w:r w:rsidRPr="003F7198">
              <w:rPr>
                <w:color w:val="000000" w:themeColor="text1"/>
                <w:u w:val="single"/>
              </w:rPr>
              <w:t>Productos</w:t>
            </w:r>
          </w:p>
        </w:tc>
        <w:tc>
          <w:tcPr>
            <w:tcW w:w="962" w:type="pct"/>
          </w:tcPr>
          <w:p w:rsidR="00580811" w:rsidRPr="003F7198" w:rsidRDefault="00580811" w:rsidP="002B205E">
            <w:pPr>
              <w:keepNext/>
              <w:keepLines/>
              <w:jc w:val="center"/>
              <w:rPr>
                <w:color w:val="000000" w:themeColor="text1"/>
              </w:rPr>
            </w:pPr>
            <w:r w:rsidRPr="003F7198">
              <w:rPr>
                <w:color w:val="000000" w:themeColor="text1"/>
                <w:u w:val="single"/>
              </w:rPr>
              <w:t>Titular/Implicado</w:t>
            </w:r>
          </w:p>
        </w:tc>
        <w:tc>
          <w:tcPr>
            <w:tcW w:w="576" w:type="pct"/>
          </w:tcPr>
          <w:p w:rsidR="00580811" w:rsidRPr="003F7198" w:rsidRDefault="00580811" w:rsidP="002B205E">
            <w:pPr>
              <w:keepNext/>
              <w:keepLines/>
              <w:jc w:val="center"/>
              <w:rPr>
                <w:color w:val="000000" w:themeColor="text1"/>
              </w:rPr>
            </w:pPr>
            <w:r w:rsidRPr="003F7198">
              <w:rPr>
                <w:color w:val="000000" w:themeColor="text1"/>
                <w:u w:val="single"/>
              </w:rPr>
              <w:t>Plazo</w:t>
            </w:r>
          </w:p>
        </w:tc>
      </w:tr>
      <w:tr w:rsidR="00580811" w:rsidRPr="003F7198" w:rsidTr="002B205E">
        <w:tc>
          <w:tcPr>
            <w:tcW w:w="3461" w:type="pct"/>
          </w:tcPr>
          <w:p w:rsidR="00580811" w:rsidRPr="003F7198" w:rsidRDefault="00580811" w:rsidP="00A83B18">
            <w:pPr>
              <w:ind w:left="567" w:hanging="567"/>
              <w:rPr>
                <w:color w:val="000000" w:themeColor="text1"/>
              </w:rPr>
            </w:pPr>
            <w:r w:rsidRPr="003F7198">
              <w:rPr>
                <w:rFonts w:eastAsia="Times New Roman" w:cs="Times New Roman"/>
                <w:color w:val="000000" w:themeColor="text1"/>
              </w:rPr>
              <w:t>3.1</w:t>
            </w:r>
            <w:r w:rsidRPr="003F7198">
              <w:rPr>
                <w:rFonts w:eastAsia="Times New Roman" w:cs="Times New Roman"/>
                <w:color w:val="000000" w:themeColor="text1"/>
              </w:rPr>
              <w:tab/>
            </w:r>
            <w:r w:rsidRPr="003F7198">
              <w:rPr>
                <w:lang w:eastAsia="zh-CN"/>
              </w:rPr>
              <w:t>Género en programación y en curso (</w:t>
            </w:r>
            <w:proofErr w:type="spellStart"/>
            <w:r w:rsidRPr="003F7198">
              <w:rPr>
                <w:lang w:eastAsia="zh-CN"/>
              </w:rPr>
              <w:t>EQUALs</w:t>
            </w:r>
            <w:proofErr w:type="spellEnd"/>
            <w:r w:rsidRPr="003F7198">
              <w:rPr>
                <w:lang w:eastAsia="zh-CN"/>
              </w:rPr>
              <w:t>, BBC etc.); SG</w:t>
            </w:r>
          </w:p>
        </w:tc>
        <w:tc>
          <w:tcPr>
            <w:tcW w:w="962" w:type="pct"/>
          </w:tcPr>
          <w:p w:rsidR="00580811" w:rsidRPr="003F7198" w:rsidRDefault="00580811" w:rsidP="002B205E">
            <w:pPr>
              <w:keepNext/>
              <w:keepLines/>
              <w:jc w:val="center"/>
              <w:rPr>
                <w:color w:val="000000" w:themeColor="text1"/>
              </w:rPr>
            </w:pPr>
            <w:r w:rsidRPr="003F7198">
              <w:rPr>
                <w:lang w:eastAsia="zh-CN"/>
              </w:rPr>
              <w:t>SG</w:t>
            </w:r>
            <w:r w:rsidRPr="003F7198">
              <w:rPr>
                <w:rFonts w:asciiTheme="minorHAnsi" w:eastAsia="Times New Roman" w:hAnsiTheme="minorHAnsi" w:cs="Times New Roman"/>
                <w:color w:val="000000" w:themeColor="text1"/>
                <w:szCs w:val="24"/>
              </w:rPr>
              <w:t>/</w:t>
            </w:r>
            <w:r w:rsidRPr="003F7198">
              <w:rPr>
                <w:lang w:eastAsia="zh-CN"/>
              </w:rPr>
              <w:t>CSD</w:t>
            </w:r>
          </w:p>
        </w:tc>
        <w:tc>
          <w:tcPr>
            <w:tcW w:w="576" w:type="pct"/>
          </w:tcPr>
          <w:p w:rsidR="00580811" w:rsidRPr="003F7198" w:rsidRDefault="00580811" w:rsidP="002B205E">
            <w:pPr>
              <w:keepNext/>
              <w:keepLines/>
              <w:jc w:val="center"/>
              <w:rPr>
                <w:color w:val="000000" w:themeColor="text1"/>
              </w:rPr>
            </w:pPr>
            <w:r w:rsidRPr="003F7198">
              <w:rPr>
                <w:rFonts w:asciiTheme="minorHAnsi" w:hAnsiTheme="minorHAnsi"/>
                <w:color w:val="000000" w:themeColor="text1"/>
                <w:szCs w:val="24"/>
              </w:rPr>
              <w:t>Di</w:t>
            </w:r>
            <w:r w:rsidRPr="003F7198">
              <w:rPr>
                <w:rFonts w:asciiTheme="minorHAnsi" w:eastAsia="Times New Roman" w:hAnsiTheme="minorHAnsi" w:cs="Times New Roman"/>
                <w:color w:val="000000" w:themeColor="text1"/>
                <w:szCs w:val="24"/>
              </w:rPr>
              <w:t>c</w:t>
            </w:r>
          </w:p>
        </w:tc>
      </w:tr>
      <w:tr w:rsidR="00580811" w:rsidRPr="003F7198" w:rsidTr="002B205E">
        <w:tc>
          <w:tcPr>
            <w:tcW w:w="3461" w:type="pct"/>
          </w:tcPr>
          <w:p w:rsidR="00580811" w:rsidRPr="003F7198" w:rsidRDefault="00BF4940" w:rsidP="00A83B18">
            <w:pPr>
              <w:ind w:left="567" w:hanging="567"/>
              <w:rPr>
                <w:color w:val="000000" w:themeColor="text1"/>
              </w:rPr>
            </w:pPr>
            <w:r w:rsidRPr="003F7198">
              <w:rPr>
                <w:rFonts w:eastAsia="Times New Roman" w:cs="Times New Roman"/>
                <w:color w:val="000000" w:themeColor="text1"/>
              </w:rPr>
              <w:t>3</w:t>
            </w:r>
            <w:r w:rsidR="00580811" w:rsidRPr="003F7198">
              <w:rPr>
                <w:rFonts w:eastAsia="Times New Roman" w:cs="Times New Roman"/>
                <w:color w:val="000000" w:themeColor="text1"/>
              </w:rPr>
              <w:t>.2</w:t>
            </w:r>
            <w:r w:rsidR="00580811" w:rsidRPr="003F7198">
              <w:rPr>
                <w:rFonts w:eastAsia="Times New Roman" w:cs="Times New Roman"/>
                <w:color w:val="000000" w:themeColor="text1"/>
              </w:rPr>
              <w:tab/>
            </w:r>
            <w:r w:rsidR="00580811" w:rsidRPr="003F7198">
              <w:rPr>
                <w:rFonts w:asciiTheme="minorHAnsi" w:hAnsiTheme="minorHAnsi"/>
                <w:color w:val="000000" w:themeColor="text1"/>
                <w:szCs w:val="24"/>
                <w:lang w:eastAsia="zh-CN"/>
              </w:rPr>
              <w:t>Género en programación (Día de las Niñas en las TIC) y en curso; BDT</w:t>
            </w:r>
          </w:p>
        </w:tc>
        <w:tc>
          <w:tcPr>
            <w:tcW w:w="962" w:type="pct"/>
          </w:tcPr>
          <w:p w:rsidR="00580811" w:rsidRPr="003F7198" w:rsidRDefault="00580811" w:rsidP="002B205E">
            <w:pPr>
              <w:keepNext/>
              <w:keepLines/>
              <w:jc w:val="center"/>
              <w:rPr>
                <w:color w:val="000000" w:themeColor="text1"/>
              </w:rPr>
            </w:pPr>
            <w:r w:rsidRPr="003F7198">
              <w:rPr>
                <w:rFonts w:asciiTheme="minorHAnsi" w:hAnsiTheme="minorHAnsi"/>
                <w:color w:val="000000" w:themeColor="text1"/>
                <w:szCs w:val="24"/>
                <w:lang w:eastAsia="zh-CN"/>
              </w:rPr>
              <w:t>BDT</w:t>
            </w:r>
          </w:p>
        </w:tc>
        <w:tc>
          <w:tcPr>
            <w:tcW w:w="576" w:type="pct"/>
          </w:tcPr>
          <w:p w:rsidR="00580811" w:rsidRPr="003F7198" w:rsidRDefault="00580811" w:rsidP="002B205E">
            <w:pPr>
              <w:keepNext/>
              <w:keepLines/>
              <w:jc w:val="center"/>
              <w:rPr>
                <w:color w:val="000000" w:themeColor="text1"/>
              </w:rPr>
            </w:pPr>
            <w:r w:rsidRPr="003F7198">
              <w:rPr>
                <w:rFonts w:asciiTheme="minorHAnsi" w:hAnsiTheme="minorHAnsi"/>
                <w:color w:val="000000" w:themeColor="text1"/>
                <w:szCs w:val="24"/>
                <w:lang w:eastAsia="zh-CN"/>
              </w:rPr>
              <w:t>Dic</w:t>
            </w:r>
          </w:p>
        </w:tc>
      </w:tr>
      <w:tr w:rsidR="00580811" w:rsidRPr="003F7198" w:rsidTr="002B205E">
        <w:tc>
          <w:tcPr>
            <w:tcW w:w="3461" w:type="pct"/>
          </w:tcPr>
          <w:p w:rsidR="00580811" w:rsidRPr="003F7198" w:rsidRDefault="00BF4940" w:rsidP="00A83B18">
            <w:pPr>
              <w:ind w:left="567" w:hanging="567"/>
              <w:rPr>
                <w:color w:val="000000" w:themeColor="text1"/>
              </w:rPr>
            </w:pPr>
            <w:r w:rsidRPr="003F7198">
              <w:rPr>
                <w:rFonts w:eastAsia="Times New Roman" w:cs="Times New Roman"/>
                <w:color w:val="000000" w:themeColor="text1"/>
              </w:rPr>
              <w:t>3</w:t>
            </w:r>
            <w:r w:rsidR="00580811" w:rsidRPr="003F7198">
              <w:rPr>
                <w:rFonts w:eastAsia="Times New Roman" w:cs="Times New Roman"/>
                <w:color w:val="000000" w:themeColor="text1"/>
              </w:rPr>
              <w:t>.3</w:t>
            </w:r>
            <w:r w:rsidR="00580811" w:rsidRPr="003F7198">
              <w:rPr>
                <w:rFonts w:eastAsia="Times New Roman" w:cs="Times New Roman"/>
                <w:color w:val="000000" w:themeColor="text1"/>
              </w:rPr>
              <w:tab/>
            </w:r>
            <w:r w:rsidR="00580811" w:rsidRPr="003F7198">
              <w:rPr>
                <w:rFonts w:asciiTheme="minorHAnsi" w:hAnsiTheme="minorHAnsi"/>
                <w:color w:val="000000" w:themeColor="text1"/>
                <w:szCs w:val="24"/>
                <w:lang w:eastAsia="zh-CN"/>
              </w:rPr>
              <w:t>Género en programación y en curso; BR</w:t>
            </w:r>
          </w:p>
        </w:tc>
        <w:tc>
          <w:tcPr>
            <w:tcW w:w="962" w:type="pct"/>
          </w:tcPr>
          <w:p w:rsidR="00580811" w:rsidRPr="003F7198" w:rsidRDefault="00580811" w:rsidP="002B205E">
            <w:pPr>
              <w:keepNext/>
              <w:keepLines/>
              <w:jc w:val="center"/>
              <w:rPr>
                <w:color w:val="000000" w:themeColor="text1"/>
              </w:rPr>
            </w:pPr>
            <w:r w:rsidRPr="003F7198">
              <w:rPr>
                <w:rFonts w:asciiTheme="minorHAnsi" w:hAnsiTheme="minorHAnsi"/>
                <w:color w:val="000000" w:themeColor="text1"/>
                <w:szCs w:val="24"/>
                <w:lang w:eastAsia="zh-CN"/>
              </w:rPr>
              <w:t>BR</w:t>
            </w:r>
          </w:p>
        </w:tc>
        <w:tc>
          <w:tcPr>
            <w:tcW w:w="576" w:type="pct"/>
          </w:tcPr>
          <w:p w:rsidR="00580811" w:rsidRPr="003F7198" w:rsidRDefault="00580811" w:rsidP="002B205E">
            <w:pPr>
              <w:keepNext/>
              <w:keepLines/>
              <w:jc w:val="center"/>
              <w:rPr>
                <w:color w:val="000000" w:themeColor="text1"/>
              </w:rPr>
            </w:pPr>
            <w:r w:rsidRPr="003F7198">
              <w:rPr>
                <w:rFonts w:asciiTheme="minorHAnsi" w:hAnsiTheme="minorHAnsi"/>
                <w:color w:val="000000" w:themeColor="text1"/>
                <w:szCs w:val="24"/>
                <w:lang w:eastAsia="zh-CN"/>
              </w:rPr>
              <w:t>Dic</w:t>
            </w:r>
          </w:p>
        </w:tc>
      </w:tr>
      <w:tr w:rsidR="00BF4940" w:rsidRPr="003F7198" w:rsidTr="002B205E">
        <w:tc>
          <w:tcPr>
            <w:tcW w:w="3461" w:type="pct"/>
          </w:tcPr>
          <w:p w:rsidR="00BF4940" w:rsidRPr="003F7198" w:rsidRDefault="00BF4940" w:rsidP="00A83B18">
            <w:pPr>
              <w:ind w:left="567" w:hanging="567"/>
              <w:rPr>
                <w:color w:val="000000" w:themeColor="text1"/>
              </w:rPr>
            </w:pPr>
            <w:r w:rsidRPr="003F7198">
              <w:rPr>
                <w:color w:val="000000" w:themeColor="text1"/>
              </w:rPr>
              <w:t>3.4</w:t>
            </w:r>
            <w:r w:rsidRPr="003F7198">
              <w:rPr>
                <w:color w:val="000000" w:themeColor="text1"/>
              </w:rPr>
              <w:tab/>
            </w:r>
            <w:r w:rsidRPr="003F7198">
              <w:rPr>
                <w:rFonts w:asciiTheme="minorHAnsi" w:hAnsiTheme="minorHAnsi"/>
                <w:color w:val="000000" w:themeColor="text1"/>
                <w:szCs w:val="24"/>
                <w:lang w:eastAsia="zh-CN"/>
              </w:rPr>
              <w:t>Género en programación y en curso; TSB</w:t>
            </w:r>
          </w:p>
        </w:tc>
        <w:tc>
          <w:tcPr>
            <w:tcW w:w="962" w:type="pct"/>
          </w:tcPr>
          <w:p w:rsidR="00BF4940" w:rsidRPr="003F7198" w:rsidRDefault="00BF4940" w:rsidP="002B205E">
            <w:pPr>
              <w:keepNext/>
              <w:keepLines/>
              <w:jc w:val="center"/>
              <w:rPr>
                <w:rFonts w:asciiTheme="minorHAnsi" w:hAnsiTheme="minorHAnsi"/>
                <w:color w:val="000000" w:themeColor="text1"/>
                <w:szCs w:val="24"/>
                <w:lang w:eastAsia="zh-CN"/>
              </w:rPr>
            </w:pPr>
            <w:r w:rsidRPr="003F7198">
              <w:rPr>
                <w:rFonts w:asciiTheme="minorHAnsi" w:hAnsiTheme="minorHAnsi"/>
                <w:color w:val="000000" w:themeColor="text1"/>
                <w:szCs w:val="24"/>
                <w:lang w:eastAsia="zh-CN"/>
              </w:rPr>
              <w:t>TSB</w:t>
            </w:r>
          </w:p>
        </w:tc>
        <w:tc>
          <w:tcPr>
            <w:tcW w:w="576" w:type="pct"/>
          </w:tcPr>
          <w:p w:rsidR="00BF4940" w:rsidRPr="003F7198" w:rsidRDefault="00BF4940" w:rsidP="002B205E">
            <w:pPr>
              <w:keepNext/>
              <w:keepLines/>
              <w:jc w:val="center"/>
              <w:rPr>
                <w:rFonts w:asciiTheme="minorHAnsi" w:hAnsiTheme="minorHAnsi"/>
                <w:color w:val="000000" w:themeColor="text1"/>
                <w:szCs w:val="24"/>
                <w:lang w:eastAsia="zh-CN"/>
              </w:rPr>
            </w:pPr>
            <w:r w:rsidRPr="003F7198">
              <w:rPr>
                <w:rFonts w:asciiTheme="minorHAnsi" w:hAnsiTheme="minorHAnsi"/>
                <w:color w:val="000000" w:themeColor="text1"/>
                <w:szCs w:val="24"/>
                <w:lang w:eastAsia="zh-CN"/>
              </w:rPr>
              <w:t>Dic</w:t>
            </w:r>
          </w:p>
        </w:tc>
      </w:tr>
    </w:tbl>
    <w:p w:rsidR="001400D1" w:rsidRPr="004B5F3A" w:rsidRDefault="001400D1" w:rsidP="004B5F3A">
      <w:pPr>
        <w:spacing w:before="0"/>
      </w:pPr>
    </w:p>
    <w:p w:rsidR="00F16CCA" w:rsidRPr="003F7198" w:rsidRDefault="008D6CBE" w:rsidP="00984C56">
      <w:pPr>
        <w:keepNext/>
        <w:keepLines/>
        <w:pBdr>
          <w:bottom w:val="single" w:sz="4" w:space="1" w:color="auto"/>
        </w:pBdr>
        <w:tabs>
          <w:tab w:val="clear" w:pos="1701"/>
          <w:tab w:val="left" w:pos="5529"/>
        </w:tabs>
        <w:spacing w:before="240"/>
        <w:rPr>
          <w:rFonts w:asciiTheme="minorHAnsi" w:hAnsiTheme="minorHAnsi"/>
          <w:color w:val="000000" w:themeColor="text1"/>
          <w:szCs w:val="24"/>
          <w:lang w:eastAsia="zh-CN"/>
        </w:rPr>
      </w:pPr>
      <w:r w:rsidRPr="003F7198">
        <w:rPr>
          <w:rFonts w:asciiTheme="minorHAnsi" w:hAnsiTheme="minorHAnsi"/>
          <w:b/>
          <w:bCs/>
          <w:color w:val="000000" w:themeColor="text1"/>
          <w:szCs w:val="24"/>
          <w:lang w:eastAsia="zh-CN"/>
        </w:rPr>
        <w:t>4</w:t>
      </w:r>
      <w:r w:rsidRPr="003F7198">
        <w:rPr>
          <w:rFonts w:asciiTheme="minorHAnsi" w:hAnsiTheme="minorHAnsi"/>
          <w:b/>
          <w:bCs/>
          <w:color w:val="000000" w:themeColor="text1"/>
          <w:szCs w:val="24"/>
          <w:lang w:eastAsia="zh-CN"/>
        </w:rPr>
        <w:tab/>
        <w:t>Evaluación</w:t>
      </w:r>
      <w:r w:rsidRPr="003F7198">
        <w:rPr>
          <w:rFonts w:asciiTheme="minorHAnsi" w:hAnsiTheme="minorHAnsi"/>
          <w:b/>
          <w:bCs/>
          <w:color w:val="000000" w:themeColor="text1"/>
          <w:szCs w:val="24"/>
          <w:lang w:eastAsia="zh-CN"/>
        </w:rPr>
        <w:tab/>
      </w:r>
      <w:r w:rsidRPr="003F7198">
        <w:rPr>
          <w:rFonts w:asciiTheme="minorHAnsi" w:hAnsiTheme="minorHAnsi"/>
          <w:b/>
          <w:bCs/>
          <w:color w:val="000000" w:themeColor="text1"/>
          <w:szCs w:val="24"/>
          <w:lang w:eastAsia="zh-CN"/>
        </w:rPr>
        <w:tab/>
      </w:r>
      <w:r w:rsidRPr="003F7198">
        <w:rPr>
          <w:rFonts w:asciiTheme="minorHAnsi" w:hAnsiTheme="minorHAnsi"/>
          <w:b/>
          <w:bCs/>
          <w:color w:val="000000" w:themeColor="text1"/>
          <w:szCs w:val="24"/>
          <w:lang w:eastAsia="zh-CN"/>
        </w:rPr>
        <w:tab/>
        <w:t>Estado del SWAP en 2017:</w:t>
      </w:r>
      <w:r w:rsidRPr="003F7198">
        <w:rPr>
          <w:rFonts w:asciiTheme="minorHAnsi" w:hAnsiTheme="minorHAnsi"/>
          <w:color w:val="000000" w:themeColor="text1"/>
          <w:szCs w:val="24"/>
          <w:lang w:eastAsia="zh-CN"/>
        </w:rPr>
        <w:t xml:space="preserve"> no disponible</w:t>
      </w:r>
    </w:p>
    <w:p w:rsidR="00F16CCA" w:rsidRPr="003F7198" w:rsidRDefault="00F16CCA" w:rsidP="00BD329D">
      <w:pPr>
        <w:tabs>
          <w:tab w:val="left" w:pos="426"/>
          <w:tab w:val="center" w:pos="5387"/>
        </w:tabs>
        <w:spacing w:before="0"/>
        <w:jc w:val="both"/>
        <w:rPr>
          <w:rFonts w:asciiTheme="minorHAnsi" w:hAnsiTheme="minorHAnsi"/>
          <w:color w:val="000000" w:themeColor="text1"/>
          <w:szCs w:val="24"/>
        </w:rPr>
      </w:pPr>
      <w:r w:rsidRPr="003F7198">
        <w:rPr>
          <w:rFonts w:asciiTheme="minorHAnsi" w:hAnsiTheme="minorHAnsi"/>
          <w:color w:val="000000" w:themeColor="text1"/>
          <w:szCs w:val="24"/>
        </w:rPr>
        <w:t>Este indicador sólo es pertinente cuando hay un departamento de evaluación. Para cumplir este indicador de rendimiento de ONU-SWAP, la UIT debería cumplir las normas y reglas conexas en materia de igualdad de género del Grupo de Evaluación de las Naciones Unidas (UNEG) en todas las evaluaciones y aplicar las indicaciones del UNEG sobre integración de derechos humanos e igualdad de género en la evaluación durante toda la fase de la evaluación.</w:t>
      </w:r>
    </w:p>
    <w:tbl>
      <w:tblPr>
        <w:tblStyle w:val="TableGrid"/>
        <w:tblW w:w="5000" w:type="pct"/>
        <w:tblLook w:val="04A0" w:firstRow="1" w:lastRow="0" w:firstColumn="1" w:lastColumn="0" w:noHBand="0" w:noVBand="1"/>
      </w:tblPr>
      <w:tblGrid>
        <w:gridCol w:w="6644"/>
        <w:gridCol w:w="1899"/>
        <w:gridCol w:w="1086"/>
      </w:tblGrid>
      <w:tr w:rsidR="00BC5341" w:rsidRPr="003F7198" w:rsidTr="002B205E">
        <w:tc>
          <w:tcPr>
            <w:tcW w:w="3461" w:type="pct"/>
          </w:tcPr>
          <w:p w:rsidR="00BC5341" w:rsidRPr="003F7198" w:rsidRDefault="00BC5341" w:rsidP="002B205E">
            <w:pPr>
              <w:keepNext/>
              <w:keepLines/>
              <w:jc w:val="both"/>
              <w:rPr>
                <w:color w:val="000000" w:themeColor="text1"/>
              </w:rPr>
            </w:pPr>
            <w:r w:rsidRPr="003F7198">
              <w:rPr>
                <w:color w:val="000000" w:themeColor="text1"/>
                <w:u w:val="single"/>
              </w:rPr>
              <w:t>Productos</w:t>
            </w:r>
          </w:p>
        </w:tc>
        <w:tc>
          <w:tcPr>
            <w:tcW w:w="962" w:type="pct"/>
          </w:tcPr>
          <w:p w:rsidR="00BC5341" w:rsidRPr="003F7198" w:rsidRDefault="00BC5341" w:rsidP="002B205E">
            <w:pPr>
              <w:keepNext/>
              <w:keepLines/>
              <w:jc w:val="center"/>
              <w:rPr>
                <w:color w:val="000000" w:themeColor="text1"/>
              </w:rPr>
            </w:pPr>
            <w:r w:rsidRPr="003F7198">
              <w:rPr>
                <w:color w:val="000000" w:themeColor="text1"/>
                <w:u w:val="single"/>
              </w:rPr>
              <w:t>Titular/Implicado</w:t>
            </w:r>
          </w:p>
        </w:tc>
        <w:tc>
          <w:tcPr>
            <w:tcW w:w="576" w:type="pct"/>
          </w:tcPr>
          <w:p w:rsidR="00BC5341" w:rsidRPr="003F7198" w:rsidRDefault="00BC5341" w:rsidP="002B205E">
            <w:pPr>
              <w:keepNext/>
              <w:keepLines/>
              <w:jc w:val="center"/>
              <w:rPr>
                <w:color w:val="000000" w:themeColor="text1"/>
              </w:rPr>
            </w:pPr>
            <w:r w:rsidRPr="003F7198">
              <w:rPr>
                <w:color w:val="000000" w:themeColor="text1"/>
                <w:u w:val="single"/>
              </w:rPr>
              <w:t>Plazo</w:t>
            </w:r>
          </w:p>
        </w:tc>
      </w:tr>
      <w:tr w:rsidR="00BC5341" w:rsidRPr="003F7198" w:rsidTr="002B205E">
        <w:tc>
          <w:tcPr>
            <w:tcW w:w="3461" w:type="pct"/>
          </w:tcPr>
          <w:p w:rsidR="00BC5341" w:rsidRPr="003F7198" w:rsidRDefault="00BC5341" w:rsidP="00A83B18">
            <w:pPr>
              <w:ind w:left="567" w:hanging="567"/>
              <w:rPr>
                <w:color w:val="000000" w:themeColor="text1"/>
              </w:rPr>
            </w:pPr>
            <w:r w:rsidRPr="003F7198">
              <w:rPr>
                <w:rFonts w:asciiTheme="minorHAnsi" w:hAnsiTheme="minorHAnsi"/>
                <w:color w:val="000000" w:themeColor="text1"/>
                <w:szCs w:val="24"/>
                <w:lang w:eastAsia="zh-CN"/>
              </w:rPr>
              <w:t>4.1</w:t>
            </w:r>
            <w:r w:rsidRPr="003F7198">
              <w:rPr>
                <w:rFonts w:asciiTheme="minorHAnsi" w:hAnsiTheme="minorHAnsi"/>
                <w:color w:val="000000" w:themeColor="text1"/>
                <w:szCs w:val="24"/>
                <w:lang w:eastAsia="zh-CN"/>
              </w:rPr>
              <w:tab/>
            </w:r>
            <w:r w:rsidRPr="003F7198">
              <w:rPr>
                <w:rFonts w:asciiTheme="minorHAnsi" w:hAnsiTheme="minorHAnsi"/>
                <w:szCs w:val="24"/>
                <w:lang w:eastAsia="zh-CN"/>
              </w:rPr>
              <w:t xml:space="preserve">Seguir las normas y reglas relacionadas con el género </w:t>
            </w:r>
            <w:r w:rsidRPr="003F7198">
              <w:rPr>
                <w:rFonts w:asciiTheme="minorHAnsi" w:hAnsiTheme="minorHAnsi"/>
                <w:szCs w:val="24"/>
                <w:lang w:eastAsia="zh-CN"/>
              </w:rPr>
              <w:br/>
              <w:t>de la UNEG en cualquier evaluación</w:t>
            </w:r>
          </w:p>
        </w:tc>
        <w:tc>
          <w:tcPr>
            <w:tcW w:w="962" w:type="pct"/>
          </w:tcPr>
          <w:p w:rsidR="00BC5341" w:rsidRPr="003F7198" w:rsidRDefault="00BC5341" w:rsidP="002B205E">
            <w:pPr>
              <w:keepNext/>
              <w:keepLines/>
              <w:jc w:val="center"/>
              <w:rPr>
                <w:color w:val="000000" w:themeColor="text1"/>
              </w:rPr>
            </w:pPr>
            <w:r w:rsidRPr="003F7198">
              <w:rPr>
                <w:rFonts w:asciiTheme="minorHAnsi" w:hAnsiTheme="minorHAnsi"/>
                <w:color w:val="000000" w:themeColor="text1"/>
                <w:szCs w:val="24"/>
                <w:lang w:eastAsia="zh-CN"/>
              </w:rPr>
              <w:t>AI</w:t>
            </w:r>
          </w:p>
        </w:tc>
        <w:tc>
          <w:tcPr>
            <w:tcW w:w="576" w:type="pct"/>
          </w:tcPr>
          <w:p w:rsidR="00BC5341" w:rsidRPr="003F7198" w:rsidRDefault="00BC5341" w:rsidP="002B205E">
            <w:pPr>
              <w:keepNext/>
              <w:keepLines/>
              <w:jc w:val="center"/>
              <w:rPr>
                <w:color w:val="000000" w:themeColor="text1"/>
              </w:rPr>
            </w:pPr>
            <w:r w:rsidRPr="003F7198">
              <w:rPr>
                <w:rFonts w:asciiTheme="minorHAnsi" w:hAnsiTheme="minorHAnsi"/>
                <w:color w:val="000000" w:themeColor="text1"/>
                <w:szCs w:val="24"/>
                <w:lang w:eastAsia="zh-CN"/>
              </w:rPr>
              <w:t>Ene-Dic</w:t>
            </w:r>
          </w:p>
        </w:tc>
      </w:tr>
    </w:tbl>
    <w:p w:rsidR="001400D1" w:rsidRPr="004B5F3A" w:rsidRDefault="001400D1" w:rsidP="004B5F3A">
      <w:pPr>
        <w:spacing w:before="0"/>
      </w:pPr>
    </w:p>
    <w:p w:rsidR="004E01C7" w:rsidRPr="003F7198" w:rsidRDefault="00DA0F12" w:rsidP="00984C56">
      <w:pPr>
        <w:keepNext/>
        <w:keepLines/>
        <w:pBdr>
          <w:bottom w:val="single" w:sz="4" w:space="1" w:color="auto"/>
        </w:pBdr>
        <w:tabs>
          <w:tab w:val="clear" w:pos="1701"/>
          <w:tab w:val="left" w:pos="5529"/>
        </w:tabs>
        <w:spacing w:before="240"/>
        <w:rPr>
          <w:rFonts w:asciiTheme="minorHAnsi" w:hAnsiTheme="minorHAnsi"/>
          <w:color w:val="000000" w:themeColor="text1"/>
          <w:szCs w:val="24"/>
          <w:lang w:eastAsia="zh-CN"/>
        </w:rPr>
      </w:pPr>
      <w:r w:rsidRPr="003F7198">
        <w:rPr>
          <w:rFonts w:asciiTheme="minorHAnsi" w:hAnsiTheme="minorHAnsi"/>
          <w:b/>
          <w:bCs/>
          <w:color w:val="000000" w:themeColor="text1"/>
          <w:szCs w:val="24"/>
          <w:lang w:eastAsia="zh-CN"/>
        </w:rPr>
        <w:t>5</w:t>
      </w:r>
      <w:r w:rsidR="004E01C7" w:rsidRPr="003F7198">
        <w:rPr>
          <w:rFonts w:asciiTheme="minorHAnsi" w:hAnsiTheme="minorHAnsi"/>
          <w:b/>
          <w:bCs/>
          <w:color w:val="000000" w:themeColor="text1"/>
          <w:szCs w:val="24"/>
          <w:lang w:eastAsia="zh-CN"/>
        </w:rPr>
        <w:tab/>
        <w:t>Auditoría con perspectiva de género</w:t>
      </w:r>
      <w:r w:rsidR="004E01C7" w:rsidRPr="003F7198">
        <w:rPr>
          <w:rFonts w:asciiTheme="minorHAnsi" w:hAnsiTheme="minorHAnsi"/>
          <w:b/>
          <w:bCs/>
          <w:color w:val="000000" w:themeColor="text1"/>
          <w:szCs w:val="24"/>
          <w:lang w:eastAsia="zh-CN"/>
        </w:rPr>
        <w:tab/>
        <w:t>Estado del SWAP en 2017:</w:t>
      </w:r>
      <w:r w:rsidR="004E01C7" w:rsidRPr="003F7198">
        <w:rPr>
          <w:rFonts w:asciiTheme="minorHAnsi" w:hAnsiTheme="minorHAnsi"/>
          <w:color w:val="000000" w:themeColor="text1"/>
          <w:szCs w:val="24"/>
          <w:lang w:eastAsia="zh-CN"/>
        </w:rPr>
        <w:t xml:space="preserve"> no disponible</w:t>
      </w:r>
    </w:p>
    <w:p w:rsidR="00F16CCA" w:rsidRPr="003F7198" w:rsidRDefault="00F16CCA" w:rsidP="00BD329D">
      <w:pPr>
        <w:tabs>
          <w:tab w:val="left" w:pos="426"/>
          <w:tab w:val="center" w:pos="5387"/>
          <w:tab w:val="center" w:pos="7655"/>
          <w:tab w:val="right" w:pos="9639"/>
        </w:tabs>
        <w:spacing w:before="0"/>
        <w:jc w:val="both"/>
        <w:rPr>
          <w:rFonts w:asciiTheme="minorHAnsi" w:hAnsiTheme="minorHAnsi"/>
          <w:color w:val="000000" w:themeColor="text1"/>
          <w:szCs w:val="24"/>
        </w:rPr>
      </w:pPr>
      <w:r w:rsidRPr="003F7198">
        <w:rPr>
          <w:rFonts w:asciiTheme="minorHAnsi" w:hAnsiTheme="minorHAnsi"/>
          <w:color w:val="000000" w:themeColor="text1"/>
          <w:szCs w:val="24"/>
        </w:rPr>
        <w:t>Para cumplir este indicador de rendimiento de ONU-SWAP, la UIT necesitaría velar por que los riesgos relacionados con el género se debatieran y examinaran sistemáticamente durante la planificación de auditorías anuales o multianuales. En la documentación de planificación de los trabajos correspondientes a la preparación de programas de trabajo de auditoría anuales o multianuales constaría hasta qué punto están gestionados los riesgos relacionados con la consecución de la igualdad de género y el empoderamiento de las mujeres</w:t>
      </w:r>
      <w:r w:rsidRPr="003F7198">
        <w:rPr>
          <w:rFonts w:asciiTheme="minorHAnsi" w:hAnsiTheme="minorHAnsi"/>
          <w:color w:val="000000" w:themeColor="text1"/>
          <w:szCs w:val="24"/>
          <w:cs/>
        </w:rPr>
        <w:t>‎</w:t>
      </w:r>
      <w:r w:rsidRPr="003F7198">
        <w:rPr>
          <w:rFonts w:asciiTheme="minorHAnsi" w:hAnsiTheme="minorHAnsi"/>
          <w:color w:val="000000" w:themeColor="text1"/>
          <w:szCs w:val="24"/>
        </w:rPr>
        <w:t xml:space="preserve"> en los programas de la organización.</w:t>
      </w:r>
    </w:p>
    <w:p w:rsidR="00F16CCA" w:rsidRPr="003F7198" w:rsidRDefault="00F16CCA" w:rsidP="00BD329D">
      <w:pPr>
        <w:tabs>
          <w:tab w:val="left" w:pos="426"/>
          <w:tab w:val="center" w:pos="5387"/>
          <w:tab w:val="center" w:pos="7655"/>
          <w:tab w:val="right" w:pos="9639"/>
        </w:tabs>
        <w:spacing w:before="0"/>
        <w:jc w:val="both"/>
        <w:rPr>
          <w:rFonts w:asciiTheme="minorHAnsi" w:hAnsiTheme="minorHAnsi"/>
          <w:color w:val="000000" w:themeColor="text1"/>
          <w:szCs w:val="24"/>
        </w:rPr>
      </w:pPr>
      <w:r w:rsidRPr="003F7198">
        <w:rPr>
          <w:rFonts w:asciiTheme="minorHAnsi" w:hAnsiTheme="minorHAnsi"/>
          <w:color w:val="000000" w:themeColor="text1"/>
          <w:szCs w:val="24"/>
        </w:rPr>
        <w:t>Partiendo de evaluaciones de riesgos a nivel de compromiso, los departamentos de Auditoría Interna han desarrollado herramientas para auditar cuestiones relacionadas con la igualdad de género y el empoderamiento de las mujeres</w:t>
      </w:r>
      <w:r w:rsidRPr="003F7198">
        <w:rPr>
          <w:rFonts w:asciiTheme="minorHAnsi" w:hAnsiTheme="minorHAnsi"/>
          <w:color w:val="000000" w:themeColor="text1"/>
          <w:szCs w:val="24"/>
          <w:cs/>
        </w:rPr>
        <w:t>‎</w:t>
      </w:r>
      <w:r w:rsidRPr="003F7198">
        <w:rPr>
          <w:rFonts w:asciiTheme="minorHAnsi" w:hAnsiTheme="minorHAnsi"/>
          <w:color w:val="000000" w:themeColor="text1"/>
          <w:szCs w:val="24"/>
        </w:rPr>
        <w:t xml:space="preserve"> (p.ej., cumplimiento de políticas, calidad de la información, etc.) y aplicarlas según el caso en todas las fases de auditoría pertinentes.</w:t>
      </w:r>
    </w:p>
    <w:tbl>
      <w:tblPr>
        <w:tblStyle w:val="TableGrid"/>
        <w:tblW w:w="5000" w:type="pct"/>
        <w:tblLook w:val="04A0" w:firstRow="1" w:lastRow="0" w:firstColumn="1" w:lastColumn="0" w:noHBand="0" w:noVBand="1"/>
      </w:tblPr>
      <w:tblGrid>
        <w:gridCol w:w="6644"/>
        <w:gridCol w:w="1899"/>
        <w:gridCol w:w="1086"/>
      </w:tblGrid>
      <w:tr w:rsidR="00BC5341" w:rsidRPr="003F7198" w:rsidTr="002B205E">
        <w:tc>
          <w:tcPr>
            <w:tcW w:w="3461" w:type="pct"/>
          </w:tcPr>
          <w:p w:rsidR="00BC5341" w:rsidRPr="003F7198" w:rsidRDefault="00BC5341" w:rsidP="002B205E">
            <w:pPr>
              <w:keepNext/>
              <w:keepLines/>
              <w:jc w:val="both"/>
              <w:rPr>
                <w:color w:val="000000" w:themeColor="text1"/>
              </w:rPr>
            </w:pPr>
            <w:r w:rsidRPr="003F7198">
              <w:rPr>
                <w:color w:val="000000" w:themeColor="text1"/>
                <w:u w:val="single"/>
              </w:rPr>
              <w:lastRenderedPageBreak/>
              <w:t>Productos</w:t>
            </w:r>
          </w:p>
        </w:tc>
        <w:tc>
          <w:tcPr>
            <w:tcW w:w="962" w:type="pct"/>
          </w:tcPr>
          <w:p w:rsidR="00BC5341" w:rsidRPr="003F7198" w:rsidRDefault="00BC5341" w:rsidP="002B205E">
            <w:pPr>
              <w:keepNext/>
              <w:keepLines/>
              <w:jc w:val="center"/>
              <w:rPr>
                <w:color w:val="000000" w:themeColor="text1"/>
              </w:rPr>
            </w:pPr>
            <w:r w:rsidRPr="003F7198">
              <w:rPr>
                <w:color w:val="000000" w:themeColor="text1"/>
                <w:u w:val="single"/>
              </w:rPr>
              <w:t>Titular/Implicado</w:t>
            </w:r>
          </w:p>
        </w:tc>
        <w:tc>
          <w:tcPr>
            <w:tcW w:w="576" w:type="pct"/>
          </w:tcPr>
          <w:p w:rsidR="00BC5341" w:rsidRPr="003F7198" w:rsidRDefault="00BC5341" w:rsidP="002B205E">
            <w:pPr>
              <w:keepNext/>
              <w:keepLines/>
              <w:jc w:val="center"/>
              <w:rPr>
                <w:color w:val="000000" w:themeColor="text1"/>
              </w:rPr>
            </w:pPr>
            <w:r w:rsidRPr="003F7198">
              <w:rPr>
                <w:color w:val="000000" w:themeColor="text1"/>
                <w:u w:val="single"/>
              </w:rPr>
              <w:t>Plazo</w:t>
            </w:r>
          </w:p>
        </w:tc>
      </w:tr>
      <w:tr w:rsidR="00BC5341" w:rsidRPr="003F7198" w:rsidTr="002B205E">
        <w:tc>
          <w:tcPr>
            <w:tcW w:w="3461" w:type="pct"/>
          </w:tcPr>
          <w:p w:rsidR="00BC5341" w:rsidRPr="003F7198" w:rsidRDefault="00BC5341" w:rsidP="00BC5341">
            <w:pPr>
              <w:keepNext/>
              <w:keepLines/>
              <w:ind w:left="567" w:hanging="567"/>
              <w:rPr>
                <w:color w:val="000000" w:themeColor="text1"/>
              </w:rPr>
            </w:pPr>
            <w:r w:rsidRPr="003F7198">
              <w:rPr>
                <w:rFonts w:asciiTheme="minorHAnsi" w:hAnsiTheme="minorHAnsi"/>
                <w:color w:val="000000" w:themeColor="text1"/>
                <w:szCs w:val="24"/>
                <w:lang w:eastAsia="zh-CN"/>
              </w:rPr>
              <w:t>5.1</w:t>
            </w:r>
            <w:r w:rsidRPr="003F7198">
              <w:rPr>
                <w:rFonts w:asciiTheme="minorHAnsi" w:hAnsiTheme="minorHAnsi"/>
                <w:color w:val="000000" w:themeColor="text1"/>
                <w:szCs w:val="24"/>
                <w:lang w:eastAsia="zh-CN"/>
              </w:rPr>
              <w:tab/>
            </w:r>
            <w:r w:rsidRPr="003F7198">
              <w:rPr>
                <w:rFonts w:asciiTheme="minorHAnsi" w:hAnsiTheme="minorHAnsi"/>
                <w:szCs w:val="24"/>
                <w:lang w:eastAsia="zh-CN"/>
              </w:rPr>
              <w:t>Examinar los riesgos relacionados con el género en la planificación anual de los trabajos de auditoría</w:t>
            </w:r>
          </w:p>
        </w:tc>
        <w:tc>
          <w:tcPr>
            <w:tcW w:w="962" w:type="pct"/>
          </w:tcPr>
          <w:p w:rsidR="00BC5341" w:rsidRPr="003F7198" w:rsidRDefault="00BC5341" w:rsidP="002B205E">
            <w:pPr>
              <w:keepNext/>
              <w:keepLines/>
              <w:jc w:val="center"/>
              <w:rPr>
                <w:color w:val="000000" w:themeColor="text1"/>
              </w:rPr>
            </w:pPr>
            <w:r w:rsidRPr="003F7198">
              <w:rPr>
                <w:rFonts w:asciiTheme="minorHAnsi" w:hAnsiTheme="minorHAnsi"/>
                <w:color w:val="000000" w:themeColor="text1"/>
                <w:szCs w:val="24"/>
                <w:lang w:eastAsia="zh-CN"/>
              </w:rPr>
              <w:t>AI</w:t>
            </w:r>
          </w:p>
        </w:tc>
        <w:tc>
          <w:tcPr>
            <w:tcW w:w="576" w:type="pct"/>
          </w:tcPr>
          <w:p w:rsidR="00BC5341" w:rsidRPr="003F7198" w:rsidRDefault="00BC5341" w:rsidP="002B205E">
            <w:pPr>
              <w:keepNext/>
              <w:keepLines/>
              <w:jc w:val="center"/>
              <w:rPr>
                <w:color w:val="000000" w:themeColor="text1"/>
              </w:rPr>
            </w:pPr>
            <w:proofErr w:type="spellStart"/>
            <w:r w:rsidRPr="003F7198">
              <w:rPr>
                <w:rFonts w:asciiTheme="minorHAnsi" w:hAnsiTheme="minorHAnsi"/>
                <w:color w:val="000000" w:themeColor="text1"/>
                <w:szCs w:val="24"/>
                <w:lang w:eastAsia="zh-CN"/>
              </w:rPr>
              <w:t>Sep</w:t>
            </w:r>
            <w:proofErr w:type="spellEnd"/>
            <w:r w:rsidRPr="003F7198">
              <w:rPr>
                <w:rFonts w:asciiTheme="minorHAnsi" w:hAnsiTheme="minorHAnsi"/>
                <w:color w:val="000000" w:themeColor="text1"/>
                <w:szCs w:val="24"/>
                <w:lang w:eastAsia="zh-CN"/>
              </w:rPr>
              <w:t>-Dic</w:t>
            </w:r>
          </w:p>
        </w:tc>
      </w:tr>
      <w:tr w:rsidR="00BC5341" w:rsidRPr="003F7198" w:rsidTr="002B205E">
        <w:tc>
          <w:tcPr>
            <w:tcW w:w="3461" w:type="pct"/>
          </w:tcPr>
          <w:p w:rsidR="00BC5341" w:rsidRPr="003F7198" w:rsidRDefault="00BC5341" w:rsidP="00A83B18">
            <w:pPr>
              <w:ind w:left="567" w:hanging="567"/>
              <w:rPr>
                <w:color w:val="000000" w:themeColor="text1"/>
              </w:rPr>
            </w:pPr>
            <w:r w:rsidRPr="003F7198">
              <w:rPr>
                <w:rFonts w:asciiTheme="minorHAnsi" w:hAnsiTheme="minorHAnsi"/>
                <w:color w:val="000000" w:themeColor="text1"/>
                <w:szCs w:val="24"/>
                <w:lang w:eastAsia="zh-CN"/>
              </w:rPr>
              <w:t>5.2</w:t>
            </w:r>
            <w:r w:rsidRPr="003F7198">
              <w:rPr>
                <w:rFonts w:asciiTheme="minorHAnsi" w:hAnsiTheme="minorHAnsi"/>
                <w:color w:val="000000" w:themeColor="text1"/>
                <w:szCs w:val="24"/>
                <w:lang w:eastAsia="zh-CN"/>
              </w:rPr>
              <w:tab/>
            </w:r>
            <w:r w:rsidRPr="003F7198">
              <w:rPr>
                <w:rFonts w:asciiTheme="minorHAnsi" w:hAnsiTheme="minorHAnsi"/>
                <w:szCs w:val="24"/>
                <w:lang w:eastAsia="zh-CN"/>
              </w:rPr>
              <w:t>Contemplar dimensiones de género en las auditorías</w:t>
            </w:r>
          </w:p>
        </w:tc>
        <w:tc>
          <w:tcPr>
            <w:tcW w:w="962" w:type="pct"/>
          </w:tcPr>
          <w:p w:rsidR="00BC5341" w:rsidRPr="003F7198" w:rsidRDefault="00BC5341" w:rsidP="002B205E">
            <w:pPr>
              <w:keepNext/>
              <w:keepLines/>
              <w:jc w:val="center"/>
              <w:rPr>
                <w:color w:val="000000" w:themeColor="text1"/>
              </w:rPr>
            </w:pPr>
            <w:r w:rsidRPr="003F7198">
              <w:rPr>
                <w:rFonts w:asciiTheme="minorHAnsi" w:hAnsiTheme="minorHAnsi"/>
                <w:color w:val="000000" w:themeColor="text1"/>
                <w:szCs w:val="24"/>
                <w:lang w:eastAsia="zh-CN"/>
              </w:rPr>
              <w:t>AI</w:t>
            </w:r>
          </w:p>
        </w:tc>
        <w:tc>
          <w:tcPr>
            <w:tcW w:w="576" w:type="pct"/>
          </w:tcPr>
          <w:p w:rsidR="00BC5341" w:rsidRPr="003F7198" w:rsidRDefault="00BC5341" w:rsidP="002B205E">
            <w:pPr>
              <w:keepNext/>
              <w:keepLines/>
              <w:jc w:val="center"/>
              <w:rPr>
                <w:color w:val="000000" w:themeColor="text1"/>
              </w:rPr>
            </w:pPr>
            <w:r w:rsidRPr="003F7198">
              <w:rPr>
                <w:rFonts w:asciiTheme="minorHAnsi" w:hAnsiTheme="minorHAnsi"/>
                <w:szCs w:val="24"/>
                <w:lang w:eastAsia="zh-CN"/>
              </w:rPr>
              <w:t>Ene-Dic</w:t>
            </w:r>
          </w:p>
        </w:tc>
      </w:tr>
    </w:tbl>
    <w:p w:rsidR="00BC5341" w:rsidRPr="004B5F3A" w:rsidRDefault="00BC5341" w:rsidP="004B5F3A">
      <w:pPr>
        <w:spacing w:before="0"/>
      </w:pPr>
    </w:p>
    <w:p w:rsidR="00F16CCA" w:rsidRPr="003F7198" w:rsidRDefault="009573BD" w:rsidP="009573BD">
      <w:pPr>
        <w:pStyle w:val="Heading1"/>
      </w:pPr>
      <w:r w:rsidRPr="003F7198">
        <w:t>B</w:t>
      </w:r>
      <w:r w:rsidR="00F16CCA" w:rsidRPr="003F7198">
        <w:tab/>
        <w:t>Fortalecimiento institucional para apoyar la consecución de resultados</w:t>
      </w:r>
    </w:p>
    <w:p w:rsidR="00F16CCA" w:rsidRPr="003F7198" w:rsidRDefault="00F16CCA" w:rsidP="009F74D0">
      <w:pPr>
        <w:keepNext/>
        <w:keepLines/>
        <w:pBdr>
          <w:bottom w:val="single" w:sz="4" w:space="1" w:color="auto"/>
        </w:pBdr>
        <w:tabs>
          <w:tab w:val="right" w:pos="9639"/>
        </w:tabs>
        <w:spacing w:before="240"/>
        <w:rPr>
          <w:color w:val="000000" w:themeColor="text1"/>
        </w:rPr>
      </w:pPr>
      <w:r w:rsidRPr="003F7198">
        <w:rPr>
          <w:b/>
          <w:bCs/>
          <w:color w:val="000000" w:themeColor="text1"/>
        </w:rPr>
        <w:t>6</w:t>
      </w:r>
      <w:r w:rsidRPr="003F7198">
        <w:rPr>
          <w:b/>
          <w:bCs/>
          <w:color w:val="000000" w:themeColor="text1"/>
        </w:rPr>
        <w:tab/>
        <w:t>La Política y el Plan</w:t>
      </w:r>
      <w:r w:rsidRPr="003F7198">
        <w:rPr>
          <w:b/>
          <w:bCs/>
          <w:color w:val="000000" w:themeColor="text1"/>
        </w:rPr>
        <w:tab/>
      </w:r>
      <w:r w:rsidRPr="003F7198">
        <w:rPr>
          <w:b/>
          <w:bCs/>
          <w:color w:val="000000" w:themeColor="text1"/>
        </w:rPr>
        <w:tab/>
        <w:t xml:space="preserve">Estado del SWAP en 2017: </w:t>
      </w:r>
      <w:r w:rsidRPr="003F7198">
        <w:rPr>
          <w:color w:val="000000" w:themeColor="text1"/>
        </w:rPr>
        <w:t>casi cumple los requisitos</w:t>
      </w:r>
    </w:p>
    <w:p w:rsidR="00F16CCA" w:rsidRPr="003F7198" w:rsidRDefault="00F16CCA" w:rsidP="004A5C61">
      <w:pPr>
        <w:spacing w:after="120"/>
      </w:pPr>
      <w:r w:rsidRPr="003F7198">
        <w:t>Para satisfacer este indicador de rendimiento del ONU-SWAP, la UIT necesitaría tener una política o un plan actualizado de igualdad de género y empleo de la mujer que contemplase tanto la integración de género como la igualdad de representación de la mujer. Puede tratarse de documentos independientes o de un solo documento. Su contenido tendría que armonizarse con los requisitos del ONU-SWAP e incluir la rendición de cuentas a todos los niveles, sin olvidar la alta dirección. Las prescripciones de la rendición de cuentas deberían incluir la evaluación en la valoración del rendimiento y/o los contratos del personal de alta dirección donde se especificasen sus responsabilidades. Sería necesario que el plan de aplicación incluyese la integración de las cuestiones de género, intervenciones orientadas específicamente a las cuestiones de género, y que se expresase con toda claridad la igualdad de la representación de la mujer en la dotación del personal. Además, la supervisión y evaluación de la política y el plan de acción deberían ser claras, completarse con plazos y contar con mecanismos que garantizasen que la supervisión y la evaluación se llevasen realmente a cabo y que los resultados se realimentasen en la programación. Además, las políticas deberían contener a partir de ahora una sección sobre los principales resultados de la IGEM, vinculados a los ODS, que podría ser un resumen detallado del documento principal de planificación estratégica. También debería incorporas una sección sobre el seguimiento de los vínculos entre el fortalecimiento institucional y los resultados pr</w:t>
      </w:r>
      <w:r w:rsidR="003A759E" w:rsidRPr="003F7198">
        <w:t>evistos, es decir, determinar có</w:t>
      </w:r>
      <w:r w:rsidRPr="003F7198">
        <w:t>mo el fortalecimiento institucional, definido en los indicadores de rendimiento en la segunda parte de ONU-SWAP 2.0, apoya la consecución de los resultados previstos. Para cumplir los requisitos de igualdad de representación de las mujeres, la UIT debe demostrar que ha aplicado políticas que apoyan la representación femenina en los distintos niveles de la organización.</w:t>
      </w:r>
    </w:p>
    <w:tbl>
      <w:tblPr>
        <w:tblStyle w:val="TableGrid"/>
        <w:tblW w:w="5000" w:type="pct"/>
        <w:tblLook w:val="04A0" w:firstRow="1" w:lastRow="0" w:firstColumn="1" w:lastColumn="0" w:noHBand="0" w:noVBand="1"/>
      </w:tblPr>
      <w:tblGrid>
        <w:gridCol w:w="6644"/>
        <w:gridCol w:w="1899"/>
        <w:gridCol w:w="1086"/>
      </w:tblGrid>
      <w:tr w:rsidR="00F16CCA" w:rsidRPr="003F7198" w:rsidTr="000B75EF">
        <w:tc>
          <w:tcPr>
            <w:tcW w:w="3461" w:type="pct"/>
          </w:tcPr>
          <w:p w:rsidR="00F16CCA" w:rsidRPr="003F7198" w:rsidRDefault="00F16CCA" w:rsidP="000B75EF">
            <w:pPr>
              <w:keepNext/>
              <w:keepLines/>
              <w:jc w:val="both"/>
              <w:rPr>
                <w:color w:val="000000" w:themeColor="text1"/>
              </w:rPr>
            </w:pPr>
            <w:r w:rsidRPr="003F7198">
              <w:rPr>
                <w:color w:val="000000" w:themeColor="text1"/>
                <w:u w:val="single"/>
              </w:rPr>
              <w:t>Productos</w:t>
            </w:r>
          </w:p>
        </w:tc>
        <w:tc>
          <w:tcPr>
            <w:tcW w:w="962" w:type="pct"/>
          </w:tcPr>
          <w:p w:rsidR="00F16CCA" w:rsidRPr="003F7198" w:rsidRDefault="00F16CCA" w:rsidP="000B75EF">
            <w:pPr>
              <w:keepNext/>
              <w:keepLines/>
              <w:jc w:val="center"/>
              <w:rPr>
                <w:color w:val="000000" w:themeColor="text1"/>
              </w:rPr>
            </w:pPr>
            <w:r w:rsidRPr="003F7198">
              <w:rPr>
                <w:color w:val="000000" w:themeColor="text1"/>
                <w:u w:val="single"/>
              </w:rPr>
              <w:t>Titular/Implicado</w:t>
            </w:r>
          </w:p>
        </w:tc>
        <w:tc>
          <w:tcPr>
            <w:tcW w:w="576" w:type="pct"/>
          </w:tcPr>
          <w:p w:rsidR="00F16CCA" w:rsidRPr="003F7198" w:rsidRDefault="00F16CCA" w:rsidP="000B75EF">
            <w:pPr>
              <w:keepNext/>
              <w:keepLines/>
              <w:jc w:val="center"/>
              <w:rPr>
                <w:color w:val="000000" w:themeColor="text1"/>
              </w:rPr>
            </w:pPr>
            <w:r w:rsidRPr="003F7198">
              <w:rPr>
                <w:color w:val="000000" w:themeColor="text1"/>
                <w:u w:val="single"/>
              </w:rPr>
              <w:t>Plazo</w:t>
            </w:r>
          </w:p>
        </w:tc>
      </w:tr>
      <w:tr w:rsidR="00F16CCA" w:rsidRPr="003F7198" w:rsidTr="000B75EF">
        <w:tc>
          <w:tcPr>
            <w:tcW w:w="3461" w:type="pct"/>
          </w:tcPr>
          <w:p w:rsidR="00F16CCA" w:rsidRPr="003F7198" w:rsidRDefault="00F16CCA" w:rsidP="00A83B18">
            <w:pPr>
              <w:ind w:left="567" w:hanging="567"/>
              <w:rPr>
                <w:color w:val="000000" w:themeColor="text1"/>
              </w:rPr>
            </w:pPr>
            <w:r w:rsidRPr="003F7198">
              <w:rPr>
                <w:rFonts w:eastAsia="Times New Roman" w:cs="Times New Roman"/>
                <w:color w:val="000000" w:themeColor="text1"/>
              </w:rPr>
              <w:t>6.1</w:t>
            </w:r>
            <w:r w:rsidRPr="003F7198">
              <w:rPr>
                <w:rFonts w:eastAsia="Times New Roman" w:cs="Times New Roman"/>
                <w:color w:val="000000" w:themeColor="text1"/>
              </w:rPr>
              <w:tab/>
              <w:t>Desarrollo de una estrategia de igualdad de género para informar a la JJE</w:t>
            </w:r>
          </w:p>
        </w:tc>
        <w:tc>
          <w:tcPr>
            <w:tcW w:w="962" w:type="pct"/>
          </w:tcPr>
          <w:p w:rsidR="00F16CCA" w:rsidRPr="003F7198" w:rsidRDefault="00F16CCA" w:rsidP="000B75EF">
            <w:pPr>
              <w:keepNext/>
              <w:keepLines/>
              <w:jc w:val="center"/>
              <w:rPr>
                <w:color w:val="000000" w:themeColor="text1"/>
              </w:rPr>
            </w:pPr>
            <w:r w:rsidRPr="003F7198">
              <w:rPr>
                <w:rFonts w:eastAsia="Times New Roman" w:cs="Times New Roman"/>
                <w:color w:val="000000" w:themeColor="text1"/>
              </w:rPr>
              <w:t>RH/GBS</w:t>
            </w:r>
          </w:p>
        </w:tc>
        <w:tc>
          <w:tcPr>
            <w:tcW w:w="576" w:type="pct"/>
          </w:tcPr>
          <w:p w:rsidR="00F16CCA" w:rsidRPr="003F7198" w:rsidRDefault="00F16CCA" w:rsidP="00D5791A">
            <w:pPr>
              <w:keepNext/>
              <w:keepLines/>
              <w:jc w:val="center"/>
              <w:rPr>
                <w:color w:val="000000" w:themeColor="text1"/>
              </w:rPr>
            </w:pPr>
            <w:r w:rsidRPr="003F7198">
              <w:rPr>
                <w:rFonts w:eastAsia="Times New Roman" w:cs="Times New Roman"/>
                <w:color w:val="000000" w:themeColor="text1"/>
              </w:rPr>
              <w:t>Ene-Abr</w:t>
            </w:r>
          </w:p>
        </w:tc>
      </w:tr>
      <w:tr w:rsidR="00F16CCA" w:rsidRPr="003F7198" w:rsidTr="000B75EF">
        <w:tc>
          <w:tcPr>
            <w:tcW w:w="3461" w:type="pct"/>
          </w:tcPr>
          <w:p w:rsidR="00F16CCA" w:rsidRPr="003F7198" w:rsidRDefault="00F16CCA" w:rsidP="00A83B18">
            <w:pPr>
              <w:ind w:left="567" w:hanging="567"/>
              <w:rPr>
                <w:color w:val="000000" w:themeColor="text1"/>
              </w:rPr>
            </w:pPr>
            <w:r w:rsidRPr="003F7198">
              <w:rPr>
                <w:rFonts w:eastAsia="Times New Roman" w:cs="Times New Roman"/>
                <w:color w:val="000000" w:themeColor="text1"/>
              </w:rPr>
              <w:t>6.2</w:t>
            </w:r>
            <w:r w:rsidRPr="003F7198">
              <w:rPr>
                <w:rFonts w:eastAsia="Times New Roman" w:cs="Times New Roman"/>
                <w:color w:val="000000" w:themeColor="text1"/>
              </w:rPr>
              <w:tab/>
              <w:t>Plan de aplicación de la IIG para 2018</w:t>
            </w:r>
          </w:p>
        </w:tc>
        <w:tc>
          <w:tcPr>
            <w:tcW w:w="962" w:type="pct"/>
          </w:tcPr>
          <w:p w:rsidR="00F16CCA" w:rsidRPr="003F7198" w:rsidRDefault="00F16CCA" w:rsidP="000B75EF">
            <w:pPr>
              <w:keepNext/>
              <w:keepLines/>
              <w:jc w:val="center"/>
              <w:rPr>
                <w:color w:val="000000" w:themeColor="text1"/>
              </w:rPr>
            </w:pPr>
            <w:r w:rsidRPr="003F7198">
              <w:rPr>
                <w:rFonts w:eastAsia="Times New Roman" w:cs="Times New Roman"/>
                <w:color w:val="000000" w:themeColor="text1"/>
              </w:rPr>
              <w:t>GBS/GTF</w:t>
            </w:r>
          </w:p>
        </w:tc>
        <w:tc>
          <w:tcPr>
            <w:tcW w:w="576" w:type="pct"/>
          </w:tcPr>
          <w:p w:rsidR="00F16CCA" w:rsidRPr="003F7198" w:rsidRDefault="00F16CCA" w:rsidP="000B75EF">
            <w:pPr>
              <w:keepNext/>
              <w:keepLines/>
              <w:jc w:val="center"/>
              <w:rPr>
                <w:color w:val="000000" w:themeColor="text1"/>
              </w:rPr>
            </w:pPr>
            <w:r w:rsidRPr="003F7198">
              <w:rPr>
                <w:rFonts w:eastAsia="Times New Roman" w:cs="Times New Roman"/>
                <w:color w:val="000000" w:themeColor="text1"/>
              </w:rPr>
              <w:t>Feb-Mar</w:t>
            </w:r>
          </w:p>
        </w:tc>
      </w:tr>
      <w:tr w:rsidR="00F16CCA" w:rsidRPr="003F7198" w:rsidTr="000B75EF">
        <w:tc>
          <w:tcPr>
            <w:tcW w:w="3461" w:type="pct"/>
          </w:tcPr>
          <w:p w:rsidR="00F16CCA" w:rsidRPr="003F7198" w:rsidRDefault="00F16CCA" w:rsidP="000F6167">
            <w:pPr>
              <w:ind w:left="567" w:hanging="567"/>
              <w:rPr>
                <w:color w:val="000000" w:themeColor="text1"/>
              </w:rPr>
            </w:pPr>
            <w:r w:rsidRPr="003F7198">
              <w:rPr>
                <w:rFonts w:eastAsia="Times New Roman" w:cs="Times New Roman"/>
                <w:color w:val="000000" w:themeColor="text1"/>
              </w:rPr>
              <w:t>6.3</w:t>
            </w:r>
            <w:r w:rsidRPr="003F7198">
              <w:rPr>
                <w:rFonts w:eastAsia="Times New Roman" w:cs="Times New Roman"/>
                <w:color w:val="000000" w:themeColor="text1"/>
              </w:rPr>
              <w:tab/>
              <w:t>Aclarar la rendición de cuentas para garantizar la supervisión y el seguimiento</w:t>
            </w:r>
          </w:p>
        </w:tc>
        <w:tc>
          <w:tcPr>
            <w:tcW w:w="962" w:type="pct"/>
          </w:tcPr>
          <w:p w:rsidR="00F16CCA" w:rsidRPr="003F7198" w:rsidRDefault="00F16CCA" w:rsidP="00D5791A">
            <w:pPr>
              <w:keepNext/>
              <w:keepLines/>
              <w:jc w:val="center"/>
              <w:rPr>
                <w:color w:val="000000" w:themeColor="text1"/>
              </w:rPr>
            </w:pPr>
            <w:r w:rsidRPr="003F7198">
              <w:rPr>
                <w:rFonts w:eastAsia="Times New Roman" w:cs="Times New Roman"/>
                <w:color w:val="000000" w:themeColor="text1"/>
              </w:rPr>
              <w:t>GTF</w:t>
            </w:r>
          </w:p>
        </w:tc>
        <w:tc>
          <w:tcPr>
            <w:tcW w:w="576" w:type="pct"/>
          </w:tcPr>
          <w:p w:rsidR="00F16CCA" w:rsidRPr="003F7198" w:rsidRDefault="00F16CCA" w:rsidP="000B75EF">
            <w:pPr>
              <w:keepNext/>
              <w:keepLines/>
              <w:jc w:val="center"/>
              <w:rPr>
                <w:color w:val="000000" w:themeColor="text1"/>
              </w:rPr>
            </w:pPr>
            <w:r w:rsidRPr="003F7198">
              <w:rPr>
                <w:rFonts w:eastAsia="Times New Roman" w:cs="Times New Roman"/>
                <w:color w:val="000000" w:themeColor="text1"/>
              </w:rPr>
              <w:t>Jun-</w:t>
            </w:r>
            <w:proofErr w:type="spellStart"/>
            <w:r w:rsidRPr="003F7198">
              <w:rPr>
                <w:rFonts w:eastAsia="Times New Roman" w:cs="Times New Roman"/>
                <w:color w:val="000000" w:themeColor="text1"/>
              </w:rPr>
              <w:t>Ago</w:t>
            </w:r>
            <w:proofErr w:type="spellEnd"/>
          </w:p>
        </w:tc>
      </w:tr>
    </w:tbl>
    <w:p w:rsidR="00F16CCA" w:rsidRPr="003F7198" w:rsidRDefault="00F16CCA" w:rsidP="00D5791A">
      <w:pPr>
        <w:keepNext/>
        <w:keepLines/>
        <w:pBdr>
          <w:bottom w:val="single" w:sz="4" w:space="1" w:color="auto"/>
        </w:pBdr>
        <w:tabs>
          <w:tab w:val="right" w:pos="9639"/>
        </w:tabs>
        <w:spacing w:before="240"/>
        <w:rPr>
          <w:color w:val="000000" w:themeColor="text1"/>
        </w:rPr>
      </w:pPr>
      <w:r w:rsidRPr="003F7198">
        <w:rPr>
          <w:b/>
          <w:bCs/>
          <w:color w:val="000000" w:themeColor="text1"/>
        </w:rPr>
        <w:lastRenderedPageBreak/>
        <w:t>7</w:t>
      </w:r>
      <w:r w:rsidRPr="003F7198">
        <w:rPr>
          <w:b/>
          <w:bCs/>
          <w:color w:val="000000" w:themeColor="text1"/>
        </w:rPr>
        <w:tab/>
        <w:t>Liderazgo</w:t>
      </w:r>
      <w:r w:rsidRPr="003F7198">
        <w:rPr>
          <w:b/>
          <w:bCs/>
          <w:color w:val="000000" w:themeColor="text1"/>
        </w:rPr>
        <w:tab/>
      </w:r>
      <w:r w:rsidRPr="003F7198">
        <w:rPr>
          <w:b/>
          <w:bCs/>
          <w:color w:val="000000" w:themeColor="text1"/>
        </w:rPr>
        <w:tab/>
      </w:r>
      <w:r w:rsidRPr="003F7198">
        <w:rPr>
          <w:b/>
          <w:bCs/>
          <w:color w:val="000000" w:themeColor="text1"/>
        </w:rPr>
        <w:tab/>
      </w:r>
      <w:r w:rsidRPr="003F7198">
        <w:rPr>
          <w:b/>
          <w:bCs/>
          <w:color w:val="000000" w:themeColor="text1"/>
        </w:rPr>
        <w:tab/>
        <w:t xml:space="preserve">Estado del SWAP en 2017: </w:t>
      </w:r>
      <w:proofErr w:type="spellStart"/>
      <w:r w:rsidRPr="003F7198">
        <w:rPr>
          <w:color w:val="000000" w:themeColor="text1"/>
        </w:rPr>
        <w:t>n.d</w:t>
      </w:r>
      <w:proofErr w:type="spellEnd"/>
      <w:r w:rsidRPr="003F7198">
        <w:rPr>
          <w:color w:val="000000" w:themeColor="text1"/>
        </w:rPr>
        <w:t>.;</w:t>
      </w:r>
      <w:r w:rsidRPr="003F7198">
        <w:rPr>
          <w:b/>
          <w:bCs/>
          <w:color w:val="000000" w:themeColor="text1"/>
        </w:rPr>
        <w:t xml:space="preserve"> </w:t>
      </w:r>
      <w:r w:rsidRPr="003F7198">
        <w:rPr>
          <w:color w:val="000000" w:themeColor="text1"/>
        </w:rPr>
        <w:t>nuevo indicador en 2017</w:t>
      </w:r>
    </w:p>
    <w:p w:rsidR="00F16CCA" w:rsidRPr="003F7198" w:rsidRDefault="00F16CCA" w:rsidP="00EB7D1D">
      <w:pPr>
        <w:keepNext/>
        <w:keepLines/>
        <w:spacing w:after="120"/>
      </w:pPr>
      <w:r w:rsidRPr="003F7198">
        <w:t>Para satisfacer este indicador de rendimiento del ONU-SWAP, los altos directivos de la UIT (D1 y superior, en particular el SG y el VSG) tendrían que liderar pública e internamente el fomento de la igualdad de género y el empoderamiento de las mujeres</w:t>
      </w:r>
      <w:r w:rsidRPr="003F7198">
        <w:rPr>
          <w:cs/>
        </w:rPr>
        <w:t>‎</w:t>
      </w:r>
      <w:r w:rsidRPr="003F7198">
        <w:t>, sin olvidar la igualdad de representación de las mujeres a todos los niveles.</w:t>
      </w:r>
      <w:r w:rsidRPr="003F7198">
        <w:rPr>
          <w:rFonts w:asciiTheme="minorHAnsi" w:hAnsiTheme="minorHAnsi"/>
          <w:color w:val="000000" w:themeColor="text1"/>
          <w:szCs w:val="24"/>
        </w:rPr>
        <w:t xml:space="preserve"> En la política de la JJE para todo el sistema en materia de igualdad de género y empoderamiento de las mujeres</w:t>
      </w:r>
      <w:r w:rsidRPr="003F7198">
        <w:rPr>
          <w:rFonts w:asciiTheme="minorHAnsi" w:hAnsiTheme="minorHAnsi"/>
          <w:color w:val="000000" w:themeColor="text1"/>
          <w:szCs w:val="24"/>
          <w:cs/>
        </w:rPr>
        <w:t>‎</w:t>
      </w:r>
      <w:r w:rsidRPr="003F7198">
        <w:rPr>
          <w:rFonts w:asciiTheme="minorHAnsi" w:hAnsiTheme="minorHAnsi"/>
          <w:color w:val="000000" w:themeColor="text1"/>
          <w:szCs w:val="24"/>
        </w:rPr>
        <w:t xml:space="preserve"> se señala que los miembros de la JJE </w:t>
      </w:r>
      <w:r w:rsidR="000F6167" w:rsidRPr="003F7198">
        <w:rPr>
          <w:rFonts w:asciiTheme="minorHAnsi" w:hAnsiTheme="minorHAnsi"/>
          <w:color w:val="000000" w:themeColor="text1"/>
          <w:szCs w:val="24"/>
        </w:rPr>
        <w:t>"</w:t>
      </w:r>
      <w:r w:rsidRPr="003F7198">
        <w:rPr>
          <w:rFonts w:asciiTheme="minorHAnsi" w:hAnsiTheme="minorHAnsi"/>
          <w:color w:val="000000" w:themeColor="text1"/>
          <w:szCs w:val="24"/>
        </w:rPr>
        <w:t>[se] compromete[n] a ofrecer un fuerte liderazgo en nuestras organizaciones para garantizar que una perspectiva de género queda reflejada en todas nuestras prácticas, políticas y programas organizacionales</w:t>
      </w:r>
      <w:r w:rsidR="000F6167" w:rsidRPr="003F7198">
        <w:rPr>
          <w:rFonts w:asciiTheme="minorHAnsi" w:hAnsiTheme="minorHAnsi"/>
          <w:color w:val="000000" w:themeColor="text1"/>
          <w:szCs w:val="24"/>
        </w:rPr>
        <w:t>"</w:t>
      </w:r>
      <w:r w:rsidRPr="003F7198">
        <w:rPr>
          <w:rFonts w:asciiTheme="minorHAnsi" w:hAnsiTheme="minorHAnsi"/>
          <w:color w:val="000000" w:themeColor="text1"/>
          <w:szCs w:val="24"/>
        </w:rPr>
        <w:t>. La política de la JJE se formuló para ayudar a colmar estas diferencias en los puestos de dirección</w:t>
      </w:r>
      <w:r w:rsidRPr="003F7198">
        <w:t>.</w:t>
      </w:r>
    </w:p>
    <w:tbl>
      <w:tblPr>
        <w:tblStyle w:val="TableGrid"/>
        <w:tblW w:w="5000" w:type="pct"/>
        <w:tblLook w:val="04A0" w:firstRow="1" w:lastRow="0" w:firstColumn="1" w:lastColumn="0" w:noHBand="0" w:noVBand="1"/>
      </w:tblPr>
      <w:tblGrid>
        <w:gridCol w:w="6644"/>
        <w:gridCol w:w="1899"/>
        <w:gridCol w:w="1086"/>
      </w:tblGrid>
      <w:tr w:rsidR="00F16CCA" w:rsidRPr="003F7198" w:rsidTr="000B75EF">
        <w:tc>
          <w:tcPr>
            <w:tcW w:w="3462" w:type="pct"/>
          </w:tcPr>
          <w:p w:rsidR="00F16CCA" w:rsidRPr="003F7198" w:rsidRDefault="00F16CCA" w:rsidP="000B75EF">
            <w:pPr>
              <w:keepNext/>
              <w:keepLines/>
              <w:jc w:val="both"/>
              <w:rPr>
                <w:color w:val="000000" w:themeColor="text1"/>
              </w:rPr>
            </w:pPr>
            <w:r w:rsidRPr="003F7198">
              <w:rPr>
                <w:color w:val="000000" w:themeColor="text1"/>
                <w:u w:val="single"/>
              </w:rPr>
              <w:t>Productos</w:t>
            </w:r>
          </w:p>
        </w:tc>
        <w:tc>
          <w:tcPr>
            <w:tcW w:w="962" w:type="pct"/>
          </w:tcPr>
          <w:p w:rsidR="00F16CCA" w:rsidRPr="003F7198" w:rsidRDefault="00F16CCA" w:rsidP="000B75EF">
            <w:pPr>
              <w:keepNext/>
              <w:keepLines/>
              <w:jc w:val="both"/>
              <w:rPr>
                <w:color w:val="000000" w:themeColor="text1"/>
              </w:rPr>
            </w:pPr>
            <w:r w:rsidRPr="003F7198">
              <w:rPr>
                <w:color w:val="000000" w:themeColor="text1"/>
                <w:u w:val="single"/>
              </w:rPr>
              <w:t>Titular/Implicado</w:t>
            </w:r>
          </w:p>
        </w:tc>
        <w:tc>
          <w:tcPr>
            <w:tcW w:w="576" w:type="pct"/>
          </w:tcPr>
          <w:p w:rsidR="00F16CCA" w:rsidRPr="003F7198" w:rsidRDefault="00F16CCA" w:rsidP="000B75EF">
            <w:pPr>
              <w:keepNext/>
              <w:keepLines/>
              <w:jc w:val="center"/>
              <w:rPr>
                <w:color w:val="000000" w:themeColor="text1"/>
              </w:rPr>
            </w:pPr>
            <w:r w:rsidRPr="003F7198">
              <w:rPr>
                <w:color w:val="000000" w:themeColor="text1"/>
                <w:u w:val="single"/>
              </w:rPr>
              <w:t>Plazo</w:t>
            </w:r>
          </w:p>
        </w:tc>
      </w:tr>
      <w:tr w:rsidR="00F16CCA" w:rsidRPr="003F7198" w:rsidTr="000B75EF">
        <w:tc>
          <w:tcPr>
            <w:tcW w:w="3462" w:type="pct"/>
          </w:tcPr>
          <w:p w:rsidR="00F16CCA" w:rsidRPr="003F7198" w:rsidRDefault="00F16CCA" w:rsidP="00A83B18">
            <w:pPr>
              <w:tabs>
                <w:tab w:val="clear" w:pos="1134"/>
              </w:tabs>
              <w:ind w:left="595" w:hanging="595"/>
              <w:rPr>
                <w:color w:val="000000" w:themeColor="text1"/>
              </w:rPr>
            </w:pPr>
            <w:r w:rsidRPr="003F7198">
              <w:rPr>
                <w:rFonts w:eastAsia="Times New Roman" w:cs="Times New Roman"/>
                <w:color w:val="000000" w:themeColor="text1"/>
              </w:rPr>
              <w:t>7.1</w:t>
            </w:r>
            <w:r w:rsidRPr="003F7198">
              <w:rPr>
                <w:rFonts w:eastAsia="Times New Roman" w:cs="Times New Roman"/>
                <w:color w:val="000000" w:themeColor="text1"/>
              </w:rPr>
              <w:tab/>
              <w:t>Compromisos de la SG para 2018 como Campeón Internacional de la Cuestión de Género</w:t>
            </w:r>
          </w:p>
        </w:tc>
        <w:tc>
          <w:tcPr>
            <w:tcW w:w="962" w:type="pct"/>
          </w:tcPr>
          <w:p w:rsidR="00F16CCA" w:rsidRPr="003F7198" w:rsidRDefault="00F16CCA" w:rsidP="00B65054">
            <w:pPr>
              <w:keepNext/>
              <w:keepLines/>
              <w:jc w:val="center"/>
              <w:rPr>
                <w:color w:val="000000" w:themeColor="text1"/>
              </w:rPr>
            </w:pPr>
            <w:r w:rsidRPr="003F7198">
              <w:rPr>
                <w:rFonts w:eastAsia="Times New Roman" w:cs="Times New Roman"/>
                <w:color w:val="000000" w:themeColor="text1"/>
              </w:rPr>
              <w:t>GBS/OSG</w:t>
            </w:r>
          </w:p>
        </w:tc>
        <w:tc>
          <w:tcPr>
            <w:tcW w:w="576" w:type="pct"/>
          </w:tcPr>
          <w:p w:rsidR="00F16CCA" w:rsidRPr="003F7198" w:rsidRDefault="00F16CCA" w:rsidP="00B65054">
            <w:pPr>
              <w:keepNext/>
              <w:keepLines/>
              <w:jc w:val="center"/>
              <w:rPr>
                <w:color w:val="000000" w:themeColor="text1"/>
              </w:rPr>
            </w:pPr>
            <w:r w:rsidRPr="003F7198">
              <w:rPr>
                <w:rFonts w:eastAsia="Times New Roman" w:cs="Times New Roman"/>
                <w:color w:val="000000" w:themeColor="text1"/>
              </w:rPr>
              <w:t>Feb</w:t>
            </w:r>
          </w:p>
        </w:tc>
      </w:tr>
      <w:tr w:rsidR="00F16CCA" w:rsidRPr="003F7198" w:rsidTr="000B75EF">
        <w:tc>
          <w:tcPr>
            <w:tcW w:w="3462" w:type="pct"/>
          </w:tcPr>
          <w:p w:rsidR="00F16CCA" w:rsidRPr="003F7198" w:rsidRDefault="00F16CCA" w:rsidP="00A83B18">
            <w:pPr>
              <w:tabs>
                <w:tab w:val="clear" w:pos="1134"/>
              </w:tabs>
              <w:ind w:left="595" w:hanging="595"/>
              <w:rPr>
                <w:color w:val="000000" w:themeColor="text1"/>
              </w:rPr>
            </w:pPr>
            <w:r w:rsidRPr="003F7198">
              <w:rPr>
                <w:rFonts w:eastAsia="Times New Roman" w:cs="Times New Roman"/>
                <w:color w:val="000000" w:themeColor="text1"/>
              </w:rPr>
              <w:t>7.2</w:t>
            </w:r>
            <w:r w:rsidRPr="003F7198">
              <w:rPr>
                <w:rFonts w:eastAsia="Times New Roman" w:cs="Times New Roman"/>
                <w:color w:val="000000" w:themeColor="text1"/>
              </w:rPr>
              <w:tab/>
              <w:t>Alentar a la alta dirección de la UIT a comprometerse públicamente con las cuestiones de género</w:t>
            </w:r>
          </w:p>
        </w:tc>
        <w:tc>
          <w:tcPr>
            <w:tcW w:w="962" w:type="pct"/>
          </w:tcPr>
          <w:p w:rsidR="00F16CCA" w:rsidRPr="003F7198" w:rsidRDefault="00F16CCA" w:rsidP="000B75EF">
            <w:pPr>
              <w:keepNext/>
              <w:keepLines/>
              <w:jc w:val="center"/>
              <w:rPr>
                <w:color w:val="000000" w:themeColor="text1"/>
              </w:rPr>
            </w:pPr>
            <w:r w:rsidRPr="003F7198">
              <w:rPr>
                <w:rFonts w:eastAsia="Times New Roman" w:cs="Times New Roman"/>
                <w:color w:val="000000" w:themeColor="text1"/>
              </w:rPr>
              <w:t>COMM/DE</w:t>
            </w:r>
          </w:p>
        </w:tc>
        <w:tc>
          <w:tcPr>
            <w:tcW w:w="576" w:type="pct"/>
          </w:tcPr>
          <w:p w:rsidR="00F16CCA" w:rsidRPr="003F7198" w:rsidRDefault="00F16CCA" w:rsidP="000B75EF">
            <w:pPr>
              <w:keepNext/>
              <w:keepLines/>
              <w:jc w:val="center"/>
              <w:rPr>
                <w:color w:val="000000" w:themeColor="text1"/>
              </w:rPr>
            </w:pPr>
            <w:r w:rsidRPr="003F7198">
              <w:rPr>
                <w:rFonts w:eastAsia="Times New Roman" w:cs="Times New Roman"/>
                <w:color w:val="000000" w:themeColor="text1"/>
              </w:rPr>
              <w:t>Ene-Dic</w:t>
            </w:r>
          </w:p>
        </w:tc>
      </w:tr>
      <w:tr w:rsidR="00F16CCA" w:rsidRPr="003F7198" w:rsidTr="000B75EF">
        <w:tc>
          <w:tcPr>
            <w:tcW w:w="3462" w:type="pct"/>
          </w:tcPr>
          <w:p w:rsidR="00F16CCA" w:rsidRPr="003F7198" w:rsidRDefault="00F16CCA" w:rsidP="00A83B18">
            <w:pPr>
              <w:tabs>
                <w:tab w:val="clear" w:pos="1134"/>
              </w:tabs>
              <w:ind w:left="595" w:hanging="595"/>
              <w:rPr>
                <w:color w:val="000000" w:themeColor="text1"/>
              </w:rPr>
            </w:pPr>
            <w:r w:rsidRPr="003F7198">
              <w:rPr>
                <w:color w:val="000000" w:themeColor="text1"/>
              </w:rPr>
              <w:t>7.3</w:t>
            </w:r>
            <w:r w:rsidRPr="003F7198">
              <w:rPr>
                <w:color w:val="000000" w:themeColor="text1"/>
              </w:rPr>
              <w:tab/>
              <w:t>Consideraciones de género en los discursos y alocuciones del SG/VSG</w:t>
            </w:r>
          </w:p>
        </w:tc>
        <w:tc>
          <w:tcPr>
            <w:tcW w:w="962" w:type="pct"/>
          </w:tcPr>
          <w:p w:rsidR="00F16CCA" w:rsidRPr="003F7198" w:rsidRDefault="00F16CCA" w:rsidP="000B75EF">
            <w:pPr>
              <w:keepNext/>
              <w:keepLines/>
              <w:jc w:val="center"/>
              <w:rPr>
                <w:color w:val="000000" w:themeColor="text1"/>
              </w:rPr>
            </w:pPr>
            <w:r w:rsidRPr="003F7198">
              <w:rPr>
                <w:color w:val="000000" w:themeColor="text1"/>
              </w:rPr>
              <w:t>COMM</w:t>
            </w:r>
          </w:p>
        </w:tc>
        <w:tc>
          <w:tcPr>
            <w:tcW w:w="576" w:type="pct"/>
          </w:tcPr>
          <w:p w:rsidR="00F16CCA" w:rsidRPr="003F7198" w:rsidRDefault="00F16CCA" w:rsidP="00B65054">
            <w:pPr>
              <w:keepNext/>
              <w:keepLines/>
              <w:jc w:val="center"/>
              <w:rPr>
                <w:color w:val="000000" w:themeColor="text1"/>
              </w:rPr>
            </w:pPr>
            <w:r w:rsidRPr="003F7198">
              <w:rPr>
                <w:color w:val="000000" w:themeColor="text1"/>
              </w:rPr>
              <w:t>Ene-Dic</w:t>
            </w:r>
          </w:p>
        </w:tc>
      </w:tr>
    </w:tbl>
    <w:p w:rsidR="001400D1" w:rsidRPr="004B5F3A" w:rsidRDefault="001400D1" w:rsidP="004B5F3A">
      <w:pPr>
        <w:spacing w:before="0"/>
      </w:pPr>
    </w:p>
    <w:p w:rsidR="00F16CCA" w:rsidRPr="003F7198" w:rsidRDefault="00F16CCA" w:rsidP="00DE1A4D">
      <w:pPr>
        <w:keepNext/>
        <w:keepLines/>
        <w:pBdr>
          <w:bottom w:val="single" w:sz="4" w:space="1" w:color="auto"/>
        </w:pBdr>
        <w:tabs>
          <w:tab w:val="right" w:pos="9639"/>
        </w:tabs>
        <w:spacing w:before="240"/>
        <w:rPr>
          <w:color w:val="000000" w:themeColor="text1"/>
        </w:rPr>
      </w:pPr>
      <w:r w:rsidRPr="003F7198">
        <w:rPr>
          <w:b/>
          <w:bCs/>
          <w:color w:val="000000" w:themeColor="text1"/>
        </w:rPr>
        <w:t>8</w:t>
      </w:r>
      <w:r w:rsidRPr="003F7198">
        <w:rPr>
          <w:b/>
          <w:bCs/>
          <w:color w:val="000000" w:themeColor="text1"/>
        </w:rPr>
        <w:tab/>
        <w:t>Gestión del rendimiento con perspectiva de género</w:t>
      </w:r>
      <w:r w:rsidRPr="003F7198">
        <w:rPr>
          <w:b/>
          <w:bCs/>
          <w:color w:val="000000" w:themeColor="text1"/>
        </w:rPr>
        <w:tab/>
        <w:t>Estado del SWAP en 2017:</w:t>
      </w:r>
      <w:r w:rsidRPr="003F7198">
        <w:rPr>
          <w:color w:val="000000" w:themeColor="text1"/>
        </w:rPr>
        <w:t xml:space="preserve"> casi cumple</w:t>
      </w:r>
    </w:p>
    <w:p w:rsidR="00F16CCA" w:rsidRPr="003F7198" w:rsidRDefault="00F16CCA" w:rsidP="005B6C3B">
      <w:pPr>
        <w:spacing w:after="120"/>
      </w:pPr>
      <w:r w:rsidRPr="003F7198">
        <w:t xml:space="preserve">Para satisfacer este indicador de rendimiento del ONU-SWAP, la evaluación de la igualdad de género y el empoderamiento de las mujeres tendría que integrarse en los valores fundamentales y competencias de todo el personal, prestando una atención especial a los supervisores y a los niveles P4 y superiores. </w:t>
      </w:r>
      <w:r w:rsidR="005B6C3B" w:rsidRPr="003F7198">
        <w:t>La r</w:t>
      </w:r>
      <w:r w:rsidRPr="003F7198">
        <w:t>epresentación equitativa de hombres y mujeres a todos los niveles de las entidades de las Naciones Unidas debería ser un valor fundamental, y se espera que la responsabilidad de conseguir una representación equitativa de hombres y mujeres se especifique mediante objetivos claros y medibles en la alta dirección, que podrán medirse y aplicarse mediante mecanismos de rendición de cuentas, tales como estrategias de equilibrio entre los géneros, contratos administrativos, puntuaciones u objetivos de rendimiento mejorados.</w:t>
      </w:r>
      <w:r w:rsidRPr="003F7198">
        <w:rPr>
          <w:cs/>
        </w:rPr>
        <w:t>‎</w:t>
      </w:r>
    </w:p>
    <w:tbl>
      <w:tblPr>
        <w:tblStyle w:val="TableGrid"/>
        <w:tblW w:w="5224" w:type="pct"/>
        <w:tblLook w:val="04A0" w:firstRow="1" w:lastRow="0" w:firstColumn="1" w:lastColumn="0" w:noHBand="0" w:noVBand="1"/>
      </w:tblPr>
      <w:tblGrid>
        <w:gridCol w:w="5950"/>
        <w:gridCol w:w="2933"/>
        <w:gridCol w:w="1177"/>
      </w:tblGrid>
      <w:tr w:rsidR="00F16CCA" w:rsidRPr="003F7198" w:rsidTr="001A0F0B">
        <w:tc>
          <w:tcPr>
            <w:tcW w:w="2957" w:type="pct"/>
          </w:tcPr>
          <w:p w:rsidR="00F16CCA" w:rsidRPr="003F7198" w:rsidRDefault="00F16CCA" w:rsidP="000B75EF">
            <w:pPr>
              <w:keepNext/>
              <w:keepLines/>
              <w:jc w:val="both"/>
              <w:rPr>
                <w:color w:val="000000" w:themeColor="text1"/>
              </w:rPr>
            </w:pPr>
            <w:r w:rsidRPr="003F7198">
              <w:rPr>
                <w:color w:val="000000" w:themeColor="text1"/>
                <w:u w:val="single"/>
              </w:rPr>
              <w:lastRenderedPageBreak/>
              <w:t>Productos</w:t>
            </w:r>
          </w:p>
        </w:tc>
        <w:tc>
          <w:tcPr>
            <w:tcW w:w="1458" w:type="pct"/>
          </w:tcPr>
          <w:p w:rsidR="00F16CCA" w:rsidRPr="003F7198" w:rsidRDefault="00F16CCA" w:rsidP="001400D1">
            <w:pPr>
              <w:keepNext/>
              <w:keepLines/>
              <w:jc w:val="center"/>
              <w:rPr>
                <w:color w:val="000000" w:themeColor="text1"/>
              </w:rPr>
            </w:pPr>
            <w:r w:rsidRPr="003F7198">
              <w:rPr>
                <w:color w:val="000000" w:themeColor="text1"/>
                <w:u w:val="single"/>
              </w:rPr>
              <w:t>Titular/Implicado</w:t>
            </w:r>
          </w:p>
        </w:tc>
        <w:tc>
          <w:tcPr>
            <w:tcW w:w="585" w:type="pct"/>
          </w:tcPr>
          <w:p w:rsidR="00F16CCA" w:rsidRPr="003F7198" w:rsidRDefault="00F16CCA" w:rsidP="000B75EF">
            <w:pPr>
              <w:keepNext/>
              <w:keepLines/>
              <w:jc w:val="center"/>
              <w:rPr>
                <w:color w:val="000000" w:themeColor="text1"/>
              </w:rPr>
            </w:pPr>
            <w:r w:rsidRPr="003F7198">
              <w:rPr>
                <w:color w:val="000000" w:themeColor="text1"/>
                <w:u w:val="single"/>
              </w:rPr>
              <w:t>Plazo</w:t>
            </w:r>
          </w:p>
        </w:tc>
      </w:tr>
      <w:tr w:rsidR="00F16CCA" w:rsidRPr="003F7198" w:rsidTr="001A0F0B">
        <w:tc>
          <w:tcPr>
            <w:tcW w:w="2957" w:type="pct"/>
          </w:tcPr>
          <w:p w:rsidR="00F16CCA" w:rsidRPr="003F7198" w:rsidRDefault="00F16CCA" w:rsidP="00C707ED">
            <w:pPr>
              <w:keepNext/>
              <w:keepLines/>
              <w:ind w:left="567" w:hanging="567"/>
              <w:rPr>
                <w:color w:val="000000" w:themeColor="text1"/>
              </w:rPr>
            </w:pPr>
            <w:r w:rsidRPr="003F7198">
              <w:rPr>
                <w:rFonts w:eastAsia="Times New Roman" w:cs="Times New Roman"/>
                <w:color w:val="000000" w:themeColor="text1"/>
              </w:rPr>
              <w:t>8.1</w:t>
            </w:r>
            <w:r w:rsidRPr="003F7198">
              <w:rPr>
                <w:rFonts w:eastAsia="Times New Roman" w:cs="Times New Roman"/>
                <w:color w:val="000000" w:themeColor="text1"/>
              </w:rPr>
              <w:tab/>
              <w:t>Reflejar las cuestiones de género en los valores fundamentales/competencias de la UIT</w:t>
            </w:r>
            <w:r w:rsidR="00A3502A" w:rsidRPr="003F7198">
              <w:rPr>
                <w:rFonts w:eastAsia="Times New Roman" w:cs="Times New Roman"/>
                <w:color w:val="000000" w:themeColor="text1"/>
              </w:rPr>
              <w:t xml:space="preserve">; puesta al día en </w:t>
            </w:r>
            <w:proofErr w:type="spellStart"/>
            <w:r w:rsidR="00A3502A" w:rsidRPr="003F7198">
              <w:rPr>
                <w:rFonts w:eastAsia="Times New Roman" w:cs="Times New Roman"/>
                <w:color w:val="000000" w:themeColor="text1"/>
              </w:rPr>
              <w:t>ePMDS</w:t>
            </w:r>
            <w:proofErr w:type="spellEnd"/>
          </w:p>
        </w:tc>
        <w:tc>
          <w:tcPr>
            <w:tcW w:w="1458" w:type="pct"/>
          </w:tcPr>
          <w:p w:rsidR="00F16CCA" w:rsidRPr="003F7198" w:rsidRDefault="00F16CCA" w:rsidP="006A232C">
            <w:pPr>
              <w:keepNext/>
              <w:keepLines/>
              <w:jc w:val="center"/>
              <w:rPr>
                <w:color w:val="000000" w:themeColor="text1"/>
              </w:rPr>
            </w:pPr>
            <w:r w:rsidRPr="003F7198">
              <w:rPr>
                <w:rFonts w:eastAsia="Times New Roman" w:cs="Times New Roman"/>
                <w:color w:val="000000" w:themeColor="text1"/>
              </w:rPr>
              <w:t>GBS/HRMD/MGMT</w:t>
            </w:r>
          </w:p>
        </w:tc>
        <w:tc>
          <w:tcPr>
            <w:tcW w:w="585" w:type="pct"/>
          </w:tcPr>
          <w:p w:rsidR="00F16CCA" w:rsidRPr="003F7198" w:rsidRDefault="00F16CCA" w:rsidP="000B75EF">
            <w:pPr>
              <w:keepNext/>
              <w:keepLines/>
              <w:jc w:val="center"/>
              <w:rPr>
                <w:color w:val="000000" w:themeColor="text1"/>
              </w:rPr>
            </w:pPr>
            <w:r w:rsidRPr="003F7198">
              <w:rPr>
                <w:rFonts w:eastAsia="Times New Roman" w:cs="Times New Roman"/>
                <w:color w:val="000000" w:themeColor="text1"/>
              </w:rPr>
              <w:t>En curso</w:t>
            </w:r>
          </w:p>
        </w:tc>
      </w:tr>
      <w:tr w:rsidR="00F16CCA" w:rsidRPr="003F7198" w:rsidTr="001A0F0B">
        <w:tc>
          <w:tcPr>
            <w:tcW w:w="2957" w:type="pct"/>
          </w:tcPr>
          <w:p w:rsidR="00F16CCA" w:rsidRPr="003F7198" w:rsidRDefault="00F16CCA" w:rsidP="001A0F0B">
            <w:pPr>
              <w:keepNext/>
              <w:keepLines/>
              <w:ind w:left="567" w:hanging="567"/>
              <w:rPr>
                <w:color w:val="000000" w:themeColor="text1"/>
              </w:rPr>
            </w:pPr>
            <w:r w:rsidRPr="003F7198">
              <w:rPr>
                <w:color w:val="000000" w:themeColor="text1"/>
              </w:rPr>
              <w:t>8.2</w:t>
            </w:r>
            <w:r w:rsidRPr="003F7198">
              <w:rPr>
                <w:color w:val="000000" w:themeColor="text1"/>
              </w:rPr>
              <w:tab/>
              <w:t xml:space="preserve">Integración de consideraciones de género y diversidad en todos los avisos de vacante </w:t>
            </w:r>
          </w:p>
        </w:tc>
        <w:tc>
          <w:tcPr>
            <w:tcW w:w="1458" w:type="pct"/>
          </w:tcPr>
          <w:p w:rsidR="00F16CCA" w:rsidRPr="003F7198" w:rsidRDefault="00F16CCA" w:rsidP="001A0F0B">
            <w:pPr>
              <w:keepNext/>
              <w:keepLines/>
              <w:jc w:val="center"/>
              <w:rPr>
                <w:color w:val="000000" w:themeColor="text1"/>
              </w:rPr>
            </w:pPr>
            <w:r w:rsidRPr="003F7198">
              <w:rPr>
                <w:color w:val="000000" w:themeColor="text1"/>
              </w:rPr>
              <w:t>HRMD</w:t>
            </w:r>
          </w:p>
        </w:tc>
        <w:tc>
          <w:tcPr>
            <w:tcW w:w="585" w:type="pct"/>
          </w:tcPr>
          <w:p w:rsidR="00F16CCA" w:rsidRPr="003F7198" w:rsidRDefault="00F16CCA" w:rsidP="000B75EF">
            <w:pPr>
              <w:keepNext/>
              <w:keepLines/>
              <w:jc w:val="center"/>
              <w:rPr>
                <w:color w:val="000000" w:themeColor="text1"/>
              </w:rPr>
            </w:pPr>
            <w:r w:rsidRPr="003F7198">
              <w:rPr>
                <w:color w:val="000000" w:themeColor="text1"/>
              </w:rPr>
              <w:t>Abr-Dic</w:t>
            </w:r>
          </w:p>
        </w:tc>
      </w:tr>
      <w:tr w:rsidR="00F16CCA" w:rsidRPr="003F7198" w:rsidTr="001A0F0B">
        <w:tc>
          <w:tcPr>
            <w:tcW w:w="2957" w:type="pct"/>
          </w:tcPr>
          <w:p w:rsidR="00F16CCA" w:rsidRPr="003F7198" w:rsidRDefault="00F16CCA" w:rsidP="001A0F0B">
            <w:pPr>
              <w:keepNext/>
              <w:keepLines/>
              <w:ind w:left="567" w:hanging="567"/>
              <w:rPr>
                <w:color w:val="000000" w:themeColor="text1"/>
              </w:rPr>
            </w:pPr>
            <w:r w:rsidRPr="003F7198">
              <w:rPr>
                <w:color w:val="000000" w:themeColor="text1"/>
              </w:rPr>
              <w:t>8.3</w:t>
            </w:r>
            <w:r w:rsidRPr="003F7198">
              <w:rPr>
                <w:color w:val="000000" w:themeColor="text1"/>
              </w:rPr>
              <w:tab/>
              <w:t xml:space="preserve">Integración explícita de consideraciones de género en descripciones de empleo de altos cargos </w:t>
            </w:r>
          </w:p>
        </w:tc>
        <w:tc>
          <w:tcPr>
            <w:tcW w:w="1458" w:type="pct"/>
          </w:tcPr>
          <w:p w:rsidR="00F16CCA" w:rsidRPr="003F7198" w:rsidRDefault="00F16CCA" w:rsidP="001A0F0B">
            <w:pPr>
              <w:keepNext/>
              <w:keepLines/>
              <w:jc w:val="center"/>
              <w:rPr>
                <w:color w:val="000000" w:themeColor="text1"/>
              </w:rPr>
            </w:pPr>
            <w:r w:rsidRPr="003F7198">
              <w:rPr>
                <w:color w:val="000000" w:themeColor="text1"/>
              </w:rPr>
              <w:t>HRMD</w:t>
            </w:r>
          </w:p>
        </w:tc>
        <w:tc>
          <w:tcPr>
            <w:tcW w:w="585" w:type="pct"/>
          </w:tcPr>
          <w:p w:rsidR="00F16CCA" w:rsidRPr="003F7198" w:rsidRDefault="00F16CCA" w:rsidP="000B75EF">
            <w:pPr>
              <w:keepNext/>
              <w:keepLines/>
              <w:jc w:val="center"/>
              <w:rPr>
                <w:color w:val="000000" w:themeColor="text1"/>
              </w:rPr>
            </w:pPr>
            <w:r w:rsidRPr="003F7198">
              <w:rPr>
                <w:color w:val="000000" w:themeColor="text1"/>
              </w:rPr>
              <w:t>Mar-Dic</w:t>
            </w:r>
          </w:p>
        </w:tc>
      </w:tr>
      <w:tr w:rsidR="00F16CCA" w:rsidRPr="003F7198" w:rsidTr="001A0F0B">
        <w:tc>
          <w:tcPr>
            <w:tcW w:w="2957" w:type="pct"/>
          </w:tcPr>
          <w:p w:rsidR="00F16CCA" w:rsidRPr="003F7198" w:rsidRDefault="00F16CCA" w:rsidP="001A0F0B">
            <w:pPr>
              <w:keepNext/>
              <w:keepLines/>
              <w:ind w:left="567" w:hanging="567"/>
              <w:rPr>
                <w:color w:val="000000" w:themeColor="text1"/>
              </w:rPr>
            </w:pPr>
            <w:r w:rsidRPr="003F7198">
              <w:rPr>
                <w:color w:val="000000" w:themeColor="text1"/>
              </w:rPr>
              <w:t>8.4</w:t>
            </w:r>
            <w:r w:rsidRPr="003F7198">
              <w:rPr>
                <w:color w:val="000000" w:themeColor="text1"/>
              </w:rPr>
              <w:tab/>
              <w:t>Los paneles de entrevistas evalúan sistemáticamente la sensibilidad de los candidatos con respecto a las consideraciones de género</w:t>
            </w:r>
          </w:p>
        </w:tc>
        <w:tc>
          <w:tcPr>
            <w:tcW w:w="1458" w:type="pct"/>
          </w:tcPr>
          <w:p w:rsidR="00F16CCA" w:rsidRPr="003F7198" w:rsidRDefault="00F16CCA" w:rsidP="001A0F0B">
            <w:pPr>
              <w:keepNext/>
              <w:keepLines/>
              <w:jc w:val="center"/>
              <w:rPr>
                <w:color w:val="000000" w:themeColor="text1"/>
              </w:rPr>
            </w:pPr>
            <w:r w:rsidRPr="003F7198">
              <w:rPr>
                <w:color w:val="000000" w:themeColor="text1"/>
              </w:rPr>
              <w:t>HRMD</w:t>
            </w:r>
          </w:p>
        </w:tc>
        <w:tc>
          <w:tcPr>
            <w:tcW w:w="585" w:type="pct"/>
          </w:tcPr>
          <w:p w:rsidR="00F16CCA" w:rsidRPr="003F7198" w:rsidRDefault="00F16CCA" w:rsidP="000B75EF">
            <w:pPr>
              <w:keepNext/>
              <w:keepLines/>
              <w:jc w:val="center"/>
              <w:rPr>
                <w:color w:val="000000" w:themeColor="text1"/>
              </w:rPr>
            </w:pPr>
            <w:r w:rsidRPr="003F7198">
              <w:rPr>
                <w:color w:val="000000" w:themeColor="text1"/>
              </w:rPr>
              <w:t>Abr-Dic</w:t>
            </w:r>
          </w:p>
        </w:tc>
      </w:tr>
      <w:tr w:rsidR="00F16CCA" w:rsidRPr="003F7198" w:rsidTr="001A0F0B">
        <w:tc>
          <w:tcPr>
            <w:tcW w:w="2957" w:type="pct"/>
          </w:tcPr>
          <w:p w:rsidR="00F16CCA" w:rsidRPr="003F7198" w:rsidRDefault="00F16CCA" w:rsidP="000D3B60">
            <w:pPr>
              <w:keepNext/>
              <w:keepLines/>
              <w:ind w:left="567" w:hanging="567"/>
              <w:rPr>
                <w:color w:val="000000" w:themeColor="text1"/>
              </w:rPr>
            </w:pPr>
            <w:r w:rsidRPr="003F7198">
              <w:rPr>
                <w:color w:val="000000" w:themeColor="text1"/>
              </w:rPr>
              <w:t>8.5</w:t>
            </w:r>
            <w:r w:rsidRPr="003F7198">
              <w:rPr>
                <w:color w:val="000000" w:themeColor="text1"/>
              </w:rPr>
              <w:tab/>
              <w:t>Todo el personal debería tener un objetivo, una acción o un criterio de éxito relacionado con el género</w:t>
            </w:r>
          </w:p>
        </w:tc>
        <w:tc>
          <w:tcPr>
            <w:tcW w:w="1458" w:type="pct"/>
          </w:tcPr>
          <w:p w:rsidR="00F16CCA" w:rsidRPr="003F7198" w:rsidRDefault="00F16CCA" w:rsidP="000B75EF">
            <w:pPr>
              <w:keepNext/>
              <w:keepLines/>
              <w:jc w:val="center"/>
              <w:rPr>
                <w:color w:val="000000" w:themeColor="text1"/>
              </w:rPr>
            </w:pPr>
            <w:r w:rsidRPr="003F7198">
              <w:rPr>
                <w:color w:val="000000" w:themeColor="text1"/>
              </w:rPr>
              <w:t>Todo el personal</w:t>
            </w:r>
          </w:p>
        </w:tc>
        <w:tc>
          <w:tcPr>
            <w:tcW w:w="585" w:type="pct"/>
          </w:tcPr>
          <w:p w:rsidR="00F16CCA" w:rsidRPr="003F7198" w:rsidRDefault="00F16CCA" w:rsidP="000B75EF">
            <w:pPr>
              <w:keepNext/>
              <w:keepLines/>
              <w:jc w:val="center"/>
              <w:rPr>
                <w:color w:val="000000" w:themeColor="text1"/>
              </w:rPr>
            </w:pPr>
            <w:r w:rsidRPr="003F7198">
              <w:rPr>
                <w:color w:val="000000" w:themeColor="text1"/>
              </w:rPr>
              <w:t>Feb 2019</w:t>
            </w:r>
          </w:p>
        </w:tc>
      </w:tr>
    </w:tbl>
    <w:p w:rsidR="004B5F3A" w:rsidRPr="004B5F3A" w:rsidRDefault="004B5F3A" w:rsidP="004B5F3A">
      <w:pPr>
        <w:spacing w:before="0"/>
      </w:pPr>
    </w:p>
    <w:p w:rsidR="00F16CCA" w:rsidRPr="003F7198" w:rsidRDefault="00F16CCA" w:rsidP="00DE1A4D">
      <w:pPr>
        <w:keepNext/>
        <w:keepLines/>
        <w:pBdr>
          <w:bottom w:val="single" w:sz="4" w:space="1" w:color="auto"/>
        </w:pBdr>
        <w:tabs>
          <w:tab w:val="right" w:pos="9639"/>
        </w:tabs>
        <w:spacing w:before="240"/>
        <w:rPr>
          <w:color w:val="000000" w:themeColor="text1"/>
        </w:rPr>
      </w:pPr>
      <w:r w:rsidRPr="003F7198">
        <w:rPr>
          <w:b/>
          <w:bCs/>
          <w:color w:val="000000" w:themeColor="text1"/>
        </w:rPr>
        <w:t>9</w:t>
      </w:r>
      <w:r w:rsidRPr="003F7198">
        <w:rPr>
          <w:b/>
          <w:bCs/>
          <w:color w:val="000000" w:themeColor="text1"/>
        </w:rPr>
        <w:tab/>
        <w:t>Control del estado de los recursos</w:t>
      </w:r>
      <w:r w:rsidRPr="003F7198">
        <w:rPr>
          <w:b/>
          <w:bCs/>
          <w:color w:val="000000" w:themeColor="text1"/>
        </w:rPr>
        <w:tab/>
        <w:t xml:space="preserve">Estado del SWAP en 2017: </w:t>
      </w:r>
      <w:r w:rsidRPr="003F7198">
        <w:rPr>
          <w:color w:val="000000" w:themeColor="text1"/>
        </w:rPr>
        <w:t>satisface los requisitos</w:t>
      </w:r>
    </w:p>
    <w:p w:rsidR="00F16CCA" w:rsidRPr="003F7198" w:rsidRDefault="00F16CCA" w:rsidP="000D3B60">
      <w:pPr>
        <w:spacing w:after="120"/>
      </w:pPr>
      <w:r w:rsidRPr="003F7198">
        <w:t>Para satisfacer los indicadores de rendimiento del ONU-SWAP, la UIT tendría que seguir realizando el ejercicio consistente en estimar el nivel de recursos utilizados para fomentar la igualdad de género y el empoderamiento de las mujeres. Debería considerarse que los sistemas de indicadores de género no relacionados específicamente con el seguimiento de recursos sino con la evaluación del rendimiento programático global, se aproximan a los requisitos.</w:t>
      </w:r>
    </w:p>
    <w:tbl>
      <w:tblPr>
        <w:tblStyle w:val="TableGrid"/>
        <w:tblW w:w="5000" w:type="pct"/>
        <w:tblLook w:val="04A0" w:firstRow="1" w:lastRow="0" w:firstColumn="1" w:lastColumn="0" w:noHBand="0" w:noVBand="1"/>
      </w:tblPr>
      <w:tblGrid>
        <w:gridCol w:w="6644"/>
        <w:gridCol w:w="1899"/>
        <w:gridCol w:w="1086"/>
      </w:tblGrid>
      <w:tr w:rsidR="00F16CCA" w:rsidRPr="003F7198" w:rsidTr="000B75EF">
        <w:tc>
          <w:tcPr>
            <w:tcW w:w="3462" w:type="pct"/>
          </w:tcPr>
          <w:p w:rsidR="00F16CCA" w:rsidRPr="003F7198" w:rsidRDefault="00F16CCA" w:rsidP="000B75EF">
            <w:pPr>
              <w:keepNext/>
              <w:keepLines/>
              <w:jc w:val="both"/>
              <w:rPr>
                <w:color w:val="000000" w:themeColor="text1"/>
              </w:rPr>
            </w:pPr>
            <w:r w:rsidRPr="003F7198">
              <w:rPr>
                <w:color w:val="000000" w:themeColor="text1"/>
                <w:u w:val="single"/>
              </w:rPr>
              <w:t>Productos</w:t>
            </w:r>
          </w:p>
        </w:tc>
        <w:tc>
          <w:tcPr>
            <w:tcW w:w="962" w:type="pct"/>
          </w:tcPr>
          <w:p w:rsidR="00F16CCA" w:rsidRPr="003F7198" w:rsidRDefault="00F16CCA" w:rsidP="000B75EF">
            <w:pPr>
              <w:keepNext/>
              <w:keepLines/>
              <w:jc w:val="both"/>
              <w:rPr>
                <w:color w:val="000000" w:themeColor="text1"/>
              </w:rPr>
            </w:pPr>
            <w:r w:rsidRPr="003F7198">
              <w:rPr>
                <w:color w:val="000000" w:themeColor="text1"/>
                <w:u w:val="single"/>
              </w:rPr>
              <w:t>Titular/Implicado</w:t>
            </w:r>
          </w:p>
        </w:tc>
        <w:tc>
          <w:tcPr>
            <w:tcW w:w="576" w:type="pct"/>
          </w:tcPr>
          <w:p w:rsidR="00F16CCA" w:rsidRPr="003F7198" w:rsidRDefault="00F16CCA" w:rsidP="000B75EF">
            <w:pPr>
              <w:keepNext/>
              <w:keepLines/>
              <w:jc w:val="center"/>
              <w:rPr>
                <w:color w:val="000000" w:themeColor="text1"/>
              </w:rPr>
            </w:pPr>
            <w:r w:rsidRPr="003F7198">
              <w:rPr>
                <w:color w:val="000000" w:themeColor="text1"/>
                <w:u w:val="single"/>
              </w:rPr>
              <w:t>Plazo</w:t>
            </w:r>
          </w:p>
        </w:tc>
      </w:tr>
      <w:tr w:rsidR="00F16CCA" w:rsidRPr="003F7198" w:rsidTr="000B75EF">
        <w:tc>
          <w:tcPr>
            <w:tcW w:w="3462" w:type="pct"/>
          </w:tcPr>
          <w:p w:rsidR="00F16CCA" w:rsidRPr="003F7198" w:rsidRDefault="00F16CCA" w:rsidP="007F192C">
            <w:pPr>
              <w:ind w:left="567" w:hanging="567"/>
              <w:rPr>
                <w:color w:val="000000" w:themeColor="text1"/>
              </w:rPr>
            </w:pPr>
            <w:r w:rsidRPr="003F7198">
              <w:rPr>
                <w:rFonts w:eastAsia="Times New Roman" w:cs="Times New Roman"/>
                <w:color w:val="000000" w:themeColor="text1"/>
              </w:rPr>
              <w:t>9.1</w:t>
            </w:r>
            <w:r w:rsidRPr="003F7198">
              <w:rPr>
                <w:rFonts w:eastAsia="Times New Roman" w:cs="Times New Roman"/>
                <w:color w:val="000000" w:themeColor="text1"/>
              </w:rPr>
              <w:tab/>
              <w:t>Informe sobre el Indicador de Género y atribución de recursos para las cuestiones de género</w:t>
            </w:r>
          </w:p>
        </w:tc>
        <w:tc>
          <w:tcPr>
            <w:tcW w:w="962" w:type="pct"/>
          </w:tcPr>
          <w:p w:rsidR="00F16CCA" w:rsidRPr="003F7198" w:rsidRDefault="00F16CCA" w:rsidP="000B75EF">
            <w:pPr>
              <w:keepNext/>
              <w:keepLines/>
              <w:jc w:val="center"/>
              <w:rPr>
                <w:color w:val="000000" w:themeColor="text1"/>
              </w:rPr>
            </w:pPr>
            <w:r w:rsidRPr="003F7198">
              <w:rPr>
                <w:rFonts w:eastAsia="Times New Roman" w:cs="Times New Roman"/>
                <w:color w:val="000000" w:themeColor="text1"/>
              </w:rPr>
              <w:t>FRMD</w:t>
            </w:r>
          </w:p>
        </w:tc>
        <w:tc>
          <w:tcPr>
            <w:tcW w:w="576" w:type="pct"/>
          </w:tcPr>
          <w:p w:rsidR="00F16CCA" w:rsidRPr="003F7198" w:rsidRDefault="00F16CCA" w:rsidP="000B75EF">
            <w:pPr>
              <w:keepNext/>
              <w:keepLines/>
              <w:jc w:val="center"/>
              <w:rPr>
                <w:color w:val="000000" w:themeColor="text1"/>
              </w:rPr>
            </w:pPr>
            <w:r w:rsidRPr="003F7198">
              <w:rPr>
                <w:rFonts w:eastAsia="Times New Roman" w:cs="Times New Roman"/>
                <w:color w:val="000000" w:themeColor="text1"/>
              </w:rPr>
              <w:t>Nov-Dic</w:t>
            </w:r>
          </w:p>
        </w:tc>
      </w:tr>
      <w:tr w:rsidR="00F16CCA" w:rsidRPr="003F7198" w:rsidTr="000B75EF">
        <w:tc>
          <w:tcPr>
            <w:tcW w:w="3462" w:type="pct"/>
          </w:tcPr>
          <w:p w:rsidR="00F16CCA" w:rsidRPr="003F7198" w:rsidRDefault="00F16CCA" w:rsidP="007F192C">
            <w:pPr>
              <w:ind w:left="567" w:hanging="567"/>
              <w:rPr>
                <w:color w:val="000000" w:themeColor="text1"/>
              </w:rPr>
            </w:pPr>
            <w:r w:rsidRPr="003F7198">
              <w:rPr>
                <w:color w:val="000000" w:themeColor="text1"/>
              </w:rPr>
              <w:t>9.2</w:t>
            </w:r>
            <w:r w:rsidRPr="003F7198">
              <w:rPr>
                <w:color w:val="000000" w:themeColor="text1"/>
              </w:rPr>
              <w:tab/>
              <w:t xml:space="preserve">Trabajo con el grupo financiero </w:t>
            </w:r>
            <w:proofErr w:type="spellStart"/>
            <w:r w:rsidRPr="003F7198">
              <w:rPr>
                <w:color w:val="000000" w:themeColor="text1"/>
              </w:rPr>
              <w:t>interorganismos</w:t>
            </w:r>
            <w:proofErr w:type="spellEnd"/>
            <w:r w:rsidRPr="003F7198">
              <w:rPr>
                <w:color w:val="000000" w:themeColor="text1"/>
              </w:rPr>
              <w:t xml:space="preserve"> para mejorar los trabajos sobre el indicador de género</w:t>
            </w:r>
          </w:p>
        </w:tc>
        <w:tc>
          <w:tcPr>
            <w:tcW w:w="962" w:type="pct"/>
          </w:tcPr>
          <w:p w:rsidR="00F16CCA" w:rsidRPr="003F7198" w:rsidRDefault="00F16CCA" w:rsidP="000D3B60">
            <w:pPr>
              <w:keepNext/>
              <w:keepLines/>
              <w:jc w:val="center"/>
              <w:rPr>
                <w:color w:val="000000" w:themeColor="text1"/>
              </w:rPr>
            </w:pPr>
            <w:r w:rsidRPr="003F7198">
              <w:rPr>
                <w:color w:val="000000" w:themeColor="text1"/>
              </w:rPr>
              <w:t>FRMD</w:t>
            </w:r>
          </w:p>
        </w:tc>
        <w:tc>
          <w:tcPr>
            <w:tcW w:w="576" w:type="pct"/>
          </w:tcPr>
          <w:p w:rsidR="00F16CCA" w:rsidRPr="003F7198" w:rsidRDefault="00F16CCA" w:rsidP="000B75EF">
            <w:pPr>
              <w:keepNext/>
              <w:keepLines/>
              <w:jc w:val="center"/>
              <w:rPr>
                <w:color w:val="000000" w:themeColor="text1"/>
              </w:rPr>
            </w:pPr>
            <w:r w:rsidRPr="003F7198">
              <w:rPr>
                <w:color w:val="000000" w:themeColor="text1"/>
              </w:rPr>
              <w:t>Dic</w:t>
            </w:r>
          </w:p>
        </w:tc>
      </w:tr>
    </w:tbl>
    <w:p w:rsidR="004B5F3A" w:rsidRPr="004B5F3A" w:rsidRDefault="004B5F3A" w:rsidP="004B5F3A">
      <w:pPr>
        <w:spacing w:before="0"/>
      </w:pPr>
    </w:p>
    <w:p w:rsidR="00F16CCA" w:rsidRPr="003F7198" w:rsidRDefault="00F16CCA" w:rsidP="00DE1A4D">
      <w:pPr>
        <w:keepNext/>
        <w:keepLines/>
        <w:pBdr>
          <w:bottom w:val="single" w:sz="4" w:space="1" w:color="auto"/>
        </w:pBdr>
        <w:tabs>
          <w:tab w:val="right" w:pos="9639"/>
        </w:tabs>
        <w:spacing w:before="240"/>
        <w:rPr>
          <w:color w:val="000000" w:themeColor="text1"/>
        </w:rPr>
      </w:pPr>
      <w:r w:rsidRPr="003F7198">
        <w:rPr>
          <w:b/>
          <w:bCs/>
          <w:color w:val="000000" w:themeColor="text1"/>
        </w:rPr>
        <w:t>10</w:t>
      </w:r>
      <w:r w:rsidRPr="003F7198">
        <w:rPr>
          <w:b/>
          <w:bCs/>
          <w:color w:val="000000" w:themeColor="text1"/>
        </w:rPr>
        <w:tab/>
        <w:t>Atribución de recursos</w:t>
      </w:r>
      <w:r w:rsidRPr="003F7198">
        <w:rPr>
          <w:b/>
          <w:bCs/>
          <w:color w:val="000000" w:themeColor="text1"/>
        </w:rPr>
        <w:tab/>
      </w:r>
      <w:r w:rsidRPr="003F7198">
        <w:rPr>
          <w:b/>
          <w:bCs/>
          <w:color w:val="000000" w:themeColor="text1"/>
        </w:rPr>
        <w:tab/>
        <w:t xml:space="preserve">Estado del SWAP en 2017: </w:t>
      </w:r>
      <w:r w:rsidRPr="003F7198">
        <w:rPr>
          <w:bCs/>
          <w:color w:val="000000" w:themeColor="text1"/>
        </w:rPr>
        <w:t>falta este</w:t>
      </w:r>
      <w:r w:rsidRPr="003F7198">
        <w:rPr>
          <w:b/>
          <w:bCs/>
          <w:color w:val="000000" w:themeColor="text1"/>
        </w:rPr>
        <w:t xml:space="preserve"> </w:t>
      </w:r>
      <w:r w:rsidRPr="003F7198">
        <w:rPr>
          <w:color w:val="000000" w:themeColor="text1"/>
        </w:rPr>
        <w:t>requisito</w:t>
      </w:r>
    </w:p>
    <w:p w:rsidR="00F16CCA" w:rsidRPr="003F7198" w:rsidRDefault="00F16CCA" w:rsidP="000D3B60">
      <w:pPr>
        <w:spacing w:after="120"/>
      </w:pPr>
      <w:r w:rsidRPr="003F7198">
        <w:t>Para satisfacer los indicadores de rendimiento del ONU-SWAP, la UIT tendría que haber definido y alcanzado un objetivo financiero para cumplir el mandato de la igualdad de género y el empoderamiento de las mujeres en todos los presupuestos, incluidos los ordinarios, los básicos y los recursos extrapresupuestarios. Estos recursos tendrían que abarcar la coordinación, el desarrollo de capacidades, la garantía de calidad y las relaciones interinstitucionales.</w:t>
      </w:r>
    </w:p>
    <w:tbl>
      <w:tblPr>
        <w:tblStyle w:val="TableGrid"/>
        <w:tblW w:w="5000" w:type="pct"/>
        <w:tblLook w:val="04A0" w:firstRow="1" w:lastRow="0" w:firstColumn="1" w:lastColumn="0" w:noHBand="0" w:noVBand="1"/>
      </w:tblPr>
      <w:tblGrid>
        <w:gridCol w:w="6644"/>
        <w:gridCol w:w="1899"/>
        <w:gridCol w:w="1086"/>
      </w:tblGrid>
      <w:tr w:rsidR="00F16CCA" w:rsidRPr="003F7198" w:rsidTr="000D3B60">
        <w:tc>
          <w:tcPr>
            <w:tcW w:w="3450" w:type="pct"/>
          </w:tcPr>
          <w:p w:rsidR="00F16CCA" w:rsidRPr="003F7198" w:rsidRDefault="00F16CCA" w:rsidP="000B75EF">
            <w:pPr>
              <w:keepNext/>
              <w:keepLines/>
              <w:jc w:val="both"/>
              <w:rPr>
                <w:color w:val="000000" w:themeColor="text1"/>
              </w:rPr>
            </w:pPr>
            <w:r w:rsidRPr="003F7198">
              <w:rPr>
                <w:color w:val="000000" w:themeColor="text1"/>
                <w:u w:val="single"/>
              </w:rPr>
              <w:t>Productos</w:t>
            </w:r>
          </w:p>
        </w:tc>
        <w:tc>
          <w:tcPr>
            <w:tcW w:w="986" w:type="pct"/>
          </w:tcPr>
          <w:p w:rsidR="00F16CCA" w:rsidRPr="003F7198" w:rsidRDefault="00F16CCA" w:rsidP="000B75EF">
            <w:pPr>
              <w:keepNext/>
              <w:keepLines/>
              <w:jc w:val="both"/>
              <w:rPr>
                <w:color w:val="000000" w:themeColor="text1"/>
              </w:rPr>
            </w:pPr>
            <w:r w:rsidRPr="003F7198">
              <w:rPr>
                <w:color w:val="000000" w:themeColor="text1"/>
                <w:u w:val="single"/>
              </w:rPr>
              <w:t>Titular/Implicado</w:t>
            </w:r>
          </w:p>
        </w:tc>
        <w:tc>
          <w:tcPr>
            <w:tcW w:w="564" w:type="pct"/>
          </w:tcPr>
          <w:p w:rsidR="00F16CCA" w:rsidRPr="003F7198" w:rsidRDefault="00F16CCA" w:rsidP="000B75EF">
            <w:pPr>
              <w:keepNext/>
              <w:keepLines/>
              <w:jc w:val="center"/>
              <w:rPr>
                <w:color w:val="000000" w:themeColor="text1"/>
              </w:rPr>
            </w:pPr>
            <w:r w:rsidRPr="003F7198">
              <w:rPr>
                <w:color w:val="000000" w:themeColor="text1"/>
                <w:u w:val="single"/>
              </w:rPr>
              <w:t>Plazo</w:t>
            </w:r>
          </w:p>
        </w:tc>
      </w:tr>
      <w:tr w:rsidR="00F16CCA" w:rsidRPr="003F7198" w:rsidTr="000D3B60">
        <w:tc>
          <w:tcPr>
            <w:tcW w:w="3450" w:type="pct"/>
          </w:tcPr>
          <w:p w:rsidR="00F16CCA" w:rsidRPr="003F7198" w:rsidRDefault="00F16CCA" w:rsidP="00984C56">
            <w:pPr>
              <w:ind w:left="567" w:hanging="567"/>
              <w:rPr>
                <w:color w:val="000000" w:themeColor="text1"/>
              </w:rPr>
            </w:pPr>
            <w:r w:rsidRPr="003F7198">
              <w:rPr>
                <w:rFonts w:eastAsia="Times New Roman" w:cs="Times New Roman"/>
                <w:color w:val="000000" w:themeColor="text1"/>
              </w:rPr>
              <w:t>10.1</w:t>
            </w:r>
            <w:r w:rsidRPr="003F7198">
              <w:rPr>
                <w:rFonts w:eastAsia="Times New Roman" w:cs="Times New Roman"/>
                <w:color w:val="000000" w:themeColor="text1"/>
              </w:rPr>
              <w:tab/>
              <w:t xml:space="preserve">Definir criterios financieros para los recursos </w:t>
            </w:r>
            <w:r w:rsidR="000F6167" w:rsidRPr="003F7198">
              <w:rPr>
                <w:rFonts w:eastAsia="Times New Roman" w:cs="Times New Roman"/>
                <w:color w:val="000000" w:themeColor="text1"/>
              </w:rPr>
              <w:br/>
            </w:r>
            <w:r w:rsidRPr="003F7198">
              <w:rPr>
                <w:rFonts w:eastAsia="Times New Roman" w:cs="Times New Roman"/>
                <w:color w:val="000000" w:themeColor="text1"/>
              </w:rPr>
              <w:t>destinados a IIG</w:t>
            </w:r>
          </w:p>
        </w:tc>
        <w:tc>
          <w:tcPr>
            <w:tcW w:w="986" w:type="pct"/>
          </w:tcPr>
          <w:p w:rsidR="00F16CCA" w:rsidRPr="003F7198" w:rsidRDefault="00F16CCA" w:rsidP="000D3B60">
            <w:pPr>
              <w:keepNext/>
              <w:keepLines/>
              <w:jc w:val="center"/>
              <w:rPr>
                <w:color w:val="000000" w:themeColor="text1"/>
              </w:rPr>
            </w:pPr>
            <w:r w:rsidRPr="003F7198">
              <w:rPr>
                <w:rFonts w:eastAsia="Times New Roman" w:cs="Times New Roman"/>
                <w:color w:val="000000" w:themeColor="text1"/>
              </w:rPr>
              <w:t>Todos/FRMD</w:t>
            </w:r>
          </w:p>
        </w:tc>
        <w:tc>
          <w:tcPr>
            <w:tcW w:w="564" w:type="pct"/>
          </w:tcPr>
          <w:p w:rsidR="00F16CCA" w:rsidRPr="003F7198" w:rsidRDefault="00F16CCA" w:rsidP="000D3B60">
            <w:pPr>
              <w:keepNext/>
              <w:keepLines/>
              <w:jc w:val="center"/>
              <w:rPr>
                <w:color w:val="000000" w:themeColor="text1"/>
              </w:rPr>
            </w:pPr>
            <w:r w:rsidRPr="003F7198">
              <w:rPr>
                <w:rFonts w:eastAsia="Times New Roman" w:cs="Times New Roman"/>
                <w:color w:val="000000" w:themeColor="text1"/>
              </w:rPr>
              <w:t>Nov-Dic</w:t>
            </w:r>
          </w:p>
        </w:tc>
      </w:tr>
    </w:tbl>
    <w:p w:rsidR="00F16CCA" w:rsidRPr="003F7198" w:rsidRDefault="00F16CCA" w:rsidP="00DE1A4D">
      <w:pPr>
        <w:keepNext/>
        <w:keepLines/>
        <w:pBdr>
          <w:bottom w:val="single" w:sz="4" w:space="1" w:color="auto"/>
        </w:pBdr>
        <w:tabs>
          <w:tab w:val="right" w:pos="9639"/>
        </w:tabs>
        <w:spacing w:before="240"/>
        <w:rPr>
          <w:color w:val="000000" w:themeColor="text1"/>
        </w:rPr>
      </w:pPr>
      <w:r w:rsidRPr="003F7198">
        <w:rPr>
          <w:b/>
          <w:bCs/>
          <w:color w:val="000000" w:themeColor="text1"/>
        </w:rPr>
        <w:lastRenderedPageBreak/>
        <w:t>11</w:t>
      </w:r>
      <w:r w:rsidRPr="003F7198">
        <w:rPr>
          <w:b/>
          <w:bCs/>
          <w:color w:val="000000" w:themeColor="text1"/>
        </w:rPr>
        <w:tab/>
        <w:t>Arquitectura y paridad de género</w:t>
      </w:r>
      <w:r w:rsidRPr="003F7198">
        <w:rPr>
          <w:b/>
          <w:bCs/>
          <w:color w:val="000000" w:themeColor="text1"/>
        </w:rPr>
        <w:tab/>
        <w:t xml:space="preserve">Estado del SWAP en 2017: </w:t>
      </w:r>
      <w:r w:rsidRPr="003F7198">
        <w:rPr>
          <w:color w:val="000000" w:themeColor="text1"/>
        </w:rPr>
        <w:t>casi cumple los requisitos</w:t>
      </w:r>
    </w:p>
    <w:p w:rsidR="00F16CCA" w:rsidRPr="003F7198" w:rsidRDefault="00F16CCA" w:rsidP="00984C56">
      <w:pPr>
        <w:keepNext/>
        <w:keepLines/>
        <w:spacing w:after="120"/>
      </w:pPr>
      <w:r w:rsidRPr="003F7198">
        <w:t>Para satisfacer este indicador de rendimiento del ONU-SWAP, la UIT debería tener coordina</w:t>
      </w:r>
      <w:r w:rsidR="003A505D" w:rsidRPr="003F7198">
        <w:t xml:space="preserve">dores de cuestiones de género: 1) de categoría P4 con 2) un mandato escrito y </w:t>
      </w:r>
      <w:r w:rsidRPr="003F7198">
        <w:t xml:space="preserve">3) al menos 20% de su tiempo dedicado a funciones relacionadas con las cuestiones de género. El departamento/unidad de la UIT dedicado las cuestiones de género también deberá disponer de todos los recursos necesarios. El puesto de trabajo destinado a las cuestiones de género podrá considerarse plenamente equipado cuando disponga de los recursos humanos y financieros adecuados para cumplir su mandato de la igualdad de género y el empoderamiento de las mujeres, teniendo en cuenta los Indicadores de Rendimiento del ONU-SWAP. Estos recursos permitirían resolver los problemas de coordinación, desarrollo de capacidades, garantía de la calidad y relaciones interinstitucionales. </w:t>
      </w:r>
    </w:p>
    <w:tbl>
      <w:tblPr>
        <w:tblStyle w:val="TableGrid"/>
        <w:tblW w:w="5000" w:type="pct"/>
        <w:tblLook w:val="04A0" w:firstRow="1" w:lastRow="0" w:firstColumn="1" w:lastColumn="0" w:noHBand="0" w:noVBand="1"/>
      </w:tblPr>
      <w:tblGrid>
        <w:gridCol w:w="6644"/>
        <w:gridCol w:w="1899"/>
        <w:gridCol w:w="1086"/>
      </w:tblGrid>
      <w:tr w:rsidR="00F16CCA" w:rsidRPr="003F7198" w:rsidTr="000B75EF">
        <w:tc>
          <w:tcPr>
            <w:tcW w:w="3461" w:type="pct"/>
          </w:tcPr>
          <w:p w:rsidR="00F16CCA" w:rsidRPr="003F7198" w:rsidRDefault="00F16CCA" w:rsidP="000B75EF">
            <w:pPr>
              <w:keepNext/>
              <w:keepLines/>
              <w:jc w:val="both"/>
              <w:rPr>
                <w:color w:val="000000" w:themeColor="text1"/>
              </w:rPr>
            </w:pPr>
            <w:r w:rsidRPr="003F7198">
              <w:rPr>
                <w:color w:val="000000" w:themeColor="text1"/>
                <w:u w:val="single"/>
              </w:rPr>
              <w:t>Productos</w:t>
            </w:r>
          </w:p>
        </w:tc>
        <w:tc>
          <w:tcPr>
            <w:tcW w:w="962" w:type="pct"/>
          </w:tcPr>
          <w:p w:rsidR="00F16CCA" w:rsidRPr="003F7198" w:rsidRDefault="00F16CCA" w:rsidP="000B75EF">
            <w:pPr>
              <w:keepNext/>
              <w:keepLines/>
              <w:jc w:val="center"/>
              <w:rPr>
                <w:color w:val="000000" w:themeColor="text1"/>
              </w:rPr>
            </w:pPr>
            <w:r w:rsidRPr="003F7198">
              <w:rPr>
                <w:color w:val="000000" w:themeColor="text1"/>
                <w:u w:val="single"/>
              </w:rPr>
              <w:t>Titular/Implicado</w:t>
            </w:r>
          </w:p>
        </w:tc>
        <w:tc>
          <w:tcPr>
            <w:tcW w:w="576" w:type="pct"/>
          </w:tcPr>
          <w:p w:rsidR="00F16CCA" w:rsidRPr="003F7198" w:rsidRDefault="00F16CCA" w:rsidP="000B75EF">
            <w:pPr>
              <w:keepNext/>
              <w:keepLines/>
              <w:jc w:val="center"/>
              <w:rPr>
                <w:color w:val="000000" w:themeColor="text1"/>
              </w:rPr>
            </w:pPr>
            <w:r w:rsidRPr="003F7198">
              <w:rPr>
                <w:color w:val="000000" w:themeColor="text1"/>
                <w:u w:val="single"/>
              </w:rPr>
              <w:t>Plazo</w:t>
            </w:r>
          </w:p>
        </w:tc>
      </w:tr>
      <w:tr w:rsidR="00F16CCA" w:rsidRPr="003F7198" w:rsidTr="000B75EF">
        <w:tc>
          <w:tcPr>
            <w:tcW w:w="3461" w:type="pct"/>
          </w:tcPr>
          <w:p w:rsidR="00F16CCA" w:rsidRPr="003F7198" w:rsidRDefault="00F16CCA" w:rsidP="00C707ED">
            <w:pPr>
              <w:keepNext/>
              <w:keepLines/>
              <w:ind w:left="567" w:hanging="567"/>
              <w:rPr>
                <w:color w:val="000000" w:themeColor="text1"/>
              </w:rPr>
            </w:pPr>
            <w:r w:rsidRPr="003F7198">
              <w:rPr>
                <w:rFonts w:eastAsia="Times New Roman" w:cs="Times New Roman"/>
                <w:color w:val="000000" w:themeColor="text1"/>
              </w:rPr>
              <w:t>11.1</w:t>
            </w:r>
            <w:r w:rsidRPr="003F7198">
              <w:rPr>
                <w:rFonts w:eastAsia="Times New Roman" w:cs="Times New Roman"/>
                <w:color w:val="000000" w:themeColor="text1"/>
              </w:rPr>
              <w:tab/>
              <w:t>Mandato/diseño/ o sea liderazgo compartido (entre hombres y mujeres) del GTF, actualizados</w:t>
            </w:r>
          </w:p>
        </w:tc>
        <w:tc>
          <w:tcPr>
            <w:tcW w:w="962" w:type="pct"/>
          </w:tcPr>
          <w:p w:rsidR="00F16CCA" w:rsidRPr="003F7198" w:rsidRDefault="00F16CCA" w:rsidP="000B75EF">
            <w:pPr>
              <w:keepNext/>
              <w:keepLines/>
              <w:jc w:val="center"/>
              <w:rPr>
                <w:color w:val="000000" w:themeColor="text1"/>
              </w:rPr>
            </w:pPr>
            <w:r w:rsidRPr="003F7198">
              <w:rPr>
                <w:rFonts w:eastAsia="Times New Roman" w:cs="Times New Roman"/>
                <w:color w:val="000000" w:themeColor="text1"/>
              </w:rPr>
              <w:t>GTF</w:t>
            </w:r>
          </w:p>
        </w:tc>
        <w:tc>
          <w:tcPr>
            <w:tcW w:w="576" w:type="pct"/>
          </w:tcPr>
          <w:p w:rsidR="00F16CCA" w:rsidRPr="003F7198" w:rsidRDefault="00B97AD9" w:rsidP="00B97AD9">
            <w:pPr>
              <w:keepNext/>
              <w:keepLines/>
              <w:jc w:val="center"/>
              <w:rPr>
                <w:color w:val="000000" w:themeColor="text1"/>
              </w:rPr>
            </w:pPr>
            <w:r w:rsidRPr="003F7198">
              <w:rPr>
                <w:rFonts w:eastAsia="Times New Roman" w:cs="Times New Roman"/>
                <w:color w:val="000000" w:themeColor="text1"/>
              </w:rPr>
              <w:t>Mar</w:t>
            </w:r>
            <w:r w:rsidR="00F16CCA" w:rsidRPr="003F7198">
              <w:rPr>
                <w:rFonts w:eastAsia="Times New Roman" w:cs="Times New Roman"/>
                <w:color w:val="000000" w:themeColor="text1"/>
              </w:rPr>
              <w:t>-</w:t>
            </w:r>
            <w:r w:rsidRPr="003F7198">
              <w:rPr>
                <w:rFonts w:eastAsia="Times New Roman" w:cs="Times New Roman"/>
                <w:color w:val="000000" w:themeColor="text1"/>
              </w:rPr>
              <w:t>Jun</w:t>
            </w:r>
          </w:p>
        </w:tc>
      </w:tr>
      <w:tr w:rsidR="00F16CCA" w:rsidRPr="003F7198" w:rsidTr="000B75EF">
        <w:tc>
          <w:tcPr>
            <w:tcW w:w="3461" w:type="pct"/>
          </w:tcPr>
          <w:p w:rsidR="00F16CCA" w:rsidRPr="003F7198" w:rsidRDefault="00F16CCA" w:rsidP="007F192C">
            <w:pPr>
              <w:ind w:left="567" w:hanging="567"/>
              <w:rPr>
                <w:color w:val="000000" w:themeColor="text1"/>
              </w:rPr>
            </w:pPr>
            <w:r w:rsidRPr="003F7198">
              <w:rPr>
                <w:rFonts w:eastAsia="Times New Roman" w:cs="Times New Roman"/>
                <w:color w:val="000000" w:themeColor="text1"/>
              </w:rPr>
              <w:t>11.2</w:t>
            </w:r>
            <w:r w:rsidRPr="003F7198">
              <w:rPr>
                <w:rFonts w:eastAsia="Times New Roman" w:cs="Times New Roman"/>
                <w:color w:val="000000" w:themeColor="text1"/>
              </w:rPr>
              <w:tab/>
              <w:t xml:space="preserve">Trabajo con RH para </w:t>
            </w:r>
            <w:r w:rsidR="00B97AD9" w:rsidRPr="003F7198">
              <w:rPr>
                <w:rFonts w:eastAsia="Times New Roman" w:cs="Times New Roman"/>
                <w:color w:val="000000" w:themeColor="text1"/>
              </w:rPr>
              <w:t xml:space="preserve">formalizar el mandato del nuevo GFP </w:t>
            </w:r>
            <w:r w:rsidRPr="003F7198">
              <w:rPr>
                <w:rFonts w:eastAsia="Times New Roman" w:cs="Times New Roman"/>
                <w:color w:val="000000" w:themeColor="text1"/>
              </w:rPr>
              <w:t xml:space="preserve">en </w:t>
            </w:r>
            <w:proofErr w:type="spellStart"/>
            <w:r w:rsidRPr="003F7198">
              <w:rPr>
                <w:rFonts w:eastAsia="Times New Roman" w:cs="Times New Roman"/>
                <w:color w:val="000000" w:themeColor="text1"/>
              </w:rPr>
              <w:t>ePMDS</w:t>
            </w:r>
            <w:proofErr w:type="spellEnd"/>
          </w:p>
        </w:tc>
        <w:tc>
          <w:tcPr>
            <w:tcW w:w="962" w:type="pct"/>
          </w:tcPr>
          <w:p w:rsidR="00F16CCA" w:rsidRPr="003F7198" w:rsidRDefault="00F16CCA" w:rsidP="00DE1A4D">
            <w:pPr>
              <w:keepNext/>
              <w:keepLines/>
              <w:jc w:val="center"/>
              <w:rPr>
                <w:color w:val="000000" w:themeColor="text1"/>
              </w:rPr>
            </w:pPr>
            <w:r w:rsidRPr="003F7198">
              <w:rPr>
                <w:rFonts w:eastAsia="Times New Roman" w:cs="Times New Roman"/>
                <w:color w:val="000000" w:themeColor="text1"/>
              </w:rPr>
              <w:t>GBS/HRMD/GTF</w:t>
            </w:r>
          </w:p>
        </w:tc>
        <w:tc>
          <w:tcPr>
            <w:tcW w:w="576" w:type="pct"/>
          </w:tcPr>
          <w:p w:rsidR="00F16CCA" w:rsidRPr="003F7198" w:rsidRDefault="00F16CCA" w:rsidP="000B75EF">
            <w:pPr>
              <w:keepNext/>
              <w:keepLines/>
              <w:jc w:val="center"/>
              <w:rPr>
                <w:color w:val="000000" w:themeColor="text1"/>
              </w:rPr>
            </w:pPr>
            <w:r w:rsidRPr="003F7198">
              <w:rPr>
                <w:rFonts w:eastAsia="Times New Roman" w:cs="Times New Roman"/>
                <w:color w:val="000000" w:themeColor="text1"/>
              </w:rPr>
              <w:t>Abr-Nov</w:t>
            </w:r>
          </w:p>
        </w:tc>
      </w:tr>
      <w:tr w:rsidR="00F16CCA" w:rsidRPr="003F7198" w:rsidTr="000B75EF">
        <w:tc>
          <w:tcPr>
            <w:tcW w:w="3461" w:type="pct"/>
          </w:tcPr>
          <w:p w:rsidR="00F16CCA" w:rsidRPr="003F7198" w:rsidRDefault="00F16CCA" w:rsidP="007F192C">
            <w:pPr>
              <w:ind w:left="567" w:hanging="567"/>
              <w:rPr>
                <w:color w:val="000000" w:themeColor="text1"/>
              </w:rPr>
            </w:pPr>
            <w:r w:rsidRPr="003F7198">
              <w:rPr>
                <w:rFonts w:eastAsia="Times New Roman" w:cs="Times New Roman"/>
                <w:color w:val="000000" w:themeColor="text1"/>
              </w:rPr>
              <w:t>11.3</w:t>
            </w:r>
            <w:r w:rsidRPr="003F7198">
              <w:rPr>
                <w:rFonts w:eastAsia="Times New Roman" w:cs="Times New Roman"/>
                <w:color w:val="000000" w:themeColor="text1"/>
              </w:rPr>
              <w:tab/>
              <w:t>Paridad en las comisiones estatutarias</w:t>
            </w:r>
          </w:p>
        </w:tc>
        <w:tc>
          <w:tcPr>
            <w:tcW w:w="962" w:type="pct"/>
          </w:tcPr>
          <w:p w:rsidR="00F16CCA" w:rsidRPr="003F7198" w:rsidRDefault="00F16CCA" w:rsidP="000B75EF">
            <w:pPr>
              <w:keepNext/>
              <w:keepLines/>
              <w:jc w:val="center"/>
              <w:rPr>
                <w:color w:val="000000" w:themeColor="text1"/>
              </w:rPr>
            </w:pPr>
            <w:r w:rsidRPr="003F7198">
              <w:rPr>
                <w:rFonts w:eastAsia="Times New Roman" w:cs="Times New Roman"/>
                <w:color w:val="000000" w:themeColor="text1"/>
              </w:rPr>
              <w:t>DE/HRMD</w:t>
            </w:r>
          </w:p>
        </w:tc>
        <w:tc>
          <w:tcPr>
            <w:tcW w:w="576" w:type="pct"/>
          </w:tcPr>
          <w:p w:rsidR="00F16CCA" w:rsidRPr="003F7198" w:rsidRDefault="00F16CCA" w:rsidP="000B75EF">
            <w:pPr>
              <w:keepNext/>
              <w:keepLines/>
              <w:jc w:val="center"/>
              <w:rPr>
                <w:color w:val="000000" w:themeColor="text1"/>
              </w:rPr>
            </w:pPr>
          </w:p>
        </w:tc>
      </w:tr>
    </w:tbl>
    <w:p w:rsidR="004B5F3A" w:rsidRPr="004B5F3A" w:rsidRDefault="004B5F3A" w:rsidP="004B5F3A">
      <w:pPr>
        <w:spacing w:before="0"/>
      </w:pPr>
    </w:p>
    <w:p w:rsidR="00F16CCA" w:rsidRPr="003F7198" w:rsidRDefault="00F16CCA" w:rsidP="00266F0B">
      <w:pPr>
        <w:keepNext/>
        <w:keepLines/>
        <w:pBdr>
          <w:bottom w:val="single" w:sz="4" w:space="1" w:color="auto"/>
        </w:pBdr>
        <w:tabs>
          <w:tab w:val="left" w:pos="5245"/>
          <w:tab w:val="right" w:pos="9639"/>
        </w:tabs>
        <w:spacing w:before="240"/>
        <w:ind w:left="570" w:hanging="570"/>
        <w:rPr>
          <w:color w:val="000000" w:themeColor="text1"/>
        </w:rPr>
      </w:pPr>
      <w:r w:rsidRPr="003F7198">
        <w:rPr>
          <w:b/>
          <w:bCs/>
          <w:color w:val="000000" w:themeColor="text1"/>
        </w:rPr>
        <w:t>12</w:t>
      </w:r>
      <w:r w:rsidRPr="003F7198">
        <w:rPr>
          <w:b/>
          <w:bCs/>
          <w:color w:val="000000" w:themeColor="text1"/>
        </w:rPr>
        <w:tab/>
        <w:t>Igual representación de hombres y mujeres</w:t>
      </w:r>
      <w:r w:rsidRPr="003F7198">
        <w:rPr>
          <w:b/>
          <w:bCs/>
          <w:color w:val="000000" w:themeColor="text1"/>
        </w:rPr>
        <w:tab/>
        <w:t>Estado del SWAP en 2017:</w:t>
      </w:r>
      <w:r w:rsidRPr="003F7198">
        <w:rPr>
          <w:color w:val="000000" w:themeColor="text1"/>
        </w:rPr>
        <w:t xml:space="preserve"> </w:t>
      </w:r>
      <w:proofErr w:type="spellStart"/>
      <w:r w:rsidRPr="003F7198">
        <w:rPr>
          <w:color w:val="000000" w:themeColor="text1"/>
        </w:rPr>
        <w:t>n.d</w:t>
      </w:r>
      <w:proofErr w:type="spellEnd"/>
      <w:r w:rsidRPr="003F7198">
        <w:rPr>
          <w:color w:val="000000" w:themeColor="text1"/>
        </w:rPr>
        <w:t xml:space="preserve">.; nuevo </w:t>
      </w:r>
      <w:r w:rsidRPr="003F7198">
        <w:rPr>
          <w:color w:val="000000" w:themeColor="text1"/>
        </w:rPr>
        <w:tab/>
      </w:r>
      <w:r w:rsidRPr="003F7198">
        <w:rPr>
          <w:color w:val="000000" w:themeColor="text1"/>
        </w:rPr>
        <w:tab/>
      </w:r>
      <w:r w:rsidRPr="003F7198">
        <w:rPr>
          <w:color w:val="000000" w:themeColor="text1"/>
        </w:rPr>
        <w:tab/>
      </w:r>
      <w:r w:rsidRPr="003F7198">
        <w:rPr>
          <w:color w:val="000000" w:themeColor="text1"/>
        </w:rPr>
        <w:tab/>
      </w:r>
      <w:r w:rsidRPr="003F7198">
        <w:rPr>
          <w:color w:val="000000" w:themeColor="text1"/>
        </w:rPr>
        <w:tab/>
        <w:t>indicador para 2017</w:t>
      </w:r>
    </w:p>
    <w:p w:rsidR="00F16CCA" w:rsidRPr="003F7198" w:rsidRDefault="00F16CCA" w:rsidP="00DE1A4D">
      <w:pPr>
        <w:spacing w:after="120"/>
      </w:pPr>
      <w:r w:rsidRPr="003F7198">
        <w:t>Para satisfacer este indicador de rendimiento del ONU-SWAP, la UIT tendría que esforzarse por conseguir la igualdad en la representación de las mujeres a todos los niveles.</w:t>
      </w:r>
    </w:p>
    <w:tbl>
      <w:tblPr>
        <w:tblStyle w:val="TableGrid"/>
        <w:tblW w:w="5000" w:type="pct"/>
        <w:tblLook w:val="04A0" w:firstRow="1" w:lastRow="0" w:firstColumn="1" w:lastColumn="0" w:noHBand="0" w:noVBand="1"/>
      </w:tblPr>
      <w:tblGrid>
        <w:gridCol w:w="6644"/>
        <w:gridCol w:w="1899"/>
        <w:gridCol w:w="1086"/>
      </w:tblGrid>
      <w:tr w:rsidR="00F16CCA" w:rsidRPr="003F7198" w:rsidTr="00DE1A4D">
        <w:tc>
          <w:tcPr>
            <w:tcW w:w="3450" w:type="pct"/>
          </w:tcPr>
          <w:p w:rsidR="00F16CCA" w:rsidRPr="003F7198" w:rsidRDefault="00F16CCA" w:rsidP="000B75EF">
            <w:pPr>
              <w:keepNext/>
              <w:keepLines/>
              <w:jc w:val="both"/>
              <w:rPr>
                <w:color w:val="000000" w:themeColor="text1"/>
              </w:rPr>
            </w:pPr>
            <w:r w:rsidRPr="003F7198">
              <w:rPr>
                <w:color w:val="000000" w:themeColor="text1"/>
                <w:u w:val="single"/>
              </w:rPr>
              <w:t>Productos</w:t>
            </w:r>
          </w:p>
        </w:tc>
        <w:tc>
          <w:tcPr>
            <w:tcW w:w="986" w:type="pct"/>
          </w:tcPr>
          <w:p w:rsidR="00F16CCA" w:rsidRPr="003F7198" w:rsidRDefault="00F16CCA" w:rsidP="000B75EF">
            <w:pPr>
              <w:keepNext/>
              <w:keepLines/>
              <w:jc w:val="both"/>
              <w:rPr>
                <w:color w:val="000000" w:themeColor="text1"/>
              </w:rPr>
            </w:pPr>
            <w:r w:rsidRPr="003F7198">
              <w:rPr>
                <w:color w:val="000000" w:themeColor="text1"/>
                <w:u w:val="single"/>
              </w:rPr>
              <w:t>Titular/Implicado</w:t>
            </w:r>
          </w:p>
        </w:tc>
        <w:tc>
          <w:tcPr>
            <w:tcW w:w="564" w:type="pct"/>
          </w:tcPr>
          <w:p w:rsidR="00F16CCA" w:rsidRPr="003F7198" w:rsidRDefault="00F16CCA" w:rsidP="000B75EF">
            <w:pPr>
              <w:keepNext/>
              <w:keepLines/>
              <w:jc w:val="center"/>
              <w:rPr>
                <w:color w:val="000000" w:themeColor="text1"/>
              </w:rPr>
            </w:pPr>
            <w:r w:rsidRPr="003F7198">
              <w:rPr>
                <w:color w:val="000000" w:themeColor="text1"/>
                <w:u w:val="single"/>
              </w:rPr>
              <w:t>Plazo</w:t>
            </w:r>
          </w:p>
        </w:tc>
      </w:tr>
      <w:tr w:rsidR="00F16CCA" w:rsidRPr="003F7198" w:rsidTr="00DE1A4D">
        <w:tc>
          <w:tcPr>
            <w:tcW w:w="3450" w:type="pct"/>
          </w:tcPr>
          <w:p w:rsidR="00F16CCA" w:rsidRPr="003F7198" w:rsidRDefault="00F16CCA" w:rsidP="00C707ED">
            <w:pPr>
              <w:keepNext/>
              <w:keepLines/>
              <w:ind w:left="567" w:hanging="567"/>
              <w:rPr>
                <w:color w:val="000000" w:themeColor="text1"/>
              </w:rPr>
            </w:pPr>
            <w:r w:rsidRPr="003F7198">
              <w:rPr>
                <w:color w:val="000000" w:themeColor="text1"/>
              </w:rPr>
              <w:t>12.1</w:t>
            </w:r>
            <w:r w:rsidRPr="003F7198">
              <w:rPr>
                <w:color w:val="000000" w:themeColor="text1"/>
              </w:rPr>
              <w:tab/>
              <w:t>Establecer objetivos de paridad a todos los niveles conforme a la estrategia de todo el sistema de las Naciones Unidas</w:t>
            </w:r>
          </w:p>
        </w:tc>
        <w:tc>
          <w:tcPr>
            <w:tcW w:w="986" w:type="pct"/>
          </w:tcPr>
          <w:p w:rsidR="00F16CCA" w:rsidRPr="003F7198" w:rsidRDefault="00F16CCA" w:rsidP="00DE1A4D">
            <w:pPr>
              <w:keepNext/>
              <w:keepLines/>
              <w:jc w:val="center"/>
              <w:rPr>
                <w:color w:val="000000" w:themeColor="text1"/>
              </w:rPr>
            </w:pPr>
            <w:r w:rsidRPr="003F7198">
              <w:rPr>
                <w:color w:val="000000" w:themeColor="text1"/>
              </w:rPr>
              <w:t>HRMD/GBS</w:t>
            </w:r>
          </w:p>
        </w:tc>
        <w:tc>
          <w:tcPr>
            <w:tcW w:w="564" w:type="pct"/>
          </w:tcPr>
          <w:p w:rsidR="00F16CCA" w:rsidRPr="003F7198" w:rsidRDefault="00F16CCA" w:rsidP="000B75EF">
            <w:pPr>
              <w:keepNext/>
              <w:keepLines/>
              <w:jc w:val="center"/>
              <w:rPr>
                <w:color w:val="000000" w:themeColor="text1"/>
              </w:rPr>
            </w:pPr>
            <w:r w:rsidRPr="003F7198">
              <w:rPr>
                <w:color w:val="000000" w:themeColor="text1"/>
              </w:rPr>
              <w:t>Ene</w:t>
            </w:r>
          </w:p>
        </w:tc>
      </w:tr>
      <w:tr w:rsidR="00F16CCA" w:rsidRPr="003F7198" w:rsidTr="00DE1A4D">
        <w:tc>
          <w:tcPr>
            <w:tcW w:w="3450" w:type="pct"/>
          </w:tcPr>
          <w:p w:rsidR="00F16CCA" w:rsidRPr="003F7198" w:rsidRDefault="00F16CCA" w:rsidP="007F192C">
            <w:pPr>
              <w:ind w:left="567" w:hanging="567"/>
              <w:rPr>
                <w:color w:val="000000" w:themeColor="text1"/>
              </w:rPr>
            </w:pPr>
            <w:r w:rsidRPr="003F7198">
              <w:rPr>
                <w:rFonts w:eastAsia="Times New Roman" w:cs="Times New Roman"/>
                <w:color w:val="000000" w:themeColor="text1"/>
              </w:rPr>
              <w:t>12.2</w:t>
            </w:r>
            <w:r w:rsidRPr="003F7198">
              <w:rPr>
                <w:rFonts w:eastAsia="Times New Roman" w:cs="Times New Roman"/>
                <w:color w:val="000000" w:themeColor="text1"/>
              </w:rPr>
              <w:tab/>
            </w:r>
            <w:r w:rsidRPr="007F192C">
              <w:rPr>
                <w:color w:val="000000" w:themeColor="text1"/>
              </w:rPr>
              <w:t>Someter</w:t>
            </w:r>
            <w:r w:rsidRPr="003F7198">
              <w:rPr>
                <w:rFonts w:eastAsia="Times New Roman" w:cs="Times New Roman"/>
                <w:color w:val="000000" w:themeColor="text1"/>
              </w:rPr>
              <w:t xml:space="preserve"> la estrategia de la UIT en materia de paridad de género conforme a la carta de 27 de diciembre de 2017 de la JJE</w:t>
            </w:r>
          </w:p>
        </w:tc>
        <w:tc>
          <w:tcPr>
            <w:tcW w:w="986" w:type="pct"/>
          </w:tcPr>
          <w:p w:rsidR="00F16CCA" w:rsidRPr="003F7198" w:rsidRDefault="00F16CCA" w:rsidP="00DE1A4D">
            <w:pPr>
              <w:keepNext/>
              <w:keepLines/>
              <w:jc w:val="center"/>
              <w:rPr>
                <w:color w:val="000000" w:themeColor="text1"/>
              </w:rPr>
            </w:pPr>
            <w:r w:rsidRPr="003F7198">
              <w:rPr>
                <w:rFonts w:eastAsia="Times New Roman" w:cs="Times New Roman"/>
                <w:color w:val="000000" w:themeColor="text1"/>
              </w:rPr>
              <w:t>HRMD/GBS</w:t>
            </w:r>
          </w:p>
        </w:tc>
        <w:tc>
          <w:tcPr>
            <w:tcW w:w="564" w:type="pct"/>
          </w:tcPr>
          <w:p w:rsidR="00F16CCA" w:rsidRPr="003F7198" w:rsidRDefault="00F16CCA" w:rsidP="00DE1A4D">
            <w:pPr>
              <w:keepNext/>
              <w:keepLines/>
              <w:jc w:val="center"/>
              <w:rPr>
                <w:color w:val="000000" w:themeColor="text1"/>
              </w:rPr>
            </w:pPr>
            <w:r w:rsidRPr="003F7198">
              <w:rPr>
                <w:rFonts w:eastAsia="Times New Roman" w:cs="Times New Roman"/>
                <w:color w:val="000000" w:themeColor="text1"/>
              </w:rPr>
              <w:t>Abr-Jun</w:t>
            </w:r>
          </w:p>
        </w:tc>
      </w:tr>
    </w:tbl>
    <w:p w:rsidR="004B5F3A" w:rsidRDefault="004B5F3A" w:rsidP="004B5F3A">
      <w:pPr>
        <w:spacing w:before="0"/>
      </w:pPr>
    </w:p>
    <w:p w:rsidR="00F16CCA" w:rsidRPr="003F7198" w:rsidRDefault="00F16CCA" w:rsidP="00702C02">
      <w:pPr>
        <w:keepNext/>
        <w:keepLines/>
        <w:pBdr>
          <w:bottom w:val="single" w:sz="4" w:space="1" w:color="auto"/>
        </w:pBdr>
        <w:tabs>
          <w:tab w:val="right" w:pos="9639"/>
        </w:tabs>
        <w:spacing w:before="240"/>
        <w:rPr>
          <w:color w:val="000000" w:themeColor="text1"/>
        </w:rPr>
      </w:pPr>
      <w:r w:rsidRPr="003F7198">
        <w:rPr>
          <w:b/>
          <w:bCs/>
          <w:color w:val="000000" w:themeColor="text1"/>
        </w:rPr>
        <w:t>13</w:t>
      </w:r>
      <w:r w:rsidRPr="003F7198">
        <w:rPr>
          <w:b/>
          <w:bCs/>
          <w:color w:val="000000" w:themeColor="text1"/>
        </w:rPr>
        <w:tab/>
        <w:t>Cultura institucional</w:t>
      </w:r>
      <w:r w:rsidRPr="003F7198">
        <w:rPr>
          <w:b/>
          <w:bCs/>
          <w:color w:val="000000" w:themeColor="text1"/>
        </w:rPr>
        <w:tab/>
      </w:r>
      <w:r w:rsidRPr="003F7198">
        <w:rPr>
          <w:b/>
          <w:bCs/>
          <w:color w:val="000000" w:themeColor="text1"/>
        </w:rPr>
        <w:tab/>
        <w:t xml:space="preserve">Estado del SWAP en 2017: </w:t>
      </w:r>
      <w:r w:rsidRPr="003F7198">
        <w:rPr>
          <w:color w:val="000000" w:themeColor="text1"/>
        </w:rPr>
        <w:t>casi cumple los requisitos</w:t>
      </w:r>
    </w:p>
    <w:p w:rsidR="00F16CCA" w:rsidRPr="003F7198" w:rsidRDefault="00F16CCA" w:rsidP="00DE1A4D">
      <w:pPr>
        <w:spacing w:after="120"/>
      </w:pPr>
      <w:r w:rsidRPr="003F7198">
        <w:t>Para satisfacer este indicador de rendimiento del ONU-SWAP, la UIT tendría que demostrar que está</w:t>
      </w:r>
      <w:r w:rsidR="004A5C61" w:rsidRPr="003F7198">
        <w:t xml:space="preserve"> llevando a cabo lo siguiente: </w:t>
      </w:r>
      <w:r w:rsidRPr="003F7198">
        <w:t>1) Que se hacen cumplir las normas y reglamentos de las Naciones Unidas en materia de Ética, impartiéndose una formac</w:t>
      </w:r>
      <w:r w:rsidR="001A108A" w:rsidRPr="003F7198">
        <w:t>ión en esta materia de carácter </w:t>
      </w:r>
      <w:r w:rsidRPr="003F7198">
        <w:t>obligatorio y aplicándose el principio de tolerancia cero para las co</w:t>
      </w:r>
      <w:r w:rsidR="004A5C61" w:rsidRPr="003F7198">
        <w:t xml:space="preserve">nductas contrarias a la ética; </w:t>
      </w:r>
      <w:r w:rsidRPr="003F7198">
        <w:t>2) Que se aplican las políticas de prevención de la discriminación y el acoso, así como medidas especiales para evitar la explotación sexual y el abuso sexual, existe una oficina de ética, se persigue el abuso de autoridad, se fomenta la administración de justicia, la resolución de conflictos y la prot</w:t>
      </w:r>
      <w:r w:rsidR="004A5C61" w:rsidRPr="003F7198">
        <w:t xml:space="preserve">ección contra las represalias; </w:t>
      </w:r>
      <w:r w:rsidRPr="003F7198">
        <w:t>3) Aplicar, fo</w:t>
      </w:r>
      <w:r w:rsidR="001A108A" w:rsidRPr="003F7198">
        <w:t>mentar e informar acerca de las </w:t>
      </w:r>
      <w:r w:rsidRPr="003F7198">
        <w:t>políticas de maternidad, paternidad, adopción, licencias por emergencia fa</w:t>
      </w:r>
      <w:r w:rsidR="004A5C61" w:rsidRPr="003F7198">
        <w:t xml:space="preserve">miliar, y </w:t>
      </w:r>
      <w:r w:rsidR="004A5C61" w:rsidRPr="003F7198">
        <w:lastRenderedPageBreak/>
        <w:t xml:space="preserve">puericultura; </w:t>
      </w:r>
      <w:r w:rsidRPr="003F7198">
        <w:t>4) Aplicar, fomentar y evaluar las políticas relativas al equilibrio entre el trabajo y la vida personal, el escalonamiento de los horarios de trabajo, el apoyo financiero a los padres que viajan con niños, y la jubilación por fase</w:t>
      </w:r>
      <w:r w:rsidR="004A5C61" w:rsidRPr="003F7198">
        <w:t xml:space="preserve">s, </w:t>
      </w:r>
      <w:r w:rsidRPr="003F7198">
        <w:t>5) Fomentar las normas y reglamentos de las Naciones Unidas en vigor en materia de equilibrio del trabajo y la vida personal que permitan controlar el estado de su aplicación y su accesibil</w:t>
      </w:r>
      <w:r w:rsidR="004A5C61" w:rsidRPr="003F7198">
        <w:t xml:space="preserve">idad por géneros y categorías; </w:t>
      </w:r>
      <w:r w:rsidRPr="003F7198">
        <w:t>6) Fomento activo de reuniones periódicas del personal en las dependencias, planificadas durante las horas de trabajo centrales, y del personal que trabaja a tiempo parcial durante los días laborables, con telecon</w:t>
      </w:r>
      <w:r w:rsidR="004A5C61" w:rsidRPr="003F7198">
        <w:t xml:space="preserve">ferencia u otros medios de TI; </w:t>
      </w:r>
      <w:r w:rsidRPr="003F7198">
        <w:t>7) Encuestas periódicas de alcance mundial y entrevistas de fin de servicio a fin de recabar y analizar datos pertinentes para la evaluación del aspecto cualitativo de la cultura interinstitucional y arrojar luz sobre problemas que incidan en la contratación, retenc</w:t>
      </w:r>
      <w:r w:rsidR="000F6167" w:rsidRPr="003F7198">
        <w:t>ión y experiencia del personal.</w:t>
      </w:r>
    </w:p>
    <w:tbl>
      <w:tblPr>
        <w:tblStyle w:val="TableGrid"/>
        <w:tblW w:w="5000" w:type="pct"/>
        <w:tblLook w:val="04A0" w:firstRow="1" w:lastRow="0" w:firstColumn="1" w:lastColumn="0" w:noHBand="0" w:noVBand="1"/>
      </w:tblPr>
      <w:tblGrid>
        <w:gridCol w:w="6520"/>
        <w:gridCol w:w="2147"/>
        <w:gridCol w:w="962"/>
      </w:tblGrid>
      <w:tr w:rsidR="00F16CCA" w:rsidRPr="003F7198" w:rsidTr="000B75EF">
        <w:tc>
          <w:tcPr>
            <w:tcW w:w="3461" w:type="pct"/>
          </w:tcPr>
          <w:p w:rsidR="00F16CCA" w:rsidRPr="003F7198" w:rsidRDefault="00F16CCA" w:rsidP="000B75EF">
            <w:pPr>
              <w:keepNext/>
              <w:keepLines/>
              <w:jc w:val="both"/>
              <w:rPr>
                <w:color w:val="000000" w:themeColor="text1"/>
              </w:rPr>
            </w:pPr>
            <w:r w:rsidRPr="003F7198">
              <w:rPr>
                <w:color w:val="000000" w:themeColor="text1"/>
                <w:u w:val="single"/>
              </w:rPr>
              <w:t>Productos</w:t>
            </w:r>
          </w:p>
        </w:tc>
        <w:tc>
          <w:tcPr>
            <w:tcW w:w="962" w:type="pct"/>
          </w:tcPr>
          <w:p w:rsidR="00F16CCA" w:rsidRPr="003F7198" w:rsidRDefault="00F16CCA" w:rsidP="000B75EF">
            <w:pPr>
              <w:keepNext/>
              <w:keepLines/>
              <w:jc w:val="center"/>
              <w:rPr>
                <w:color w:val="000000" w:themeColor="text1"/>
              </w:rPr>
            </w:pPr>
            <w:r w:rsidRPr="003F7198">
              <w:rPr>
                <w:color w:val="000000" w:themeColor="text1"/>
                <w:u w:val="single"/>
              </w:rPr>
              <w:t>Titular/Implicado</w:t>
            </w:r>
          </w:p>
        </w:tc>
        <w:tc>
          <w:tcPr>
            <w:tcW w:w="576" w:type="pct"/>
          </w:tcPr>
          <w:p w:rsidR="00F16CCA" w:rsidRPr="003F7198" w:rsidRDefault="00F16CCA" w:rsidP="000B75EF">
            <w:pPr>
              <w:keepNext/>
              <w:keepLines/>
              <w:jc w:val="center"/>
              <w:rPr>
                <w:color w:val="000000" w:themeColor="text1"/>
              </w:rPr>
            </w:pPr>
            <w:r w:rsidRPr="003F7198">
              <w:rPr>
                <w:color w:val="000000" w:themeColor="text1"/>
                <w:u w:val="single"/>
              </w:rPr>
              <w:t>Plazo</w:t>
            </w:r>
          </w:p>
        </w:tc>
      </w:tr>
      <w:tr w:rsidR="00F16CCA" w:rsidRPr="003F7198" w:rsidTr="000B75EF">
        <w:tc>
          <w:tcPr>
            <w:tcW w:w="3461" w:type="pct"/>
          </w:tcPr>
          <w:p w:rsidR="00F16CCA" w:rsidRPr="003F7198" w:rsidRDefault="00F16CCA" w:rsidP="00C707ED">
            <w:pPr>
              <w:keepNext/>
              <w:keepLines/>
              <w:ind w:left="567" w:hanging="567"/>
              <w:rPr>
                <w:color w:val="000000" w:themeColor="text1"/>
              </w:rPr>
            </w:pPr>
            <w:r w:rsidRPr="003F7198">
              <w:rPr>
                <w:rFonts w:eastAsia="Times New Roman" w:cs="Times New Roman"/>
                <w:color w:val="000000" w:themeColor="text1"/>
              </w:rPr>
              <w:t>13.1</w:t>
            </w:r>
            <w:r w:rsidRPr="003F7198">
              <w:rPr>
                <w:rFonts w:eastAsia="Times New Roman" w:cs="Times New Roman"/>
                <w:color w:val="000000" w:themeColor="text1"/>
              </w:rPr>
              <w:tab/>
              <w:t>Examen y plan de trabajo para impartir formación sobre ética</w:t>
            </w:r>
          </w:p>
        </w:tc>
        <w:tc>
          <w:tcPr>
            <w:tcW w:w="962" w:type="pct"/>
          </w:tcPr>
          <w:p w:rsidR="00F16CCA" w:rsidRPr="003F7198" w:rsidRDefault="00F16CCA" w:rsidP="000B75EF">
            <w:pPr>
              <w:keepNext/>
              <w:keepLines/>
              <w:jc w:val="center"/>
              <w:rPr>
                <w:color w:val="000000" w:themeColor="text1"/>
              </w:rPr>
            </w:pPr>
            <w:r w:rsidRPr="003F7198">
              <w:rPr>
                <w:rFonts w:eastAsia="Times New Roman" w:cs="Times New Roman"/>
                <w:color w:val="000000" w:themeColor="text1"/>
              </w:rPr>
              <w:t>Ética/HRMD</w:t>
            </w:r>
          </w:p>
        </w:tc>
        <w:tc>
          <w:tcPr>
            <w:tcW w:w="576" w:type="pct"/>
          </w:tcPr>
          <w:p w:rsidR="00F16CCA" w:rsidRPr="003F7198" w:rsidRDefault="00F16CCA" w:rsidP="000B75EF">
            <w:pPr>
              <w:keepNext/>
              <w:keepLines/>
              <w:jc w:val="center"/>
              <w:rPr>
                <w:color w:val="000000" w:themeColor="text1"/>
              </w:rPr>
            </w:pPr>
          </w:p>
        </w:tc>
      </w:tr>
      <w:tr w:rsidR="00F16CCA" w:rsidRPr="003F7198" w:rsidTr="000B75EF">
        <w:tc>
          <w:tcPr>
            <w:tcW w:w="3461" w:type="pct"/>
          </w:tcPr>
          <w:p w:rsidR="00F16CCA" w:rsidRPr="003F7198" w:rsidRDefault="00F16CCA" w:rsidP="007F192C">
            <w:pPr>
              <w:ind w:left="567" w:hanging="567"/>
              <w:rPr>
                <w:color w:val="000000" w:themeColor="text1"/>
              </w:rPr>
            </w:pPr>
            <w:r w:rsidRPr="003F7198">
              <w:rPr>
                <w:rFonts w:eastAsia="Times New Roman" w:cs="Times New Roman"/>
                <w:color w:val="000000" w:themeColor="text1"/>
              </w:rPr>
              <w:t>13.2</w:t>
            </w:r>
            <w:r w:rsidRPr="003F7198">
              <w:rPr>
                <w:rFonts w:eastAsia="Times New Roman" w:cs="Times New Roman"/>
                <w:color w:val="000000" w:themeColor="text1"/>
              </w:rPr>
              <w:tab/>
              <w:t>Participar en el grupo de tareas de la JJE sobre acoso sexual</w:t>
            </w:r>
          </w:p>
        </w:tc>
        <w:tc>
          <w:tcPr>
            <w:tcW w:w="962" w:type="pct"/>
          </w:tcPr>
          <w:p w:rsidR="00F16CCA" w:rsidRPr="003F7198" w:rsidRDefault="00F16CCA" w:rsidP="007331BA">
            <w:pPr>
              <w:keepNext/>
              <w:keepLines/>
              <w:jc w:val="center"/>
              <w:rPr>
                <w:color w:val="000000" w:themeColor="text1"/>
              </w:rPr>
            </w:pPr>
            <w:r w:rsidRPr="003F7198">
              <w:rPr>
                <w:color w:val="000000" w:themeColor="text1"/>
              </w:rPr>
              <w:t>SPM/JUR/HR/ETHIC</w:t>
            </w:r>
          </w:p>
        </w:tc>
        <w:tc>
          <w:tcPr>
            <w:tcW w:w="576" w:type="pct"/>
          </w:tcPr>
          <w:p w:rsidR="00F16CCA" w:rsidRPr="003F7198" w:rsidRDefault="00F16CCA" w:rsidP="007331BA">
            <w:pPr>
              <w:keepNext/>
              <w:keepLines/>
              <w:jc w:val="center"/>
              <w:rPr>
                <w:color w:val="000000" w:themeColor="text1"/>
              </w:rPr>
            </w:pPr>
            <w:r w:rsidRPr="003F7198">
              <w:rPr>
                <w:rFonts w:eastAsia="Times New Roman" w:cs="Times New Roman"/>
                <w:color w:val="000000" w:themeColor="text1"/>
              </w:rPr>
              <w:t>Ene-</w:t>
            </w:r>
            <w:proofErr w:type="spellStart"/>
            <w:r w:rsidRPr="003F7198">
              <w:rPr>
                <w:rFonts w:eastAsia="Times New Roman" w:cs="Times New Roman"/>
                <w:color w:val="000000" w:themeColor="text1"/>
              </w:rPr>
              <w:t>Sep</w:t>
            </w:r>
            <w:proofErr w:type="spellEnd"/>
          </w:p>
        </w:tc>
      </w:tr>
      <w:tr w:rsidR="00F16CCA" w:rsidRPr="003F7198" w:rsidTr="000B75EF">
        <w:tc>
          <w:tcPr>
            <w:tcW w:w="3461" w:type="pct"/>
          </w:tcPr>
          <w:p w:rsidR="00F16CCA" w:rsidRPr="003F7198" w:rsidRDefault="00F16CCA" w:rsidP="007F192C">
            <w:pPr>
              <w:ind w:left="567" w:hanging="567"/>
              <w:rPr>
                <w:color w:val="000000" w:themeColor="text1"/>
              </w:rPr>
            </w:pPr>
            <w:r w:rsidRPr="003F7198">
              <w:rPr>
                <w:color w:val="000000" w:themeColor="text1"/>
              </w:rPr>
              <w:t>13.3</w:t>
            </w:r>
            <w:r w:rsidRPr="003F7198">
              <w:rPr>
                <w:color w:val="000000" w:themeColor="text1"/>
              </w:rPr>
              <w:tab/>
              <w:t>Proponer recomendaciones sobre la vida laboral y personal que tengan en cuenta el género</w:t>
            </w:r>
          </w:p>
        </w:tc>
        <w:tc>
          <w:tcPr>
            <w:tcW w:w="962" w:type="pct"/>
          </w:tcPr>
          <w:p w:rsidR="00F16CCA" w:rsidRPr="003F7198" w:rsidRDefault="00F16CCA" w:rsidP="007331BA">
            <w:pPr>
              <w:keepNext/>
              <w:keepLines/>
              <w:jc w:val="center"/>
              <w:rPr>
                <w:color w:val="000000" w:themeColor="text1"/>
              </w:rPr>
            </w:pPr>
            <w:r w:rsidRPr="003F7198">
              <w:rPr>
                <w:rFonts w:eastAsia="Times New Roman" w:cs="Times New Roman"/>
                <w:color w:val="000000" w:themeColor="text1"/>
              </w:rPr>
              <w:t>Consejo del Personal/HRMD</w:t>
            </w:r>
          </w:p>
        </w:tc>
        <w:tc>
          <w:tcPr>
            <w:tcW w:w="576" w:type="pct"/>
          </w:tcPr>
          <w:p w:rsidR="00F16CCA" w:rsidRPr="003F7198" w:rsidRDefault="00F16CCA" w:rsidP="000B75EF">
            <w:pPr>
              <w:keepNext/>
              <w:keepLines/>
              <w:jc w:val="center"/>
              <w:rPr>
                <w:color w:val="000000" w:themeColor="text1"/>
              </w:rPr>
            </w:pPr>
            <w:r w:rsidRPr="003F7198">
              <w:rPr>
                <w:color w:val="000000" w:themeColor="text1"/>
              </w:rPr>
              <w:t>Jun-</w:t>
            </w:r>
            <w:proofErr w:type="spellStart"/>
            <w:r w:rsidRPr="003F7198">
              <w:rPr>
                <w:color w:val="000000" w:themeColor="text1"/>
              </w:rPr>
              <w:t>Ago</w:t>
            </w:r>
            <w:proofErr w:type="spellEnd"/>
          </w:p>
        </w:tc>
      </w:tr>
      <w:tr w:rsidR="00F16CCA" w:rsidRPr="003F7198" w:rsidTr="000B75EF">
        <w:tc>
          <w:tcPr>
            <w:tcW w:w="3461" w:type="pct"/>
          </w:tcPr>
          <w:p w:rsidR="00F16CCA" w:rsidRPr="003F7198" w:rsidRDefault="00F16CCA" w:rsidP="007F192C">
            <w:pPr>
              <w:ind w:left="567" w:hanging="567"/>
              <w:rPr>
                <w:rFonts w:eastAsia="Times New Roman" w:cs="Times New Roman"/>
                <w:color w:val="000000" w:themeColor="text1"/>
              </w:rPr>
            </w:pPr>
            <w:r w:rsidRPr="003F7198">
              <w:rPr>
                <w:rFonts w:eastAsia="Times New Roman" w:cs="Times New Roman"/>
                <w:color w:val="000000" w:themeColor="text1"/>
              </w:rPr>
              <w:t>13.4</w:t>
            </w:r>
            <w:r w:rsidRPr="003F7198">
              <w:rPr>
                <w:rFonts w:eastAsia="Times New Roman" w:cs="Times New Roman"/>
                <w:color w:val="000000" w:themeColor="text1"/>
              </w:rPr>
              <w:tab/>
              <w:t>Controlar el estado de aplicación de la política de conciliación de la vida laboral y personal por género y categoría</w:t>
            </w:r>
          </w:p>
        </w:tc>
        <w:tc>
          <w:tcPr>
            <w:tcW w:w="962" w:type="pct"/>
          </w:tcPr>
          <w:p w:rsidR="00F16CCA" w:rsidRPr="003F7198" w:rsidRDefault="00F16CCA" w:rsidP="000B75EF">
            <w:pPr>
              <w:keepNext/>
              <w:keepLines/>
              <w:jc w:val="center"/>
              <w:rPr>
                <w:color w:val="000000" w:themeColor="text1"/>
              </w:rPr>
            </w:pPr>
            <w:r w:rsidRPr="003F7198">
              <w:rPr>
                <w:rFonts w:eastAsia="Times New Roman" w:cs="Times New Roman"/>
                <w:color w:val="000000" w:themeColor="text1"/>
              </w:rPr>
              <w:t>HRMD</w:t>
            </w:r>
          </w:p>
        </w:tc>
        <w:tc>
          <w:tcPr>
            <w:tcW w:w="576" w:type="pct"/>
          </w:tcPr>
          <w:p w:rsidR="00F16CCA" w:rsidRPr="003F7198" w:rsidRDefault="00F16CCA" w:rsidP="000B75EF">
            <w:pPr>
              <w:keepNext/>
              <w:keepLines/>
              <w:jc w:val="center"/>
              <w:rPr>
                <w:color w:val="000000" w:themeColor="text1"/>
              </w:rPr>
            </w:pPr>
            <w:r w:rsidRPr="003F7198">
              <w:rPr>
                <w:rFonts w:eastAsia="Times New Roman" w:cs="Times New Roman"/>
                <w:color w:val="000000" w:themeColor="text1"/>
              </w:rPr>
              <w:t>En curso</w:t>
            </w:r>
          </w:p>
        </w:tc>
      </w:tr>
      <w:tr w:rsidR="00F16CCA" w:rsidRPr="003F7198" w:rsidTr="000B75EF">
        <w:tc>
          <w:tcPr>
            <w:tcW w:w="3461" w:type="pct"/>
          </w:tcPr>
          <w:p w:rsidR="00F16CCA" w:rsidRPr="003F7198" w:rsidRDefault="00F16CCA" w:rsidP="007F192C">
            <w:pPr>
              <w:ind w:left="567" w:hanging="567"/>
              <w:rPr>
                <w:rFonts w:eastAsia="Times New Roman" w:cs="Times New Roman"/>
                <w:color w:val="000000" w:themeColor="text1"/>
              </w:rPr>
            </w:pPr>
            <w:r w:rsidRPr="003F7198">
              <w:rPr>
                <w:rFonts w:eastAsia="Times New Roman" w:cs="Times New Roman"/>
                <w:color w:val="000000" w:themeColor="text1"/>
              </w:rPr>
              <w:t>13.5</w:t>
            </w:r>
            <w:r w:rsidRPr="003F7198">
              <w:rPr>
                <w:rFonts w:eastAsia="Times New Roman" w:cs="Times New Roman"/>
                <w:color w:val="000000" w:themeColor="text1"/>
              </w:rPr>
              <w:tab/>
              <w:t>Mecanismo de supervisión (por ejemplo, encuesta anual, encuesta de fin de servicio o entrevista)</w:t>
            </w:r>
          </w:p>
        </w:tc>
        <w:tc>
          <w:tcPr>
            <w:tcW w:w="962" w:type="pct"/>
          </w:tcPr>
          <w:p w:rsidR="00F16CCA" w:rsidRPr="003F7198" w:rsidRDefault="00F16CCA" w:rsidP="000B75EF">
            <w:pPr>
              <w:keepNext/>
              <w:keepLines/>
              <w:jc w:val="center"/>
              <w:rPr>
                <w:rFonts w:eastAsia="Times New Roman" w:cs="Times New Roman"/>
                <w:color w:val="000000" w:themeColor="text1"/>
              </w:rPr>
            </w:pPr>
            <w:r w:rsidRPr="003F7198">
              <w:rPr>
                <w:rFonts w:eastAsia="Times New Roman" w:cs="Times New Roman"/>
                <w:color w:val="000000" w:themeColor="text1"/>
              </w:rPr>
              <w:t>HRMD</w:t>
            </w:r>
          </w:p>
        </w:tc>
        <w:tc>
          <w:tcPr>
            <w:tcW w:w="576" w:type="pct"/>
          </w:tcPr>
          <w:p w:rsidR="00F16CCA" w:rsidRPr="003F7198" w:rsidRDefault="00F16CCA" w:rsidP="000B75EF">
            <w:pPr>
              <w:keepNext/>
              <w:keepLines/>
              <w:jc w:val="center"/>
              <w:rPr>
                <w:rFonts w:eastAsia="Times New Roman" w:cs="Times New Roman"/>
                <w:color w:val="000000" w:themeColor="text1"/>
              </w:rPr>
            </w:pPr>
            <w:r w:rsidRPr="003F7198">
              <w:rPr>
                <w:rFonts w:eastAsia="Times New Roman" w:cs="Times New Roman"/>
                <w:color w:val="000000" w:themeColor="text1"/>
              </w:rPr>
              <w:t>Oct-Dic</w:t>
            </w:r>
          </w:p>
        </w:tc>
      </w:tr>
      <w:tr w:rsidR="00F16CCA" w:rsidRPr="003F7198" w:rsidTr="000B75EF">
        <w:tc>
          <w:tcPr>
            <w:tcW w:w="3461" w:type="pct"/>
          </w:tcPr>
          <w:p w:rsidR="00F16CCA" w:rsidRPr="003F7198" w:rsidRDefault="00F16CCA" w:rsidP="007F192C">
            <w:pPr>
              <w:ind w:left="567" w:hanging="567"/>
              <w:rPr>
                <w:rFonts w:eastAsia="Times New Roman" w:cs="Times New Roman"/>
                <w:color w:val="000000" w:themeColor="text1"/>
              </w:rPr>
            </w:pPr>
            <w:r w:rsidRPr="003F7198">
              <w:rPr>
                <w:rFonts w:eastAsia="Times New Roman" w:cs="Times New Roman"/>
                <w:color w:val="000000" w:themeColor="text1"/>
              </w:rPr>
              <w:t>13.6</w:t>
            </w:r>
            <w:r w:rsidRPr="003F7198">
              <w:rPr>
                <w:rFonts w:eastAsia="Times New Roman" w:cs="Times New Roman"/>
                <w:color w:val="000000" w:themeColor="text1"/>
              </w:rPr>
              <w:tab/>
              <w:t>Proceso y documentos de contratación de personal (incluidas, por ejemplo, las competencias)</w:t>
            </w:r>
          </w:p>
        </w:tc>
        <w:tc>
          <w:tcPr>
            <w:tcW w:w="962" w:type="pct"/>
          </w:tcPr>
          <w:p w:rsidR="00F16CCA" w:rsidRPr="003F7198" w:rsidRDefault="00F16CCA" w:rsidP="007331BA">
            <w:pPr>
              <w:keepNext/>
              <w:keepLines/>
              <w:jc w:val="center"/>
              <w:rPr>
                <w:rFonts w:eastAsia="Times New Roman" w:cs="Times New Roman"/>
                <w:color w:val="000000" w:themeColor="text1"/>
              </w:rPr>
            </w:pPr>
            <w:r w:rsidRPr="003F7198">
              <w:rPr>
                <w:rFonts w:eastAsia="Times New Roman" w:cs="Times New Roman"/>
                <w:color w:val="000000" w:themeColor="text1"/>
              </w:rPr>
              <w:t>HRMD/GBS</w:t>
            </w:r>
          </w:p>
        </w:tc>
        <w:tc>
          <w:tcPr>
            <w:tcW w:w="576" w:type="pct"/>
          </w:tcPr>
          <w:p w:rsidR="00F16CCA" w:rsidRPr="003F7198" w:rsidRDefault="00F16CCA" w:rsidP="000B75EF">
            <w:pPr>
              <w:keepNext/>
              <w:keepLines/>
              <w:jc w:val="center"/>
              <w:rPr>
                <w:rFonts w:eastAsia="Times New Roman" w:cs="Times New Roman"/>
                <w:color w:val="000000" w:themeColor="text1"/>
              </w:rPr>
            </w:pPr>
            <w:r w:rsidRPr="003F7198">
              <w:rPr>
                <w:rFonts w:eastAsia="Times New Roman" w:cs="Times New Roman"/>
                <w:color w:val="000000" w:themeColor="text1"/>
              </w:rPr>
              <w:t>Mar-Jul</w:t>
            </w:r>
          </w:p>
        </w:tc>
      </w:tr>
      <w:tr w:rsidR="00F16CCA" w:rsidRPr="003F7198" w:rsidTr="000B75EF">
        <w:tc>
          <w:tcPr>
            <w:tcW w:w="3461" w:type="pct"/>
          </w:tcPr>
          <w:p w:rsidR="00F16CCA" w:rsidRPr="003F7198" w:rsidRDefault="00F16CCA" w:rsidP="007F192C">
            <w:pPr>
              <w:ind w:left="567" w:hanging="567"/>
              <w:rPr>
                <w:rFonts w:eastAsia="Times New Roman" w:cs="Times New Roman"/>
                <w:color w:val="000000" w:themeColor="text1"/>
              </w:rPr>
            </w:pPr>
            <w:r w:rsidRPr="003F7198">
              <w:rPr>
                <w:rFonts w:eastAsia="Times New Roman" w:cs="Times New Roman"/>
                <w:color w:val="000000" w:themeColor="text1"/>
              </w:rPr>
              <w:t>13.7</w:t>
            </w:r>
            <w:r w:rsidRPr="003F7198">
              <w:rPr>
                <w:rFonts w:eastAsia="Times New Roman" w:cs="Times New Roman"/>
                <w:color w:val="000000" w:themeColor="text1"/>
              </w:rPr>
              <w:tab/>
              <w:t>Sensibilización acerca de las cuestiones de género en las adquisiciones</w:t>
            </w:r>
          </w:p>
        </w:tc>
        <w:tc>
          <w:tcPr>
            <w:tcW w:w="962" w:type="pct"/>
          </w:tcPr>
          <w:p w:rsidR="00F16CCA" w:rsidRPr="003F7198" w:rsidRDefault="00F16CCA" w:rsidP="000B75EF">
            <w:pPr>
              <w:keepNext/>
              <w:keepLines/>
              <w:jc w:val="center"/>
              <w:rPr>
                <w:rFonts w:eastAsia="Times New Roman" w:cs="Times New Roman"/>
                <w:color w:val="000000" w:themeColor="text1"/>
              </w:rPr>
            </w:pPr>
            <w:r w:rsidRPr="003F7198">
              <w:rPr>
                <w:rFonts w:eastAsia="Times New Roman" w:cs="Times New Roman"/>
                <w:color w:val="000000" w:themeColor="text1"/>
              </w:rPr>
              <w:t>PROC</w:t>
            </w:r>
          </w:p>
        </w:tc>
        <w:tc>
          <w:tcPr>
            <w:tcW w:w="576" w:type="pct"/>
          </w:tcPr>
          <w:p w:rsidR="00F16CCA" w:rsidRPr="003F7198" w:rsidRDefault="00F16CCA" w:rsidP="000B75EF">
            <w:pPr>
              <w:keepNext/>
              <w:keepLines/>
              <w:jc w:val="center"/>
              <w:rPr>
                <w:rFonts w:eastAsia="Times New Roman" w:cs="Times New Roman"/>
                <w:color w:val="000000" w:themeColor="text1"/>
              </w:rPr>
            </w:pPr>
            <w:r w:rsidRPr="003F7198">
              <w:rPr>
                <w:rFonts w:eastAsia="Times New Roman" w:cs="Times New Roman"/>
                <w:color w:val="000000" w:themeColor="text1"/>
              </w:rPr>
              <w:t>Dic</w:t>
            </w:r>
          </w:p>
        </w:tc>
      </w:tr>
      <w:tr w:rsidR="00F16CCA" w:rsidRPr="003F7198" w:rsidTr="000B75EF">
        <w:tc>
          <w:tcPr>
            <w:tcW w:w="3461" w:type="pct"/>
          </w:tcPr>
          <w:p w:rsidR="00F16CCA" w:rsidRPr="003F7198" w:rsidRDefault="00F16CCA" w:rsidP="007F192C">
            <w:pPr>
              <w:ind w:left="567" w:hanging="567"/>
              <w:rPr>
                <w:rFonts w:eastAsia="Times New Roman" w:cs="Times New Roman"/>
                <w:color w:val="000000" w:themeColor="text1"/>
              </w:rPr>
            </w:pPr>
            <w:r w:rsidRPr="003F7198">
              <w:rPr>
                <w:rFonts w:eastAsia="Times New Roman" w:cs="Times New Roman"/>
                <w:color w:val="000000" w:themeColor="text1"/>
              </w:rPr>
              <w:t>13.8</w:t>
            </w:r>
            <w:r w:rsidRPr="003F7198">
              <w:rPr>
                <w:rFonts w:eastAsia="Times New Roman" w:cs="Times New Roman"/>
                <w:color w:val="000000" w:themeColor="text1"/>
              </w:rPr>
              <w:tab/>
              <w:t>Equilibrio de género en la</w:t>
            </w:r>
            <w:r w:rsidR="000F6167" w:rsidRPr="003F7198">
              <w:rPr>
                <w:rFonts w:eastAsia="Times New Roman" w:cs="Times New Roman"/>
                <w:color w:val="000000" w:themeColor="text1"/>
              </w:rPr>
              <w:t>s comisiones estatutarias de la </w:t>
            </w:r>
            <w:r w:rsidRPr="003F7198">
              <w:rPr>
                <w:rFonts w:eastAsia="Times New Roman" w:cs="Times New Roman"/>
                <w:color w:val="000000" w:themeColor="text1"/>
              </w:rPr>
              <w:t>UIT</w:t>
            </w:r>
          </w:p>
        </w:tc>
        <w:tc>
          <w:tcPr>
            <w:tcW w:w="962" w:type="pct"/>
          </w:tcPr>
          <w:p w:rsidR="00F16CCA" w:rsidRPr="003F7198" w:rsidRDefault="00F16CCA" w:rsidP="000B75EF">
            <w:pPr>
              <w:keepNext/>
              <w:keepLines/>
              <w:jc w:val="center"/>
              <w:rPr>
                <w:rFonts w:eastAsia="Times New Roman" w:cs="Times New Roman"/>
                <w:color w:val="000000" w:themeColor="text1"/>
              </w:rPr>
            </w:pPr>
            <w:r w:rsidRPr="003F7198">
              <w:rPr>
                <w:rFonts w:eastAsia="Times New Roman" w:cs="Times New Roman"/>
                <w:color w:val="000000" w:themeColor="text1"/>
              </w:rPr>
              <w:t>DE/HRMD</w:t>
            </w:r>
          </w:p>
        </w:tc>
        <w:tc>
          <w:tcPr>
            <w:tcW w:w="576" w:type="pct"/>
          </w:tcPr>
          <w:p w:rsidR="00F16CCA" w:rsidRPr="003F7198" w:rsidRDefault="00F16CCA" w:rsidP="000B75EF">
            <w:pPr>
              <w:keepNext/>
              <w:keepLines/>
              <w:jc w:val="center"/>
              <w:rPr>
                <w:rFonts w:eastAsia="Times New Roman" w:cs="Times New Roman"/>
                <w:color w:val="000000" w:themeColor="text1"/>
              </w:rPr>
            </w:pPr>
          </w:p>
        </w:tc>
      </w:tr>
    </w:tbl>
    <w:p w:rsidR="004B5F3A" w:rsidRDefault="004B5F3A" w:rsidP="004B5F3A">
      <w:pPr>
        <w:spacing w:before="0"/>
      </w:pPr>
    </w:p>
    <w:p w:rsidR="00F16CCA" w:rsidRPr="003F7198" w:rsidRDefault="00F16CCA" w:rsidP="00702C02">
      <w:pPr>
        <w:keepNext/>
        <w:keepLines/>
        <w:pBdr>
          <w:bottom w:val="single" w:sz="4" w:space="1" w:color="auto"/>
        </w:pBdr>
        <w:tabs>
          <w:tab w:val="right" w:pos="9639"/>
        </w:tabs>
        <w:spacing w:before="240"/>
        <w:rPr>
          <w:color w:val="000000" w:themeColor="text1"/>
        </w:rPr>
      </w:pPr>
      <w:r w:rsidRPr="003F7198">
        <w:rPr>
          <w:b/>
          <w:bCs/>
          <w:color w:val="000000" w:themeColor="text1"/>
        </w:rPr>
        <w:t>14</w:t>
      </w:r>
      <w:r w:rsidRPr="003F7198">
        <w:rPr>
          <w:b/>
          <w:bCs/>
          <w:color w:val="000000" w:themeColor="text1"/>
        </w:rPr>
        <w:tab/>
        <w:t>Evaluación de las capacidades</w:t>
      </w:r>
      <w:r w:rsidRPr="003F7198">
        <w:rPr>
          <w:b/>
          <w:bCs/>
          <w:color w:val="000000" w:themeColor="text1"/>
        </w:rPr>
        <w:tab/>
        <w:t xml:space="preserve">Estado del SWAP en 2017: </w:t>
      </w:r>
      <w:r w:rsidRPr="003F7198">
        <w:rPr>
          <w:color w:val="000000" w:themeColor="text1"/>
        </w:rPr>
        <w:t>Falta</w:t>
      </w:r>
    </w:p>
    <w:p w:rsidR="00F16CCA" w:rsidRPr="003F7198" w:rsidRDefault="00F16CCA" w:rsidP="00702C02">
      <w:pPr>
        <w:spacing w:after="120"/>
      </w:pPr>
      <w:r w:rsidRPr="003F7198">
        <w:t>Para satisfacer este indicador de rendimiento del ONU-SWAP, la UIT tendría que llevar a cabo una evaluación de toda la institución para determinar la capacidad del personal en materia de igualdad de género y empoderamiento de las mujeres, establecer un plan de desarrollo de capacidades y ponerlo al día cada cinco años como mínimo. Se ha determinado que la falta de capacidad de fomento de la igualdad de género y de empoderamiento de las mujeres es uno de los factores que impiden mejorar el rendimiento y el liderazgo.</w:t>
      </w:r>
    </w:p>
    <w:tbl>
      <w:tblPr>
        <w:tblStyle w:val="TableGrid"/>
        <w:tblW w:w="5000" w:type="pct"/>
        <w:tblLook w:val="04A0" w:firstRow="1" w:lastRow="0" w:firstColumn="1" w:lastColumn="0" w:noHBand="0" w:noVBand="1"/>
      </w:tblPr>
      <w:tblGrid>
        <w:gridCol w:w="6644"/>
        <w:gridCol w:w="1899"/>
        <w:gridCol w:w="1086"/>
      </w:tblGrid>
      <w:tr w:rsidR="00F16CCA" w:rsidRPr="003F7198" w:rsidTr="000B75EF">
        <w:tc>
          <w:tcPr>
            <w:tcW w:w="3462" w:type="pct"/>
          </w:tcPr>
          <w:p w:rsidR="00F16CCA" w:rsidRPr="003F7198" w:rsidRDefault="00F16CCA" w:rsidP="000B75EF">
            <w:pPr>
              <w:keepNext/>
              <w:keepLines/>
              <w:jc w:val="both"/>
              <w:rPr>
                <w:color w:val="000000" w:themeColor="text1"/>
              </w:rPr>
            </w:pPr>
            <w:r w:rsidRPr="003F7198">
              <w:rPr>
                <w:color w:val="000000" w:themeColor="text1"/>
                <w:u w:val="single"/>
              </w:rPr>
              <w:lastRenderedPageBreak/>
              <w:t>Productos</w:t>
            </w:r>
          </w:p>
        </w:tc>
        <w:tc>
          <w:tcPr>
            <w:tcW w:w="962" w:type="pct"/>
          </w:tcPr>
          <w:p w:rsidR="00F16CCA" w:rsidRPr="003F7198" w:rsidRDefault="00F16CCA" w:rsidP="000B75EF">
            <w:pPr>
              <w:keepNext/>
              <w:keepLines/>
              <w:jc w:val="both"/>
              <w:rPr>
                <w:color w:val="000000" w:themeColor="text1"/>
              </w:rPr>
            </w:pPr>
            <w:r w:rsidRPr="003F7198">
              <w:rPr>
                <w:color w:val="000000" w:themeColor="text1"/>
                <w:u w:val="single"/>
              </w:rPr>
              <w:t>Titular/Implicado</w:t>
            </w:r>
          </w:p>
        </w:tc>
        <w:tc>
          <w:tcPr>
            <w:tcW w:w="576" w:type="pct"/>
          </w:tcPr>
          <w:p w:rsidR="00F16CCA" w:rsidRPr="003F7198" w:rsidRDefault="00F16CCA" w:rsidP="000B75EF">
            <w:pPr>
              <w:keepNext/>
              <w:keepLines/>
              <w:jc w:val="center"/>
              <w:rPr>
                <w:color w:val="000000" w:themeColor="text1"/>
              </w:rPr>
            </w:pPr>
            <w:r w:rsidRPr="003F7198">
              <w:rPr>
                <w:color w:val="000000" w:themeColor="text1"/>
                <w:u w:val="single"/>
              </w:rPr>
              <w:t>Plazo</w:t>
            </w:r>
          </w:p>
        </w:tc>
      </w:tr>
      <w:tr w:rsidR="00F16CCA" w:rsidRPr="003F7198" w:rsidTr="000B75EF">
        <w:tc>
          <w:tcPr>
            <w:tcW w:w="3462" w:type="pct"/>
          </w:tcPr>
          <w:p w:rsidR="00F16CCA" w:rsidRPr="003F7198" w:rsidRDefault="00F16CCA" w:rsidP="00702C02">
            <w:pPr>
              <w:keepNext/>
              <w:keepLines/>
              <w:ind w:left="567" w:hanging="567"/>
              <w:rPr>
                <w:color w:val="000000" w:themeColor="text1"/>
              </w:rPr>
            </w:pPr>
            <w:r w:rsidRPr="003F7198">
              <w:rPr>
                <w:rFonts w:eastAsia="Times New Roman" w:cs="Times New Roman"/>
                <w:color w:val="000000" w:themeColor="text1"/>
              </w:rPr>
              <w:t>14.1</w:t>
            </w:r>
            <w:r w:rsidRPr="003F7198">
              <w:rPr>
                <w:rFonts w:eastAsia="Times New Roman" w:cs="Times New Roman"/>
                <w:color w:val="000000" w:themeColor="text1"/>
              </w:rPr>
              <w:tab/>
              <w:t>Realización de una evaluación de las capacidades en materia de igualdad de género</w:t>
            </w:r>
          </w:p>
        </w:tc>
        <w:tc>
          <w:tcPr>
            <w:tcW w:w="962" w:type="pct"/>
          </w:tcPr>
          <w:p w:rsidR="00F16CCA" w:rsidRPr="003F7198" w:rsidRDefault="00F16CCA" w:rsidP="00702C02">
            <w:pPr>
              <w:keepNext/>
              <w:keepLines/>
              <w:jc w:val="center"/>
              <w:rPr>
                <w:color w:val="000000" w:themeColor="text1"/>
              </w:rPr>
            </w:pPr>
            <w:r w:rsidRPr="003F7198">
              <w:rPr>
                <w:rFonts w:eastAsia="Times New Roman" w:cs="Times New Roman"/>
                <w:color w:val="000000" w:themeColor="text1"/>
              </w:rPr>
              <w:t>HRMD/GBS</w:t>
            </w:r>
          </w:p>
        </w:tc>
        <w:tc>
          <w:tcPr>
            <w:tcW w:w="576" w:type="pct"/>
          </w:tcPr>
          <w:p w:rsidR="00F16CCA" w:rsidRPr="003F7198" w:rsidRDefault="00F16CCA" w:rsidP="000B75EF">
            <w:pPr>
              <w:keepNext/>
              <w:keepLines/>
              <w:jc w:val="center"/>
              <w:rPr>
                <w:color w:val="000000" w:themeColor="text1"/>
              </w:rPr>
            </w:pPr>
          </w:p>
        </w:tc>
      </w:tr>
      <w:tr w:rsidR="00F16CCA" w:rsidRPr="003F7198" w:rsidTr="000B75EF">
        <w:tc>
          <w:tcPr>
            <w:tcW w:w="3462" w:type="pct"/>
          </w:tcPr>
          <w:p w:rsidR="00F16CCA" w:rsidRPr="003F7198" w:rsidRDefault="00F16CCA" w:rsidP="007F192C">
            <w:pPr>
              <w:ind w:left="567" w:hanging="567"/>
              <w:rPr>
                <w:color w:val="000000" w:themeColor="text1"/>
              </w:rPr>
            </w:pPr>
            <w:r w:rsidRPr="003F7198">
              <w:rPr>
                <w:rFonts w:eastAsia="Times New Roman" w:cs="Times New Roman"/>
                <w:color w:val="000000" w:themeColor="text1"/>
              </w:rPr>
              <w:t>14.2</w:t>
            </w:r>
            <w:r w:rsidRPr="003F7198">
              <w:rPr>
                <w:rFonts w:eastAsia="Times New Roman" w:cs="Times New Roman"/>
                <w:color w:val="000000" w:themeColor="text1"/>
              </w:rPr>
              <w:tab/>
              <w:t>Plan de desarrollo de capaci</w:t>
            </w:r>
            <w:r w:rsidR="000F6167" w:rsidRPr="003F7198">
              <w:rPr>
                <w:rFonts w:eastAsia="Times New Roman" w:cs="Times New Roman"/>
                <w:color w:val="000000" w:themeColor="text1"/>
              </w:rPr>
              <w:t>dades (puesto al día cada cinco </w:t>
            </w:r>
            <w:r w:rsidRPr="003F7198">
              <w:rPr>
                <w:rFonts w:eastAsia="Times New Roman" w:cs="Times New Roman"/>
                <w:color w:val="000000" w:themeColor="text1"/>
              </w:rPr>
              <w:t>años)</w:t>
            </w:r>
          </w:p>
        </w:tc>
        <w:tc>
          <w:tcPr>
            <w:tcW w:w="962" w:type="pct"/>
          </w:tcPr>
          <w:p w:rsidR="00F16CCA" w:rsidRPr="003F7198" w:rsidRDefault="00F16CCA" w:rsidP="000B75EF">
            <w:pPr>
              <w:keepNext/>
              <w:keepLines/>
              <w:jc w:val="center"/>
              <w:rPr>
                <w:color w:val="000000" w:themeColor="text1"/>
              </w:rPr>
            </w:pPr>
            <w:r w:rsidRPr="003F7198">
              <w:rPr>
                <w:rFonts w:eastAsia="Times New Roman" w:cs="Times New Roman"/>
                <w:color w:val="000000" w:themeColor="text1"/>
              </w:rPr>
              <w:t>HRMD</w:t>
            </w:r>
          </w:p>
        </w:tc>
        <w:tc>
          <w:tcPr>
            <w:tcW w:w="576" w:type="pct"/>
          </w:tcPr>
          <w:p w:rsidR="00F16CCA" w:rsidRPr="003F7198" w:rsidRDefault="00F16CCA" w:rsidP="000B75EF">
            <w:pPr>
              <w:keepNext/>
              <w:keepLines/>
              <w:jc w:val="center"/>
              <w:rPr>
                <w:color w:val="000000" w:themeColor="text1"/>
              </w:rPr>
            </w:pPr>
          </w:p>
        </w:tc>
      </w:tr>
    </w:tbl>
    <w:p w:rsidR="004B5F3A" w:rsidRDefault="004B5F3A" w:rsidP="004B5F3A">
      <w:pPr>
        <w:spacing w:before="0"/>
      </w:pPr>
    </w:p>
    <w:p w:rsidR="00F16CCA" w:rsidRPr="003F7198" w:rsidRDefault="00F16CCA" w:rsidP="00266F0B">
      <w:pPr>
        <w:keepNext/>
        <w:keepLines/>
        <w:pBdr>
          <w:bottom w:val="single" w:sz="4" w:space="1" w:color="auto"/>
        </w:pBdr>
        <w:tabs>
          <w:tab w:val="right" w:pos="9639"/>
        </w:tabs>
        <w:spacing w:before="240"/>
        <w:rPr>
          <w:color w:val="000000" w:themeColor="text1"/>
        </w:rPr>
      </w:pPr>
      <w:r w:rsidRPr="003F7198">
        <w:rPr>
          <w:b/>
          <w:bCs/>
          <w:color w:val="000000" w:themeColor="text1"/>
        </w:rPr>
        <w:t>15</w:t>
      </w:r>
      <w:r w:rsidRPr="003F7198">
        <w:rPr>
          <w:b/>
          <w:bCs/>
          <w:color w:val="000000" w:themeColor="text1"/>
        </w:rPr>
        <w:tab/>
        <w:t>Desarrollo de capacidades</w:t>
      </w:r>
      <w:r w:rsidRPr="003F7198">
        <w:rPr>
          <w:b/>
          <w:bCs/>
          <w:color w:val="000000" w:themeColor="text1"/>
        </w:rPr>
        <w:tab/>
        <w:t xml:space="preserve">Estado del SWAP en 2017: </w:t>
      </w:r>
      <w:r w:rsidRPr="003F7198">
        <w:rPr>
          <w:color w:val="000000" w:themeColor="text1"/>
        </w:rPr>
        <w:t>casi cumple los requisitos</w:t>
      </w:r>
    </w:p>
    <w:p w:rsidR="00F16CCA" w:rsidRPr="003F7198" w:rsidRDefault="00F16CCA" w:rsidP="00702C02">
      <w:r w:rsidRPr="003F7198">
        <w:t>Para satisfacer este indicador de rendimiento del ONU-SWAP, la UIT necesitaría una formación obligatoria permanente para todos los niveles del personal de la sede, así como las oficinas regionales y de país. Se consideran adecuados por lo menos un día de formación para los nuevos empleados durante el primer año y en lo sucesivo como mínimo un día de formación una vez cada dos años. Los especialistas en las cuestiones de género y los coordinadores para las cuestiones de género reciben un formación específica y a la medida – dos días de formación al año, como mínimo, sobre igualdad de género y empoderamiento de las mujeres.</w:t>
      </w:r>
    </w:p>
    <w:p w:rsidR="004A5C61" w:rsidRPr="003F7198" w:rsidRDefault="004A5C61" w:rsidP="00702C02"/>
    <w:tbl>
      <w:tblPr>
        <w:tblStyle w:val="TableGrid"/>
        <w:tblW w:w="5000" w:type="pct"/>
        <w:tblLook w:val="04A0" w:firstRow="1" w:lastRow="0" w:firstColumn="1" w:lastColumn="0" w:noHBand="0" w:noVBand="1"/>
      </w:tblPr>
      <w:tblGrid>
        <w:gridCol w:w="6644"/>
        <w:gridCol w:w="1899"/>
        <w:gridCol w:w="1086"/>
      </w:tblGrid>
      <w:tr w:rsidR="00F16CCA" w:rsidRPr="003F7198" w:rsidTr="000B75EF">
        <w:tc>
          <w:tcPr>
            <w:tcW w:w="3462" w:type="pct"/>
          </w:tcPr>
          <w:p w:rsidR="00F16CCA" w:rsidRPr="003F7198" w:rsidRDefault="00F16CCA" w:rsidP="000B75EF">
            <w:pPr>
              <w:keepNext/>
              <w:keepLines/>
              <w:jc w:val="both"/>
              <w:rPr>
                <w:color w:val="000000" w:themeColor="text1"/>
              </w:rPr>
            </w:pPr>
            <w:r w:rsidRPr="003F7198">
              <w:rPr>
                <w:color w:val="000000" w:themeColor="text1"/>
                <w:u w:val="single"/>
              </w:rPr>
              <w:t>Productos</w:t>
            </w:r>
          </w:p>
        </w:tc>
        <w:tc>
          <w:tcPr>
            <w:tcW w:w="962" w:type="pct"/>
          </w:tcPr>
          <w:p w:rsidR="00F16CCA" w:rsidRPr="003F7198" w:rsidRDefault="00F16CCA" w:rsidP="000B75EF">
            <w:pPr>
              <w:keepNext/>
              <w:keepLines/>
              <w:jc w:val="center"/>
              <w:rPr>
                <w:color w:val="000000" w:themeColor="text1"/>
              </w:rPr>
            </w:pPr>
            <w:r w:rsidRPr="003F7198">
              <w:rPr>
                <w:color w:val="000000" w:themeColor="text1"/>
                <w:u w:val="single"/>
              </w:rPr>
              <w:t>Titular/Implicado</w:t>
            </w:r>
          </w:p>
        </w:tc>
        <w:tc>
          <w:tcPr>
            <w:tcW w:w="576" w:type="pct"/>
          </w:tcPr>
          <w:p w:rsidR="00F16CCA" w:rsidRPr="003F7198" w:rsidRDefault="00F16CCA" w:rsidP="000B75EF">
            <w:pPr>
              <w:keepNext/>
              <w:keepLines/>
              <w:jc w:val="center"/>
              <w:rPr>
                <w:color w:val="000000" w:themeColor="text1"/>
              </w:rPr>
            </w:pPr>
            <w:r w:rsidRPr="003F7198">
              <w:rPr>
                <w:color w:val="000000" w:themeColor="text1"/>
                <w:u w:val="single"/>
              </w:rPr>
              <w:t>Plazo</w:t>
            </w:r>
          </w:p>
        </w:tc>
      </w:tr>
      <w:tr w:rsidR="00F16CCA" w:rsidRPr="003F7198" w:rsidTr="000B75EF">
        <w:tc>
          <w:tcPr>
            <w:tcW w:w="3462" w:type="pct"/>
          </w:tcPr>
          <w:p w:rsidR="00F16CCA" w:rsidRPr="003F7198" w:rsidRDefault="00F16CCA" w:rsidP="00702C02">
            <w:pPr>
              <w:keepNext/>
              <w:keepLines/>
              <w:ind w:left="567" w:hanging="567"/>
              <w:rPr>
                <w:color w:val="000000" w:themeColor="text1"/>
              </w:rPr>
            </w:pPr>
            <w:r w:rsidRPr="003F7198">
              <w:rPr>
                <w:color w:val="000000" w:themeColor="text1"/>
              </w:rPr>
              <w:t>15.1</w:t>
            </w:r>
            <w:r w:rsidRPr="003F7198">
              <w:rPr>
                <w:color w:val="000000" w:themeColor="text1"/>
              </w:rPr>
              <w:tab/>
              <w:t>Todo el personal recibe cursos obligatorios de formación sobre "Yo sé de Género"</w:t>
            </w:r>
          </w:p>
        </w:tc>
        <w:tc>
          <w:tcPr>
            <w:tcW w:w="962" w:type="pct"/>
          </w:tcPr>
          <w:p w:rsidR="00F16CCA" w:rsidRPr="003F7198" w:rsidRDefault="00F16CCA" w:rsidP="00266F0B">
            <w:pPr>
              <w:jc w:val="center"/>
              <w:rPr>
                <w:color w:val="000000" w:themeColor="text1"/>
              </w:rPr>
            </w:pPr>
            <w:r w:rsidRPr="003F7198">
              <w:rPr>
                <w:rFonts w:eastAsia="Times New Roman" w:cs="Times New Roman"/>
                <w:color w:val="000000" w:themeColor="text1"/>
              </w:rPr>
              <w:t>Personal/HRMD</w:t>
            </w:r>
          </w:p>
        </w:tc>
        <w:tc>
          <w:tcPr>
            <w:tcW w:w="576" w:type="pct"/>
          </w:tcPr>
          <w:p w:rsidR="00F16CCA" w:rsidRPr="003F7198" w:rsidRDefault="00F16CCA" w:rsidP="000B75EF">
            <w:pPr>
              <w:keepNext/>
              <w:keepLines/>
              <w:jc w:val="center"/>
              <w:rPr>
                <w:color w:val="000000" w:themeColor="text1"/>
              </w:rPr>
            </w:pPr>
            <w:r w:rsidRPr="003F7198">
              <w:rPr>
                <w:color w:val="000000" w:themeColor="text1"/>
              </w:rPr>
              <w:t>Dic</w:t>
            </w:r>
          </w:p>
        </w:tc>
      </w:tr>
      <w:tr w:rsidR="00F16CCA" w:rsidRPr="003F7198" w:rsidTr="000B75EF">
        <w:tc>
          <w:tcPr>
            <w:tcW w:w="3462" w:type="pct"/>
          </w:tcPr>
          <w:p w:rsidR="00F16CCA" w:rsidRPr="003F7198" w:rsidRDefault="00F16CCA" w:rsidP="007F192C">
            <w:pPr>
              <w:ind w:left="567" w:hanging="567"/>
              <w:rPr>
                <w:color w:val="000000" w:themeColor="text1"/>
              </w:rPr>
            </w:pPr>
            <w:r w:rsidRPr="003F7198">
              <w:rPr>
                <w:color w:val="000000" w:themeColor="text1"/>
              </w:rPr>
              <w:t>15.2</w:t>
            </w:r>
            <w:r w:rsidRPr="003F7198">
              <w:rPr>
                <w:color w:val="000000" w:themeColor="text1"/>
              </w:rPr>
              <w:tab/>
              <w:t xml:space="preserve">Vinculación con la cuestión de género en la formación impartida (a los nuevos empleados) o en los textos formativos correspondientes </w:t>
            </w:r>
          </w:p>
        </w:tc>
        <w:tc>
          <w:tcPr>
            <w:tcW w:w="962" w:type="pct"/>
          </w:tcPr>
          <w:p w:rsidR="00F16CCA" w:rsidRPr="003F7198" w:rsidRDefault="00F16CCA" w:rsidP="000B75EF">
            <w:pPr>
              <w:keepNext/>
              <w:keepLines/>
              <w:jc w:val="center"/>
              <w:rPr>
                <w:color w:val="000000" w:themeColor="text1"/>
              </w:rPr>
            </w:pPr>
            <w:r w:rsidRPr="003F7198">
              <w:rPr>
                <w:color w:val="000000" w:themeColor="text1"/>
              </w:rPr>
              <w:t>HRMD</w:t>
            </w:r>
          </w:p>
        </w:tc>
        <w:tc>
          <w:tcPr>
            <w:tcW w:w="576" w:type="pct"/>
          </w:tcPr>
          <w:p w:rsidR="00F16CCA" w:rsidRPr="003F7198" w:rsidRDefault="00F16CCA" w:rsidP="000B75EF">
            <w:pPr>
              <w:keepNext/>
              <w:keepLines/>
              <w:jc w:val="center"/>
              <w:rPr>
                <w:color w:val="000000" w:themeColor="text1"/>
              </w:rPr>
            </w:pPr>
            <w:r w:rsidRPr="003F7198">
              <w:rPr>
                <w:color w:val="000000" w:themeColor="text1"/>
              </w:rPr>
              <w:t>Jun-</w:t>
            </w:r>
            <w:proofErr w:type="spellStart"/>
            <w:r w:rsidRPr="003F7198">
              <w:rPr>
                <w:color w:val="000000" w:themeColor="text1"/>
              </w:rPr>
              <w:t>Ago</w:t>
            </w:r>
            <w:proofErr w:type="spellEnd"/>
          </w:p>
        </w:tc>
      </w:tr>
      <w:tr w:rsidR="00F16CCA" w:rsidRPr="003F7198" w:rsidTr="000B75EF">
        <w:tc>
          <w:tcPr>
            <w:tcW w:w="3462" w:type="pct"/>
          </w:tcPr>
          <w:p w:rsidR="00F16CCA" w:rsidRPr="003F7198" w:rsidRDefault="00F16CCA" w:rsidP="007F192C">
            <w:pPr>
              <w:ind w:left="567" w:hanging="567"/>
              <w:rPr>
                <w:color w:val="000000" w:themeColor="text1"/>
              </w:rPr>
            </w:pPr>
            <w:r w:rsidRPr="003F7198">
              <w:rPr>
                <w:color w:val="000000" w:themeColor="text1"/>
              </w:rPr>
              <w:t>15.3</w:t>
            </w:r>
            <w:r w:rsidRPr="003F7198">
              <w:rPr>
                <w:color w:val="000000" w:themeColor="text1"/>
              </w:rPr>
              <w:tab/>
              <w:t>formación contra los prejuicios inconscientes</w:t>
            </w:r>
          </w:p>
        </w:tc>
        <w:tc>
          <w:tcPr>
            <w:tcW w:w="962" w:type="pct"/>
          </w:tcPr>
          <w:p w:rsidR="00F16CCA" w:rsidRPr="003F7198" w:rsidRDefault="00F16CCA" w:rsidP="00266F0B">
            <w:pPr>
              <w:keepNext/>
              <w:keepLines/>
              <w:jc w:val="center"/>
              <w:rPr>
                <w:color w:val="000000" w:themeColor="text1"/>
              </w:rPr>
            </w:pPr>
            <w:r w:rsidRPr="003F7198">
              <w:rPr>
                <w:rFonts w:eastAsia="Times New Roman" w:cs="Times New Roman"/>
                <w:color w:val="000000" w:themeColor="text1"/>
              </w:rPr>
              <w:t>HRMD</w:t>
            </w:r>
          </w:p>
        </w:tc>
        <w:tc>
          <w:tcPr>
            <w:tcW w:w="576" w:type="pct"/>
          </w:tcPr>
          <w:p w:rsidR="00F16CCA" w:rsidRPr="003F7198" w:rsidRDefault="00F16CCA" w:rsidP="000B75EF">
            <w:pPr>
              <w:keepNext/>
              <w:keepLines/>
              <w:jc w:val="center"/>
              <w:rPr>
                <w:color w:val="000000" w:themeColor="text1"/>
              </w:rPr>
            </w:pPr>
            <w:r w:rsidRPr="003F7198">
              <w:rPr>
                <w:color w:val="000000" w:themeColor="text1"/>
              </w:rPr>
              <w:t>Mar-Dic</w:t>
            </w:r>
          </w:p>
        </w:tc>
      </w:tr>
      <w:tr w:rsidR="00F16CCA" w:rsidRPr="003F7198" w:rsidTr="000B75EF">
        <w:tc>
          <w:tcPr>
            <w:tcW w:w="3462" w:type="pct"/>
          </w:tcPr>
          <w:p w:rsidR="00F16CCA" w:rsidRPr="003F7198" w:rsidRDefault="00F16CCA" w:rsidP="007F192C">
            <w:pPr>
              <w:ind w:left="567" w:hanging="567"/>
              <w:rPr>
                <w:color w:val="000000" w:themeColor="text1"/>
              </w:rPr>
            </w:pPr>
            <w:r w:rsidRPr="003F7198">
              <w:rPr>
                <w:color w:val="000000" w:themeColor="text1"/>
              </w:rPr>
              <w:t>15.4</w:t>
            </w:r>
            <w:r w:rsidRPr="003F7198">
              <w:rPr>
                <w:color w:val="000000" w:themeColor="text1"/>
              </w:rPr>
              <w:tab/>
              <w:t>Formación para los coordinadores del GTF (fundamentos)</w:t>
            </w:r>
          </w:p>
        </w:tc>
        <w:tc>
          <w:tcPr>
            <w:tcW w:w="962" w:type="pct"/>
          </w:tcPr>
          <w:p w:rsidR="00F16CCA" w:rsidRPr="003F7198" w:rsidRDefault="00F16CCA" w:rsidP="000B75EF">
            <w:pPr>
              <w:keepNext/>
              <w:keepLines/>
              <w:jc w:val="center"/>
              <w:rPr>
                <w:color w:val="000000" w:themeColor="text1"/>
              </w:rPr>
            </w:pPr>
            <w:r w:rsidRPr="003F7198">
              <w:rPr>
                <w:rFonts w:eastAsia="Times New Roman" w:cs="Times New Roman"/>
                <w:color w:val="000000" w:themeColor="text1"/>
              </w:rPr>
              <w:t>HRMD/GTF</w:t>
            </w:r>
          </w:p>
        </w:tc>
        <w:tc>
          <w:tcPr>
            <w:tcW w:w="576" w:type="pct"/>
          </w:tcPr>
          <w:p w:rsidR="00F16CCA" w:rsidRPr="003F7198" w:rsidRDefault="00F16CCA" w:rsidP="000B75EF">
            <w:pPr>
              <w:keepNext/>
              <w:keepLines/>
              <w:jc w:val="center"/>
              <w:rPr>
                <w:color w:val="000000" w:themeColor="text1"/>
              </w:rPr>
            </w:pPr>
            <w:r w:rsidRPr="003F7198">
              <w:rPr>
                <w:color w:val="000000" w:themeColor="text1"/>
              </w:rPr>
              <w:t>Oct-Dic</w:t>
            </w:r>
          </w:p>
        </w:tc>
      </w:tr>
    </w:tbl>
    <w:p w:rsidR="004B5F3A" w:rsidRDefault="004B5F3A" w:rsidP="004B5F3A">
      <w:pPr>
        <w:spacing w:before="0"/>
      </w:pPr>
    </w:p>
    <w:p w:rsidR="00F16CCA" w:rsidRPr="003F7198" w:rsidRDefault="00F16CCA" w:rsidP="00B36FF6">
      <w:pPr>
        <w:keepNext/>
        <w:keepLines/>
        <w:pBdr>
          <w:bottom w:val="single" w:sz="4" w:space="1" w:color="auto"/>
        </w:pBdr>
        <w:tabs>
          <w:tab w:val="left" w:pos="5529"/>
          <w:tab w:val="right" w:pos="9639"/>
        </w:tabs>
        <w:spacing w:before="240"/>
        <w:rPr>
          <w:color w:val="000000" w:themeColor="text1"/>
        </w:rPr>
      </w:pPr>
      <w:r w:rsidRPr="003F7198">
        <w:rPr>
          <w:b/>
          <w:bCs/>
          <w:color w:val="000000" w:themeColor="text1"/>
        </w:rPr>
        <w:t>16</w:t>
      </w:r>
      <w:r w:rsidRPr="003F7198">
        <w:rPr>
          <w:b/>
          <w:bCs/>
          <w:color w:val="000000" w:themeColor="text1"/>
        </w:rPr>
        <w:tab/>
        <w:t>Conocimientos y comunicación</w:t>
      </w:r>
      <w:r w:rsidRPr="003F7198">
        <w:rPr>
          <w:b/>
          <w:bCs/>
          <w:color w:val="000000" w:themeColor="text1"/>
        </w:rPr>
        <w:tab/>
        <w:t xml:space="preserve">Estado del SWAP en 2017: </w:t>
      </w:r>
      <w:r w:rsidRPr="003F7198">
        <w:rPr>
          <w:color w:val="000000" w:themeColor="text1"/>
        </w:rPr>
        <w:t xml:space="preserve">satisface los </w:t>
      </w:r>
      <w:r w:rsidRPr="003F7198">
        <w:rPr>
          <w:color w:val="000000" w:themeColor="text1"/>
        </w:rPr>
        <w:tab/>
      </w:r>
      <w:r w:rsidRPr="003F7198">
        <w:rPr>
          <w:color w:val="000000" w:themeColor="text1"/>
        </w:rPr>
        <w:tab/>
      </w:r>
      <w:r w:rsidRPr="003F7198">
        <w:rPr>
          <w:color w:val="000000" w:themeColor="text1"/>
        </w:rPr>
        <w:tab/>
      </w:r>
      <w:r w:rsidRPr="003F7198">
        <w:rPr>
          <w:color w:val="000000" w:themeColor="text1"/>
        </w:rPr>
        <w:tab/>
      </w:r>
      <w:r w:rsidRPr="003F7198">
        <w:rPr>
          <w:color w:val="000000" w:themeColor="text1"/>
        </w:rPr>
        <w:tab/>
      </w:r>
      <w:r w:rsidRPr="003F7198">
        <w:rPr>
          <w:color w:val="000000" w:themeColor="text1"/>
        </w:rPr>
        <w:tab/>
        <w:t>requisitos</w:t>
      </w:r>
    </w:p>
    <w:p w:rsidR="00F16CCA" w:rsidRPr="003F7198" w:rsidRDefault="00F16CCA" w:rsidP="00B36FF6">
      <w:pPr>
        <w:spacing w:after="120"/>
      </w:pPr>
      <w:r w:rsidRPr="003F7198">
        <w:t>Para satisfacer este indicador de rendimiento del ONU-SWAP, la UIT tendría que documentar periódicamente e intercambiar conocimientos sobre las TIC en relación con la igualdad de género y el empoderamiento de las mujeres, así como la representación y el estado de la mujer en la UIT. El plan de comunicación tendría que incluir la igualdad de género y el empoderamiento de las mujeres como componente integral de la información que se divulga. Sería necesario que las comunicaciones públicas tuviesen en cuenta las cuestiones de género y llamaran la atención sobre la dimensión de las cuestiones de género en los problemas, siempre que fuera pertinente, y las comunicaciones internas tendrían que llamar la atención sobre la representación y el estado de las mujeres en el seno de la inst</w:t>
      </w:r>
      <w:r w:rsidR="00984C56" w:rsidRPr="003F7198">
        <w:t>itución.</w:t>
      </w:r>
    </w:p>
    <w:tbl>
      <w:tblPr>
        <w:tblStyle w:val="TableGrid"/>
        <w:tblW w:w="5000" w:type="pct"/>
        <w:tblLook w:val="04A0" w:firstRow="1" w:lastRow="0" w:firstColumn="1" w:lastColumn="0" w:noHBand="0" w:noVBand="1"/>
      </w:tblPr>
      <w:tblGrid>
        <w:gridCol w:w="6644"/>
        <w:gridCol w:w="1899"/>
        <w:gridCol w:w="1086"/>
      </w:tblGrid>
      <w:tr w:rsidR="00F16CCA" w:rsidRPr="003F7198" w:rsidTr="000B75EF">
        <w:tc>
          <w:tcPr>
            <w:tcW w:w="3462" w:type="pct"/>
          </w:tcPr>
          <w:p w:rsidR="00F16CCA" w:rsidRPr="003F7198" w:rsidRDefault="00F16CCA" w:rsidP="000B75EF">
            <w:pPr>
              <w:keepNext/>
              <w:keepLines/>
              <w:jc w:val="both"/>
              <w:rPr>
                <w:color w:val="000000" w:themeColor="text1"/>
              </w:rPr>
            </w:pPr>
            <w:r w:rsidRPr="003F7198">
              <w:rPr>
                <w:color w:val="000000" w:themeColor="text1"/>
                <w:u w:val="single"/>
              </w:rPr>
              <w:lastRenderedPageBreak/>
              <w:t>Productos</w:t>
            </w:r>
          </w:p>
        </w:tc>
        <w:tc>
          <w:tcPr>
            <w:tcW w:w="962" w:type="pct"/>
          </w:tcPr>
          <w:p w:rsidR="00F16CCA" w:rsidRPr="003F7198" w:rsidRDefault="00F16CCA" w:rsidP="000B75EF">
            <w:pPr>
              <w:keepNext/>
              <w:keepLines/>
              <w:jc w:val="center"/>
              <w:rPr>
                <w:color w:val="000000" w:themeColor="text1"/>
              </w:rPr>
            </w:pPr>
            <w:r w:rsidRPr="003F7198">
              <w:rPr>
                <w:color w:val="000000" w:themeColor="text1"/>
                <w:u w:val="single"/>
              </w:rPr>
              <w:t>Titular/Implicado</w:t>
            </w:r>
          </w:p>
        </w:tc>
        <w:tc>
          <w:tcPr>
            <w:tcW w:w="576" w:type="pct"/>
          </w:tcPr>
          <w:p w:rsidR="00F16CCA" w:rsidRPr="003F7198" w:rsidRDefault="00F16CCA" w:rsidP="000B75EF">
            <w:pPr>
              <w:keepNext/>
              <w:keepLines/>
              <w:jc w:val="center"/>
              <w:rPr>
                <w:color w:val="000000" w:themeColor="text1"/>
              </w:rPr>
            </w:pPr>
            <w:r w:rsidRPr="003F7198">
              <w:rPr>
                <w:color w:val="000000" w:themeColor="text1"/>
                <w:u w:val="single"/>
              </w:rPr>
              <w:t>Plazo</w:t>
            </w:r>
          </w:p>
        </w:tc>
      </w:tr>
      <w:tr w:rsidR="00F16CCA" w:rsidRPr="003F7198" w:rsidTr="000B75EF">
        <w:tc>
          <w:tcPr>
            <w:tcW w:w="3462" w:type="pct"/>
          </w:tcPr>
          <w:p w:rsidR="00F16CCA" w:rsidRPr="003F7198" w:rsidRDefault="00F16CCA" w:rsidP="00C707ED">
            <w:pPr>
              <w:keepNext/>
              <w:keepLines/>
              <w:ind w:left="567" w:hanging="567"/>
              <w:rPr>
                <w:color w:val="000000" w:themeColor="text1"/>
              </w:rPr>
            </w:pPr>
            <w:r w:rsidRPr="003F7198">
              <w:rPr>
                <w:color w:val="000000" w:themeColor="text1"/>
              </w:rPr>
              <w:t>16.1</w:t>
            </w:r>
            <w:r w:rsidRPr="003F7198">
              <w:rPr>
                <w:color w:val="000000" w:themeColor="text1"/>
              </w:rPr>
              <w:tab/>
              <w:t>Paquete de bienvenida del GTF (mandato, enlaces, información general, etc.).</w:t>
            </w:r>
          </w:p>
        </w:tc>
        <w:tc>
          <w:tcPr>
            <w:tcW w:w="962" w:type="pct"/>
          </w:tcPr>
          <w:p w:rsidR="00F16CCA" w:rsidRPr="003F7198" w:rsidRDefault="00F16CCA" w:rsidP="00B36FF6">
            <w:pPr>
              <w:jc w:val="center"/>
              <w:rPr>
                <w:color w:val="000000" w:themeColor="text1"/>
              </w:rPr>
            </w:pPr>
            <w:r w:rsidRPr="003F7198">
              <w:rPr>
                <w:color w:val="000000" w:themeColor="text1"/>
              </w:rPr>
              <w:t>GBS/GTF</w:t>
            </w:r>
          </w:p>
        </w:tc>
        <w:tc>
          <w:tcPr>
            <w:tcW w:w="576" w:type="pct"/>
          </w:tcPr>
          <w:p w:rsidR="00F16CCA" w:rsidRPr="003F7198" w:rsidRDefault="00F16CCA" w:rsidP="000B75EF">
            <w:pPr>
              <w:keepNext/>
              <w:keepLines/>
              <w:jc w:val="center"/>
              <w:rPr>
                <w:color w:val="000000" w:themeColor="text1"/>
              </w:rPr>
            </w:pPr>
            <w:r w:rsidRPr="003F7198">
              <w:rPr>
                <w:color w:val="000000" w:themeColor="text1"/>
              </w:rPr>
              <w:t>Jun-</w:t>
            </w:r>
            <w:proofErr w:type="spellStart"/>
            <w:r w:rsidRPr="003F7198">
              <w:rPr>
                <w:color w:val="000000" w:themeColor="text1"/>
              </w:rPr>
              <w:t>Ago</w:t>
            </w:r>
            <w:proofErr w:type="spellEnd"/>
          </w:p>
        </w:tc>
      </w:tr>
      <w:tr w:rsidR="00F16CCA" w:rsidRPr="003F7198" w:rsidTr="000B75EF">
        <w:tc>
          <w:tcPr>
            <w:tcW w:w="3462" w:type="pct"/>
          </w:tcPr>
          <w:p w:rsidR="00F16CCA" w:rsidRPr="003F7198" w:rsidRDefault="00F16CCA" w:rsidP="007F192C">
            <w:pPr>
              <w:ind w:left="567" w:hanging="567"/>
              <w:rPr>
                <w:color w:val="000000" w:themeColor="text1"/>
              </w:rPr>
            </w:pPr>
            <w:r w:rsidRPr="003F7198">
              <w:rPr>
                <w:color w:val="000000" w:themeColor="text1"/>
              </w:rPr>
              <w:t>16.2</w:t>
            </w:r>
            <w:r w:rsidRPr="003F7198">
              <w:rPr>
                <w:color w:val="000000" w:themeColor="text1"/>
              </w:rPr>
              <w:tab/>
              <w:t>Examen de la estrategia de comunicación interna (Directrices de la UIT)</w:t>
            </w:r>
          </w:p>
        </w:tc>
        <w:tc>
          <w:tcPr>
            <w:tcW w:w="962" w:type="pct"/>
          </w:tcPr>
          <w:p w:rsidR="00F16CCA" w:rsidRPr="003F7198" w:rsidRDefault="00F16CCA" w:rsidP="000B75EF">
            <w:pPr>
              <w:keepNext/>
              <w:keepLines/>
              <w:jc w:val="center"/>
              <w:rPr>
                <w:color w:val="000000" w:themeColor="text1"/>
              </w:rPr>
            </w:pPr>
            <w:r w:rsidRPr="003F7198">
              <w:rPr>
                <w:color w:val="000000" w:themeColor="text1"/>
              </w:rPr>
              <w:t>COMM/GTF</w:t>
            </w:r>
          </w:p>
        </w:tc>
        <w:tc>
          <w:tcPr>
            <w:tcW w:w="576" w:type="pct"/>
          </w:tcPr>
          <w:p w:rsidR="00F16CCA" w:rsidRPr="003F7198" w:rsidRDefault="00F16CCA" w:rsidP="000B75EF">
            <w:pPr>
              <w:keepNext/>
              <w:keepLines/>
              <w:jc w:val="center"/>
              <w:rPr>
                <w:color w:val="000000" w:themeColor="text1"/>
              </w:rPr>
            </w:pPr>
            <w:r w:rsidRPr="003F7198">
              <w:rPr>
                <w:color w:val="000000" w:themeColor="text1"/>
              </w:rPr>
              <w:t>Jul-</w:t>
            </w:r>
            <w:proofErr w:type="spellStart"/>
            <w:r w:rsidRPr="003F7198">
              <w:rPr>
                <w:color w:val="000000" w:themeColor="text1"/>
              </w:rPr>
              <w:t>Sep</w:t>
            </w:r>
            <w:proofErr w:type="spellEnd"/>
          </w:p>
        </w:tc>
      </w:tr>
      <w:tr w:rsidR="00F16CCA" w:rsidRPr="003F7198" w:rsidTr="000B75EF">
        <w:tc>
          <w:tcPr>
            <w:tcW w:w="3462" w:type="pct"/>
          </w:tcPr>
          <w:p w:rsidR="00F16CCA" w:rsidRPr="003F7198" w:rsidRDefault="00F16CCA" w:rsidP="007F192C">
            <w:pPr>
              <w:ind w:left="567" w:hanging="567"/>
              <w:rPr>
                <w:color w:val="000000" w:themeColor="text1"/>
              </w:rPr>
            </w:pPr>
            <w:r w:rsidRPr="003F7198">
              <w:rPr>
                <w:color w:val="000000" w:themeColor="text1"/>
              </w:rPr>
              <w:t>16.3</w:t>
            </w:r>
            <w:r w:rsidRPr="003F7198">
              <w:rPr>
                <w:color w:val="000000" w:themeColor="text1"/>
              </w:rPr>
              <w:tab/>
              <w:t xml:space="preserve">Actualizar </w:t>
            </w:r>
            <w:r w:rsidRPr="003F7198">
              <w:rPr>
                <w:i/>
                <w:iCs/>
                <w:color w:val="000000" w:themeColor="text1"/>
              </w:rPr>
              <w:t>SharePoint</w:t>
            </w:r>
          </w:p>
        </w:tc>
        <w:tc>
          <w:tcPr>
            <w:tcW w:w="962" w:type="pct"/>
          </w:tcPr>
          <w:p w:rsidR="00F16CCA" w:rsidRPr="003F7198" w:rsidRDefault="00F16CCA" w:rsidP="000B75EF">
            <w:pPr>
              <w:keepNext/>
              <w:keepLines/>
              <w:jc w:val="center"/>
              <w:rPr>
                <w:color w:val="000000" w:themeColor="text1"/>
              </w:rPr>
            </w:pPr>
            <w:r w:rsidRPr="003F7198">
              <w:rPr>
                <w:color w:val="000000" w:themeColor="text1"/>
              </w:rPr>
              <w:t>GBS/GTF</w:t>
            </w:r>
          </w:p>
        </w:tc>
        <w:tc>
          <w:tcPr>
            <w:tcW w:w="576" w:type="pct"/>
          </w:tcPr>
          <w:p w:rsidR="00F16CCA" w:rsidRPr="003F7198" w:rsidRDefault="00F16CCA" w:rsidP="000B75EF">
            <w:pPr>
              <w:keepNext/>
              <w:keepLines/>
              <w:jc w:val="center"/>
              <w:rPr>
                <w:color w:val="000000" w:themeColor="text1"/>
              </w:rPr>
            </w:pPr>
            <w:r w:rsidRPr="003F7198">
              <w:rPr>
                <w:color w:val="000000" w:themeColor="text1"/>
              </w:rPr>
              <w:t>En curso</w:t>
            </w:r>
          </w:p>
        </w:tc>
      </w:tr>
      <w:tr w:rsidR="00F16CCA" w:rsidRPr="003F7198" w:rsidTr="000B75EF">
        <w:tc>
          <w:tcPr>
            <w:tcW w:w="3462" w:type="pct"/>
          </w:tcPr>
          <w:p w:rsidR="00F16CCA" w:rsidRPr="003F7198" w:rsidRDefault="00F16CCA" w:rsidP="007F192C">
            <w:pPr>
              <w:ind w:left="567" w:hanging="567"/>
              <w:rPr>
                <w:color w:val="000000" w:themeColor="text1"/>
              </w:rPr>
            </w:pPr>
            <w:r w:rsidRPr="003F7198">
              <w:rPr>
                <w:color w:val="000000" w:themeColor="text1"/>
              </w:rPr>
              <w:t>16.4</w:t>
            </w:r>
            <w:r w:rsidRPr="003F7198">
              <w:rPr>
                <w:color w:val="000000" w:themeColor="text1"/>
              </w:rPr>
              <w:tab/>
              <w:t>Reuniones periódicas del GTF con acciones</w:t>
            </w:r>
          </w:p>
        </w:tc>
        <w:tc>
          <w:tcPr>
            <w:tcW w:w="962" w:type="pct"/>
          </w:tcPr>
          <w:p w:rsidR="00F16CCA" w:rsidRPr="003F7198" w:rsidRDefault="00F16CCA" w:rsidP="000B75EF">
            <w:pPr>
              <w:keepNext/>
              <w:keepLines/>
              <w:jc w:val="center"/>
              <w:rPr>
                <w:color w:val="000000" w:themeColor="text1"/>
              </w:rPr>
            </w:pPr>
            <w:r w:rsidRPr="003F7198">
              <w:rPr>
                <w:color w:val="000000" w:themeColor="text1"/>
              </w:rPr>
              <w:t>GBS/GTF</w:t>
            </w:r>
          </w:p>
        </w:tc>
        <w:tc>
          <w:tcPr>
            <w:tcW w:w="576" w:type="pct"/>
          </w:tcPr>
          <w:p w:rsidR="00F16CCA" w:rsidRPr="003F7198" w:rsidRDefault="00F16CCA" w:rsidP="00B36FF6">
            <w:pPr>
              <w:keepNext/>
              <w:keepLines/>
              <w:jc w:val="center"/>
              <w:rPr>
                <w:color w:val="000000" w:themeColor="text1"/>
              </w:rPr>
            </w:pPr>
            <w:r w:rsidRPr="003F7198">
              <w:rPr>
                <w:color w:val="000000" w:themeColor="text1"/>
              </w:rPr>
              <w:t>En curso</w:t>
            </w:r>
          </w:p>
        </w:tc>
      </w:tr>
    </w:tbl>
    <w:p w:rsidR="004B5F3A" w:rsidRDefault="004B5F3A" w:rsidP="004B5F3A">
      <w:pPr>
        <w:spacing w:before="0"/>
      </w:pPr>
    </w:p>
    <w:p w:rsidR="00F16CCA" w:rsidRPr="003F7198" w:rsidRDefault="00F16CCA" w:rsidP="00B36FF6">
      <w:pPr>
        <w:keepNext/>
        <w:keepLines/>
        <w:pBdr>
          <w:bottom w:val="single" w:sz="4" w:space="1" w:color="auto"/>
        </w:pBdr>
        <w:tabs>
          <w:tab w:val="right" w:pos="9639"/>
        </w:tabs>
        <w:spacing w:before="240"/>
        <w:rPr>
          <w:color w:val="000000" w:themeColor="text1"/>
        </w:rPr>
      </w:pPr>
      <w:r w:rsidRPr="003F7198">
        <w:rPr>
          <w:b/>
          <w:bCs/>
          <w:color w:val="000000" w:themeColor="text1"/>
        </w:rPr>
        <w:t>17</w:t>
      </w:r>
      <w:r w:rsidRPr="003F7198">
        <w:rPr>
          <w:b/>
          <w:bCs/>
          <w:color w:val="000000" w:themeColor="text1"/>
        </w:rPr>
        <w:tab/>
        <w:t>Coherencia</w:t>
      </w:r>
      <w:r w:rsidRPr="003F7198">
        <w:rPr>
          <w:b/>
          <w:bCs/>
          <w:color w:val="000000" w:themeColor="text1"/>
        </w:rPr>
        <w:tab/>
      </w:r>
      <w:r w:rsidRPr="003F7198">
        <w:rPr>
          <w:b/>
          <w:bCs/>
          <w:color w:val="000000" w:themeColor="text1"/>
        </w:rPr>
        <w:tab/>
      </w:r>
      <w:r w:rsidRPr="003F7198">
        <w:rPr>
          <w:b/>
          <w:bCs/>
          <w:color w:val="000000" w:themeColor="text1"/>
        </w:rPr>
        <w:tab/>
      </w:r>
      <w:r w:rsidRPr="003F7198">
        <w:rPr>
          <w:b/>
          <w:bCs/>
          <w:color w:val="000000" w:themeColor="text1"/>
        </w:rPr>
        <w:tab/>
        <w:t xml:space="preserve">Estado del SWAP en 2017: </w:t>
      </w:r>
      <w:r w:rsidRPr="003F7198">
        <w:rPr>
          <w:color w:val="000000" w:themeColor="text1"/>
        </w:rPr>
        <w:t>satisface los requisitos</w:t>
      </w:r>
    </w:p>
    <w:p w:rsidR="00F16CCA" w:rsidRPr="003F7198" w:rsidRDefault="00F16CCA" w:rsidP="007F192C">
      <w:pPr>
        <w:keepNext/>
        <w:keepLines/>
        <w:spacing w:after="120"/>
      </w:pPr>
      <w:r w:rsidRPr="003F7198">
        <w:t xml:space="preserve">Para satisfacer este indicador de rendimiento del ONU-SWAP, la UIT tendría que participar sistemáticamente en los mecanismos de coordinación interinstitucionales sobre la igualdad de género y el empoderamiento de las mujeres, y participar en un </w:t>
      </w:r>
      <w:r w:rsidR="004A5C61" w:rsidRPr="003F7198">
        <w:t>proceso de revisión cruzada del </w:t>
      </w:r>
      <w:r w:rsidRPr="003F7198">
        <w:t>ONU-SWAP.</w:t>
      </w:r>
    </w:p>
    <w:tbl>
      <w:tblPr>
        <w:tblStyle w:val="TableGrid"/>
        <w:tblW w:w="5000" w:type="pct"/>
        <w:tblLook w:val="04A0" w:firstRow="1" w:lastRow="0" w:firstColumn="1" w:lastColumn="0" w:noHBand="0" w:noVBand="1"/>
      </w:tblPr>
      <w:tblGrid>
        <w:gridCol w:w="6644"/>
        <w:gridCol w:w="1899"/>
        <w:gridCol w:w="1086"/>
      </w:tblGrid>
      <w:tr w:rsidR="00F16CCA" w:rsidRPr="003F7198" w:rsidTr="000B75EF">
        <w:tc>
          <w:tcPr>
            <w:tcW w:w="3462" w:type="pct"/>
          </w:tcPr>
          <w:p w:rsidR="00F16CCA" w:rsidRPr="003F7198" w:rsidRDefault="00F16CCA" w:rsidP="000B75EF">
            <w:pPr>
              <w:keepNext/>
              <w:keepLines/>
              <w:jc w:val="both"/>
              <w:rPr>
                <w:color w:val="000000" w:themeColor="text1"/>
              </w:rPr>
            </w:pPr>
            <w:r w:rsidRPr="003F7198">
              <w:rPr>
                <w:color w:val="000000" w:themeColor="text1"/>
                <w:u w:val="single"/>
              </w:rPr>
              <w:t>Productos</w:t>
            </w:r>
          </w:p>
        </w:tc>
        <w:tc>
          <w:tcPr>
            <w:tcW w:w="962" w:type="pct"/>
          </w:tcPr>
          <w:p w:rsidR="00F16CCA" w:rsidRPr="003F7198" w:rsidRDefault="00F16CCA" w:rsidP="000B75EF">
            <w:pPr>
              <w:keepNext/>
              <w:keepLines/>
              <w:jc w:val="both"/>
              <w:rPr>
                <w:color w:val="000000" w:themeColor="text1"/>
              </w:rPr>
            </w:pPr>
            <w:r w:rsidRPr="003F7198">
              <w:rPr>
                <w:color w:val="000000" w:themeColor="text1"/>
                <w:u w:val="single"/>
              </w:rPr>
              <w:t>Titular/Implicado</w:t>
            </w:r>
          </w:p>
        </w:tc>
        <w:tc>
          <w:tcPr>
            <w:tcW w:w="576" w:type="pct"/>
          </w:tcPr>
          <w:p w:rsidR="00F16CCA" w:rsidRPr="003F7198" w:rsidRDefault="00F16CCA" w:rsidP="000B75EF">
            <w:pPr>
              <w:keepNext/>
              <w:keepLines/>
              <w:jc w:val="center"/>
              <w:rPr>
                <w:color w:val="000000" w:themeColor="text1"/>
              </w:rPr>
            </w:pPr>
            <w:r w:rsidRPr="003F7198">
              <w:rPr>
                <w:color w:val="000000" w:themeColor="text1"/>
                <w:u w:val="single"/>
              </w:rPr>
              <w:t>Plazo</w:t>
            </w:r>
          </w:p>
        </w:tc>
      </w:tr>
      <w:tr w:rsidR="00F16CCA" w:rsidRPr="003F7198" w:rsidTr="000B75EF">
        <w:tc>
          <w:tcPr>
            <w:tcW w:w="3462" w:type="pct"/>
          </w:tcPr>
          <w:p w:rsidR="00F16CCA" w:rsidRPr="003F7198" w:rsidRDefault="00F16CCA" w:rsidP="007F192C">
            <w:pPr>
              <w:ind w:left="567" w:hanging="567"/>
              <w:rPr>
                <w:color w:val="000000" w:themeColor="text1"/>
              </w:rPr>
            </w:pPr>
            <w:r w:rsidRPr="003F7198">
              <w:rPr>
                <w:rFonts w:eastAsia="Times New Roman" w:cs="Times New Roman"/>
                <w:color w:val="000000" w:themeColor="text1"/>
              </w:rPr>
              <w:t>17.1</w:t>
            </w:r>
            <w:r w:rsidRPr="003F7198">
              <w:rPr>
                <w:rFonts w:eastAsia="Times New Roman" w:cs="Times New Roman"/>
                <w:color w:val="000000" w:themeColor="text1"/>
              </w:rPr>
              <w:tab/>
              <w:t>Información sobre igua</w:t>
            </w:r>
            <w:r w:rsidR="000951EB" w:rsidRPr="003F7198">
              <w:rPr>
                <w:rFonts w:eastAsia="Times New Roman" w:cs="Times New Roman"/>
                <w:color w:val="000000" w:themeColor="text1"/>
              </w:rPr>
              <w:t>ldad e integración de género en </w:t>
            </w:r>
            <w:r w:rsidRPr="003F7198">
              <w:rPr>
                <w:rFonts w:eastAsia="Times New Roman" w:cs="Times New Roman"/>
                <w:color w:val="000000" w:themeColor="text1"/>
              </w:rPr>
              <w:t>GTF/</w:t>
            </w:r>
            <w:proofErr w:type="spellStart"/>
            <w:r w:rsidRPr="003F7198">
              <w:rPr>
                <w:rFonts w:eastAsia="Times New Roman" w:cs="Times New Roman"/>
                <w:i/>
                <w:iCs/>
                <w:color w:val="000000" w:themeColor="text1"/>
              </w:rPr>
              <w:t>Sharepoint</w:t>
            </w:r>
            <w:proofErr w:type="spellEnd"/>
          </w:p>
        </w:tc>
        <w:tc>
          <w:tcPr>
            <w:tcW w:w="962" w:type="pct"/>
          </w:tcPr>
          <w:p w:rsidR="00F16CCA" w:rsidRPr="003F7198" w:rsidRDefault="00F16CCA" w:rsidP="000B75EF">
            <w:pPr>
              <w:keepNext/>
              <w:keepLines/>
              <w:jc w:val="center"/>
              <w:rPr>
                <w:color w:val="000000" w:themeColor="text1"/>
              </w:rPr>
            </w:pPr>
            <w:r w:rsidRPr="003F7198">
              <w:rPr>
                <w:rFonts w:eastAsia="Times New Roman" w:cs="Times New Roman"/>
                <w:color w:val="000000" w:themeColor="text1"/>
              </w:rPr>
              <w:t>GBS/GTF</w:t>
            </w:r>
          </w:p>
        </w:tc>
        <w:tc>
          <w:tcPr>
            <w:tcW w:w="576" w:type="pct"/>
          </w:tcPr>
          <w:p w:rsidR="00F16CCA" w:rsidRPr="003F7198" w:rsidRDefault="00F16CCA" w:rsidP="000B75EF">
            <w:pPr>
              <w:keepNext/>
              <w:keepLines/>
              <w:jc w:val="center"/>
              <w:rPr>
                <w:color w:val="000000" w:themeColor="text1"/>
              </w:rPr>
            </w:pPr>
            <w:r w:rsidRPr="003F7198">
              <w:rPr>
                <w:rFonts w:eastAsia="Times New Roman" w:cs="Times New Roman"/>
                <w:color w:val="000000" w:themeColor="text1"/>
              </w:rPr>
              <w:t>Ene-Dic</w:t>
            </w:r>
          </w:p>
        </w:tc>
      </w:tr>
      <w:tr w:rsidR="00F16CCA" w:rsidRPr="003F7198" w:rsidTr="000B75EF">
        <w:tc>
          <w:tcPr>
            <w:tcW w:w="3462" w:type="pct"/>
          </w:tcPr>
          <w:p w:rsidR="00F16CCA" w:rsidRPr="003F7198" w:rsidRDefault="00F16CCA" w:rsidP="007F192C">
            <w:pPr>
              <w:ind w:left="567" w:hanging="567"/>
              <w:rPr>
                <w:color w:val="000000" w:themeColor="text1"/>
              </w:rPr>
            </w:pPr>
            <w:r w:rsidRPr="003F7198">
              <w:rPr>
                <w:color w:val="000000" w:themeColor="text1"/>
              </w:rPr>
              <w:t>17.2</w:t>
            </w:r>
            <w:r w:rsidRPr="003F7198">
              <w:rPr>
                <w:color w:val="000000" w:themeColor="text1"/>
              </w:rPr>
              <w:tab/>
              <w:t>Participación en el proyecto piloto SWAP2.0</w:t>
            </w:r>
          </w:p>
        </w:tc>
        <w:tc>
          <w:tcPr>
            <w:tcW w:w="962" w:type="pct"/>
          </w:tcPr>
          <w:p w:rsidR="00F16CCA" w:rsidRPr="003F7198" w:rsidRDefault="00F16CCA" w:rsidP="00B36FF6">
            <w:pPr>
              <w:keepNext/>
              <w:keepLines/>
              <w:jc w:val="center"/>
              <w:rPr>
                <w:color w:val="000000" w:themeColor="text1"/>
              </w:rPr>
            </w:pPr>
            <w:r w:rsidRPr="003F7198">
              <w:rPr>
                <w:color w:val="000000" w:themeColor="text1"/>
              </w:rPr>
              <w:t>GBS/CSD</w:t>
            </w:r>
          </w:p>
        </w:tc>
        <w:tc>
          <w:tcPr>
            <w:tcW w:w="576" w:type="pct"/>
          </w:tcPr>
          <w:p w:rsidR="00F16CCA" w:rsidRPr="003F7198" w:rsidRDefault="00F16CCA" w:rsidP="000B75EF">
            <w:pPr>
              <w:keepNext/>
              <w:keepLines/>
              <w:jc w:val="center"/>
              <w:rPr>
                <w:color w:val="000000" w:themeColor="text1"/>
              </w:rPr>
            </w:pPr>
            <w:r w:rsidRPr="003F7198">
              <w:rPr>
                <w:color w:val="000000" w:themeColor="text1"/>
              </w:rPr>
              <w:t>Ene-Mar</w:t>
            </w:r>
          </w:p>
        </w:tc>
      </w:tr>
      <w:tr w:rsidR="00F16CCA" w:rsidRPr="003F7198" w:rsidTr="000B75EF">
        <w:tc>
          <w:tcPr>
            <w:tcW w:w="3462" w:type="pct"/>
          </w:tcPr>
          <w:p w:rsidR="00F16CCA" w:rsidRPr="003F7198" w:rsidRDefault="00F16CCA" w:rsidP="007F192C">
            <w:pPr>
              <w:ind w:left="567" w:hanging="567"/>
              <w:rPr>
                <w:color w:val="000000" w:themeColor="text1"/>
              </w:rPr>
            </w:pPr>
            <w:r w:rsidRPr="003F7198">
              <w:rPr>
                <w:color w:val="000000" w:themeColor="text1"/>
              </w:rPr>
              <w:t>17.3</w:t>
            </w:r>
            <w:r w:rsidRPr="003F7198">
              <w:rPr>
                <w:color w:val="000000" w:themeColor="text1"/>
              </w:rPr>
              <w:tab/>
              <w:t>Participar en la reunión anual del ONU-SWAP</w:t>
            </w:r>
          </w:p>
        </w:tc>
        <w:tc>
          <w:tcPr>
            <w:tcW w:w="962" w:type="pct"/>
          </w:tcPr>
          <w:p w:rsidR="00F16CCA" w:rsidRPr="003F7198" w:rsidRDefault="00F16CCA" w:rsidP="00B36FF6">
            <w:pPr>
              <w:keepNext/>
              <w:keepLines/>
              <w:jc w:val="center"/>
              <w:rPr>
                <w:color w:val="000000" w:themeColor="text1"/>
              </w:rPr>
            </w:pPr>
            <w:r w:rsidRPr="003F7198">
              <w:rPr>
                <w:color w:val="000000" w:themeColor="text1"/>
              </w:rPr>
              <w:t>GBS/GTF</w:t>
            </w:r>
          </w:p>
        </w:tc>
        <w:tc>
          <w:tcPr>
            <w:tcW w:w="576" w:type="pct"/>
          </w:tcPr>
          <w:p w:rsidR="00F16CCA" w:rsidRPr="003F7198" w:rsidRDefault="00F16CCA" w:rsidP="000B75EF">
            <w:pPr>
              <w:keepNext/>
              <w:keepLines/>
              <w:jc w:val="center"/>
              <w:rPr>
                <w:color w:val="000000" w:themeColor="text1"/>
              </w:rPr>
            </w:pPr>
            <w:proofErr w:type="spellStart"/>
            <w:r w:rsidRPr="003F7198">
              <w:rPr>
                <w:color w:val="000000" w:themeColor="text1"/>
              </w:rPr>
              <w:t>Sep</w:t>
            </w:r>
            <w:proofErr w:type="spellEnd"/>
            <w:r w:rsidRPr="003F7198">
              <w:rPr>
                <w:color w:val="000000" w:themeColor="text1"/>
              </w:rPr>
              <w:t>-Dic</w:t>
            </w:r>
          </w:p>
        </w:tc>
      </w:tr>
      <w:tr w:rsidR="00F16CCA" w:rsidRPr="003F7198" w:rsidTr="000B75EF">
        <w:tc>
          <w:tcPr>
            <w:tcW w:w="3462" w:type="pct"/>
          </w:tcPr>
          <w:p w:rsidR="00F16CCA" w:rsidRPr="003F7198" w:rsidRDefault="00F16CCA" w:rsidP="007F192C">
            <w:pPr>
              <w:ind w:left="567" w:hanging="567"/>
              <w:rPr>
                <w:color w:val="000000" w:themeColor="text1"/>
              </w:rPr>
            </w:pPr>
            <w:r w:rsidRPr="003F7198">
              <w:rPr>
                <w:color w:val="000000" w:themeColor="text1"/>
              </w:rPr>
              <w:t>17.4</w:t>
            </w:r>
            <w:r w:rsidRPr="003F7198">
              <w:rPr>
                <w:color w:val="000000" w:themeColor="text1"/>
              </w:rPr>
              <w:tab/>
              <w:t>Revisión cruzada del informe de 2018 por el ONU-SWAP</w:t>
            </w:r>
          </w:p>
        </w:tc>
        <w:tc>
          <w:tcPr>
            <w:tcW w:w="962" w:type="pct"/>
          </w:tcPr>
          <w:p w:rsidR="00F16CCA" w:rsidRPr="003F7198" w:rsidRDefault="00F16CCA" w:rsidP="00B36FF6">
            <w:pPr>
              <w:keepNext/>
              <w:keepLines/>
              <w:jc w:val="center"/>
              <w:rPr>
                <w:color w:val="000000" w:themeColor="text1"/>
              </w:rPr>
            </w:pPr>
            <w:r w:rsidRPr="003F7198">
              <w:rPr>
                <w:color w:val="000000" w:themeColor="text1"/>
              </w:rPr>
              <w:t>CSD/Todos los propietarios de negocios</w:t>
            </w:r>
          </w:p>
        </w:tc>
        <w:tc>
          <w:tcPr>
            <w:tcW w:w="576" w:type="pct"/>
          </w:tcPr>
          <w:p w:rsidR="00F16CCA" w:rsidRPr="003F7198" w:rsidRDefault="00F16CCA" w:rsidP="000B75EF">
            <w:pPr>
              <w:keepNext/>
              <w:keepLines/>
              <w:jc w:val="center"/>
              <w:rPr>
                <w:color w:val="000000" w:themeColor="text1"/>
              </w:rPr>
            </w:pPr>
            <w:r w:rsidRPr="003F7198">
              <w:rPr>
                <w:color w:val="000000" w:themeColor="text1"/>
              </w:rPr>
              <w:t>2019</w:t>
            </w:r>
          </w:p>
        </w:tc>
      </w:tr>
    </w:tbl>
    <w:p w:rsidR="00F16CCA" w:rsidRPr="003F7198" w:rsidRDefault="00F16CCA" w:rsidP="000B75EF">
      <w:pPr>
        <w:pStyle w:val="Reasons"/>
      </w:pPr>
    </w:p>
    <w:p w:rsidR="00093EEB" w:rsidRPr="003F7198" w:rsidRDefault="00F16CCA" w:rsidP="00CF5643">
      <w:pPr>
        <w:jc w:val="center"/>
      </w:pPr>
      <w:r w:rsidRPr="003F7198">
        <w:t>______________</w:t>
      </w:r>
    </w:p>
    <w:sectPr w:rsidR="00093EEB" w:rsidRPr="003F7198" w:rsidSect="006710F6">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CCA" w:rsidRDefault="00F16CCA">
      <w:r>
        <w:separator/>
      </w:r>
    </w:p>
  </w:endnote>
  <w:endnote w:type="continuationSeparator" w:id="0">
    <w:p w:rsidR="00F16CCA" w:rsidRDefault="00F1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7C4E4B" w:rsidRDefault="001038CB" w:rsidP="001038CB">
    <w:pPr>
      <w:pStyle w:val="Footer"/>
      <w:rPr>
        <w:color w:val="D9D9D9" w:themeColor="background1" w:themeShade="D9"/>
        <w:szCs w:val="16"/>
        <w:lang w:val="fr-CH"/>
      </w:rPr>
    </w:pPr>
    <w:r w:rsidRPr="007C4E4B">
      <w:rPr>
        <w:color w:val="D9D9D9" w:themeColor="background1" w:themeShade="D9"/>
        <w:szCs w:val="16"/>
      </w:rPr>
      <w:fldChar w:fldCharType="begin"/>
    </w:r>
    <w:r w:rsidRPr="007C4E4B">
      <w:rPr>
        <w:color w:val="D9D9D9" w:themeColor="background1" w:themeShade="D9"/>
        <w:szCs w:val="16"/>
        <w:lang w:val="fr-CH"/>
      </w:rPr>
      <w:instrText xml:space="preserve"> FILENAME \p  \* MERGEFORMAT </w:instrText>
    </w:r>
    <w:r w:rsidRPr="007C4E4B">
      <w:rPr>
        <w:color w:val="D9D9D9" w:themeColor="background1" w:themeShade="D9"/>
        <w:szCs w:val="16"/>
      </w:rPr>
      <w:fldChar w:fldCharType="separate"/>
    </w:r>
    <w:r w:rsidRPr="007C4E4B">
      <w:rPr>
        <w:color w:val="D9D9D9" w:themeColor="background1" w:themeShade="D9"/>
        <w:szCs w:val="16"/>
        <w:lang w:val="fr-CH"/>
      </w:rPr>
      <w:t>P:\ESP\SG\CONSEIL\C18\000\013S.docx</w:t>
    </w:r>
    <w:r w:rsidRPr="007C4E4B">
      <w:rPr>
        <w:color w:val="D9D9D9" w:themeColor="background1" w:themeShade="D9"/>
        <w:szCs w:val="16"/>
      </w:rPr>
      <w:fldChar w:fldCharType="end"/>
    </w:r>
    <w:r w:rsidRPr="007C4E4B">
      <w:rPr>
        <w:color w:val="D9D9D9" w:themeColor="background1" w:themeShade="D9"/>
        <w:szCs w:val="16"/>
        <w:lang w:val="fr-CH"/>
      </w:rPr>
      <w:t xml:space="preserve"> (425078)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CCA" w:rsidRDefault="00F16CCA">
      <w:r>
        <w:t>____________________</w:t>
      </w:r>
    </w:p>
  </w:footnote>
  <w:footnote w:type="continuationSeparator" w:id="0">
    <w:p w:rsidR="00F16CCA" w:rsidRDefault="00F16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7C4E4B">
      <w:rPr>
        <w:noProof/>
      </w:rPr>
      <w:t>10</w:t>
    </w:r>
    <w:r>
      <w:rPr>
        <w:noProof/>
      </w:rPr>
      <w:fldChar w:fldCharType="end"/>
    </w:r>
  </w:p>
  <w:p w:rsidR="00760F1C" w:rsidRDefault="00760F1C" w:rsidP="00D55AD1">
    <w:pPr>
      <w:pStyle w:val="Header"/>
    </w:pPr>
    <w:r>
      <w:t>C</w:t>
    </w:r>
    <w:r w:rsidR="007F350B">
      <w:t>1</w:t>
    </w:r>
    <w:r w:rsidR="009F4811">
      <w:t>8</w:t>
    </w:r>
    <w:r>
      <w:t>/</w:t>
    </w:r>
    <w:r w:rsidR="00D55AD1">
      <w:t>13</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95789"/>
    <w:multiLevelType w:val="multilevel"/>
    <w:tmpl w:val="B4825A5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asciiTheme="minorHAnsi" w:hAnsiTheme="minorHAnsi" w:cstheme="minorHAnsi" w:hint="default"/>
        <w:b w:val="0"/>
        <w:bCs/>
        <w:i w:val="0"/>
        <w:iCs w:val="0"/>
        <w:sz w:val="22"/>
        <w:szCs w:val="22"/>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CCA"/>
    <w:rsid w:val="00093EEB"/>
    <w:rsid w:val="000951EB"/>
    <w:rsid w:val="000B0D00"/>
    <w:rsid w:val="000B7C15"/>
    <w:rsid w:val="000D1D0F"/>
    <w:rsid w:val="000F5290"/>
    <w:rsid w:val="000F6167"/>
    <w:rsid w:val="0010165C"/>
    <w:rsid w:val="001038CB"/>
    <w:rsid w:val="00107E54"/>
    <w:rsid w:val="001400D1"/>
    <w:rsid w:val="00146BFB"/>
    <w:rsid w:val="0015431F"/>
    <w:rsid w:val="00175900"/>
    <w:rsid w:val="00175FFF"/>
    <w:rsid w:val="001A108A"/>
    <w:rsid w:val="001F14A2"/>
    <w:rsid w:val="002801AA"/>
    <w:rsid w:val="002C4676"/>
    <w:rsid w:val="002C70B0"/>
    <w:rsid w:val="002D4935"/>
    <w:rsid w:val="002F3CC4"/>
    <w:rsid w:val="003839A6"/>
    <w:rsid w:val="003A505D"/>
    <w:rsid w:val="003A759E"/>
    <w:rsid w:val="003F7198"/>
    <w:rsid w:val="00413D7A"/>
    <w:rsid w:val="00453F1A"/>
    <w:rsid w:val="00455D85"/>
    <w:rsid w:val="004A5C61"/>
    <w:rsid w:val="004B5F3A"/>
    <w:rsid w:val="004E01C7"/>
    <w:rsid w:val="00513630"/>
    <w:rsid w:val="00560125"/>
    <w:rsid w:val="00580811"/>
    <w:rsid w:val="00585553"/>
    <w:rsid w:val="005B34D9"/>
    <w:rsid w:val="005B6C3B"/>
    <w:rsid w:val="005D0CCF"/>
    <w:rsid w:val="005F3BCB"/>
    <w:rsid w:val="005F410F"/>
    <w:rsid w:val="0060149A"/>
    <w:rsid w:val="00601924"/>
    <w:rsid w:val="00622B53"/>
    <w:rsid w:val="006447EA"/>
    <w:rsid w:val="0064731F"/>
    <w:rsid w:val="00664064"/>
    <w:rsid w:val="006710F6"/>
    <w:rsid w:val="006A1394"/>
    <w:rsid w:val="006C1B56"/>
    <w:rsid w:val="006D4761"/>
    <w:rsid w:val="00726872"/>
    <w:rsid w:val="00760F1C"/>
    <w:rsid w:val="007657F0"/>
    <w:rsid w:val="0077252D"/>
    <w:rsid w:val="007B4095"/>
    <w:rsid w:val="007C4E4B"/>
    <w:rsid w:val="007E5DD3"/>
    <w:rsid w:val="007F192C"/>
    <w:rsid w:val="007F350B"/>
    <w:rsid w:val="00820BE4"/>
    <w:rsid w:val="008451E8"/>
    <w:rsid w:val="008D6CBE"/>
    <w:rsid w:val="00913B9C"/>
    <w:rsid w:val="00956E77"/>
    <w:rsid w:val="009573BD"/>
    <w:rsid w:val="0098089E"/>
    <w:rsid w:val="00984C56"/>
    <w:rsid w:val="009B3AF1"/>
    <w:rsid w:val="009F4811"/>
    <w:rsid w:val="00A3502A"/>
    <w:rsid w:val="00A4105E"/>
    <w:rsid w:val="00A7259C"/>
    <w:rsid w:val="00A83B18"/>
    <w:rsid w:val="00AA390C"/>
    <w:rsid w:val="00AF2F17"/>
    <w:rsid w:val="00B0200A"/>
    <w:rsid w:val="00B07EE5"/>
    <w:rsid w:val="00B574DB"/>
    <w:rsid w:val="00B826C2"/>
    <w:rsid w:val="00B8298E"/>
    <w:rsid w:val="00B97AD9"/>
    <w:rsid w:val="00BC5341"/>
    <w:rsid w:val="00BD0723"/>
    <w:rsid w:val="00BD2518"/>
    <w:rsid w:val="00BF1D1C"/>
    <w:rsid w:val="00BF4940"/>
    <w:rsid w:val="00C20C59"/>
    <w:rsid w:val="00C35AC4"/>
    <w:rsid w:val="00C55B1F"/>
    <w:rsid w:val="00CF1A67"/>
    <w:rsid w:val="00CF5643"/>
    <w:rsid w:val="00D2750E"/>
    <w:rsid w:val="00D55AD1"/>
    <w:rsid w:val="00D62446"/>
    <w:rsid w:val="00DA0F12"/>
    <w:rsid w:val="00DA4EA2"/>
    <w:rsid w:val="00DC3D3E"/>
    <w:rsid w:val="00DE2C90"/>
    <w:rsid w:val="00DE3B24"/>
    <w:rsid w:val="00E02A1D"/>
    <w:rsid w:val="00E06947"/>
    <w:rsid w:val="00E14C22"/>
    <w:rsid w:val="00E2397E"/>
    <w:rsid w:val="00E3592D"/>
    <w:rsid w:val="00E37A0A"/>
    <w:rsid w:val="00E92DE8"/>
    <w:rsid w:val="00E9754E"/>
    <w:rsid w:val="00EB1212"/>
    <w:rsid w:val="00EB7D1D"/>
    <w:rsid w:val="00EC61DB"/>
    <w:rsid w:val="00ED65AB"/>
    <w:rsid w:val="00EE6071"/>
    <w:rsid w:val="00F12850"/>
    <w:rsid w:val="00F14720"/>
    <w:rsid w:val="00F16CCA"/>
    <w:rsid w:val="00F33BF4"/>
    <w:rsid w:val="00F7105E"/>
    <w:rsid w:val="00F75F57"/>
    <w:rsid w:val="00F82FEE"/>
    <w:rsid w:val="00FA5D22"/>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3AC59D23-3BDB-45F1-A11A-0DD422F9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table" w:styleId="TableGrid">
    <w:name w:val="Table Grid"/>
    <w:basedOn w:val="TableNormal"/>
    <w:uiPriority w:val="39"/>
    <w:rsid w:val="00F16CC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2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S-CONF-ACTF-2014"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tu.int/md/S17-CL-C-0071/en"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en/action/gender-equality/Documents/gender-policy-document.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tu.int/md/S17-CL-C-0071/en" TargetMode="External"/><Relationship Id="rId4" Type="http://schemas.openxmlformats.org/officeDocument/2006/relationships/webSettings" Target="webSettings.xml"/><Relationship Id="rId9" Type="http://schemas.openxmlformats.org/officeDocument/2006/relationships/hyperlink" Target="https://www.itu.int/md/S13-CL-C-0039/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PS_C18.dotx</Template>
  <TotalTime>0</TotalTime>
  <Pages>10</Pages>
  <Words>3535</Words>
  <Characters>19650</Characters>
  <Application>Microsoft Office Word</Application>
  <DocSecurity>4</DocSecurity>
  <Lines>163</Lines>
  <Paragraphs>46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23139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Igualdad e integración de género (IIG) de la UIT propuesta de plan de aplicación para 2018</dc:title>
  <dc:subject>Consejo 2018</dc:subject>
  <dc:creator>Spanish</dc:creator>
  <cp:keywords>C2018, C18</cp:keywords>
  <dc:description/>
  <cp:lastModifiedBy>Brouard, Ricarda</cp:lastModifiedBy>
  <cp:revision>2</cp:revision>
  <cp:lastPrinted>2006-03-24T09:51:00Z</cp:lastPrinted>
  <dcterms:created xsi:type="dcterms:W3CDTF">2018-03-27T09:15:00Z</dcterms:created>
  <dcterms:modified xsi:type="dcterms:W3CDTF">2018-03-27T09:15:00Z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