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66CCB" w14:paraId="1E4E108A" w14:textId="77777777">
        <w:trPr>
          <w:cantSplit/>
        </w:trPr>
        <w:tc>
          <w:tcPr>
            <w:tcW w:w="6912" w:type="dxa"/>
          </w:tcPr>
          <w:p w14:paraId="184DF7D9" w14:textId="77777777" w:rsidR="00520F36" w:rsidRPr="00066CCB" w:rsidRDefault="00520F36" w:rsidP="00517BDB">
            <w:pPr>
              <w:spacing w:before="360"/>
              <w:rPr>
                <w:lang w:val="fr-CH"/>
              </w:rPr>
            </w:pPr>
            <w:bookmarkStart w:id="0" w:name="dc06"/>
            <w:bookmarkEnd w:id="0"/>
            <w:r w:rsidRPr="00066CCB">
              <w:rPr>
                <w:b/>
                <w:bCs/>
                <w:sz w:val="30"/>
                <w:szCs w:val="30"/>
                <w:lang w:val="fr-CH"/>
              </w:rPr>
              <w:t>Conseil 201</w:t>
            </w:r>
            <w:r w:rsidR="003C3FAE" w:rsidRPr="00066CCB">
              <w:rPr>
                <w:b/>
                <w:bCs/>
                <w:sz w:val="30"/>
                <w:szCs w:val="30"/>
                <w:lang w:val="fr-CH"/>
              </w:rPr>
              <w:t>8</w:t>
            </w:r>
            <w:r w:rsidRPr="00066CCB">
              <w:rPr>
                <w:rFonts w:ascii="Verdana" w:hAnsi="Verdana"/>
                <w:b/>
                <w:bCs/>
                <w:sz w:val="26"/>
                <w:szCs w:val="26"/>
                <w:lang w:val="fr-CH"/>
              </w:rPr>
              <w:br/>
            </w:r>
            <w:r w:rsidRPr="00066CCB">
              <w:rPr>
                <w:b/>
                <w:bCs/>
                <w:szCs w:val="24"/>
                <w:lang w:val="fr-CH"/>
              </w:rPr>
              <w:t>Genève, 1</w:t>
            </w:r>
            <w:r w:rsidR="003C3FAE" w:rsidRPr="00066CCB">
              <w:rPr>
                <w:b/>
                <w:bCs/>
                <w:szCs w:val="24"/>
                <w:lang w:val="fr-CH"/>
              </w:rPr>
              <w:t>7</w:t>
            </w:r>
            <w:r w:rsidRPr="00066CCB">
              <w:rPr>
                <w:b/>
                <w:bCs/>
                <w:szCs w:val="24"/>
                <w:lang w:val="fr-CH"/>
              </w:rPr>
              <w:t>-2</w:t>
            </w:r>
            <w:r w:rsidR="003C3FAE" w:rsidRPr="00066CCB">
              <w:rPr>
                <w:b/>
                <w:bCs/>
                <w:szCs w:val="24"/>
                <w:lang w:val="fr-CH"/>
              </w:rPr>
              <w:t>7</w:t>
            </w:r>
            <w:r w:rsidRPr="00066CCB">
              <w:rPr>
                <w:b/>
                <w:bCs/>
                <w:szCs w:val="24"/>
                <w:lang w:val="fr-CH"/>
              </w:rPr>
              <w:t xml:space="preserve"> </w:t>
            </w:r>
            <w:r w:rsidR="003C3FAE" w:rsidRPr="00066CCB">
              <w:rPr>
                <w:b/>
                <w:bCs/>
                <w:szCs w:val="24"/>
                <w:lang w:val="fr-CH"/>
              </w:rPr>
              <w:t>avril</w:t>
            </w:r>
            <w:r w:rsidRPr="00066CCB">
              <w:rPr>
                <w:b/>
                <w:bCs/>
                <w:szCs w:val="24"/>
                <w:lang w:val="fr-CH"/>
              </w:rPr>
              <w:t xml:space="preserve"> 201</w:t>
            </w:r>
            <w:r w:rsidR="003C3FAE" w:rsidRPr="00066CCB">
              <w:rPr>
                <w:b/>
                <w:bCs/>
                <w:szCs w:val="24"/>
                <w:lang w:val="fr-CH"/>
              </w:rPr>
              <w:t>8</w:t>
            </w:r>
          </w:p>
        </w:tc>
        <w:tc>
          <w:tcPr>
            <w:tcW w:w="3261" w:type="dxa"/>
          </w:tcPr>
          <w:p w14:paraId="0229F2A3" w14:textId="77777777" w:rsidR="00520F36" w:rsidRPr="00066CCB" w:rsidRDefault="00520F36" w:rsidP="00517BDB">
            <w:pPr>
              <w:spacing w:before="0"/>
              <w:jc w:val="right"/>
              <w:rPr>
                <w:lang w:val="fr-CH"/>
              </w:rPr>
            </w:pPr>
            <w:bookmarkStart w:id="1" w:name="ditulogo"/>
            <w:bookmarkEnd w:id="1"/>
            <w:r w:rsidRPr="00066CCB">
              <w:rPr>
                <w:rFonts w:cstheme="minorHAnsi"/>
                <w:b/>
                <w:bCs/>
                <w:noProof/>
                <w:lang w:val="en-US" w:eastAsia="zh-CN"/>
              </w:rPr>
              <w:drawing>
                <wp:inline distT="0" distB="0" distL="0" distR="0" wp14:anchorId="69CC021A" wp14:editId="52799DE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066CCB" w14:paraId="06A3A12C" w14:textId="77777777" w:rsidTr="00EF41DD">
        <w:trPr>
          <w:cantSplit/>
          <w:trHeight w:val="20"/>
        </w:trPr>
        <w:tc>
          <w:tcPr>
            <w:tcW w:w="6912" w:type="dxa"/>
            <w:tcBorders>
              <w:bottom w:val="single" w:sz="12" w:space="0" w:color="auto"/>
            </w:tcBorders>
            <w:vAlign w:val="center"/>
          </w:tcPr>
          <w:p w14:paraId="33DD2FE3" w14:textId="77777777" w:rsidR="00520F36" w:rsidRPr="00066CCB" w:rsidRDefault="00520F36" w:rsidP="00517BDB">
            <w:pPr>
              <w:spacing w:before="0"/>
              <w:rPr>
                <w:b/>
                <w:bCs/>
                <w:sz w:val="26"/>
                <w:szCs w:val="26"/>
                <w:lang w:val="fr-CH"/>
              </w:rPr>
            </w:pPr>
          </w:p>
        </w:tc>
        <w:tc>
          <w:tcPr>
            <w:tcW w:w="3261" w:type="dxa"/>
            <w:tcBorders>
              <w:bottom w:val="single" w:sz="12" w:space="0" w:color="auto"/>
            </w:tcBorders>
          </w:tcPr>
          <w:p w14:paraId="4782F952" w14:textId="77777777" w:rsidR="00520F36" w:rsidRPr="00066CCB" w:rsidRDefault="00520F36" w:rsidP="00517BDB">
            <w:pPr>
              <w:spacing w:before="0"/>
              <w:rPr>
                <w:b/>
                <w:bCs/>
                <w:lang w:val="fr-CH"/>
              </w:rPr>
            </w:pPr>
          </w:p>
        </w:tc>
      </w:tr>
      <w:tr w:rsidR="00520F36" w:rsidRPr="00066CCB" w14:paraId="174BB5DD" w14:textId="77777777">
        <w:trPr>
          <w:cantSplit/>
          <w:trHeight w:val="20"/>
        </w:trPr>
        <w:tc>
          <w:tcPr>
            <w:tcW w:w="6912" w:type="dxa"/>
            <w:tcBorders>
              <w:top w:val="single" w:sz="12" w:space="0" w:color="auto"/>
            </w:tcBorders>
          </w:tcPr>
          <w:p w14:paraId="4E6ADB6B" w14:textId="77777777" w:rsidR="00520F36" w:rsidRPr="00066CCB" w:rsidRDefault="00520F36" w:rsidP="00517BDB">
            <w:pPr>
              <w:spacing w:before="0"/>
              <w:rPr>
                <w:smallCaps/>
                <w:sz w:val="22"/>
                <w:lang w:val="fr-CH"/>
              </w:rPr>
            </w:pPr>
          </w:p>
        </w:tc>
        <w:tc>
          <w:tcPr>
            <w:tcW w:w="3261" w:type="dxa"/>
            <w:tcBorders>
              <w:top w:val="single" w:sz="12" w:space="0" w:color="auto"/>
            </w:tcBorders>
          </w:tcPr>
          <w:p w14:paraId="747067D1" w14:textId="77777777" w:rsidR="00520F36" w:rsidRPr="00066CCB" w:rsidRDefault="00520F36" w:rsidP="00517BDB">
            <w:pPr>
              <w:spacing w:before="0"/>
              <w:rPr>
                <w:b/>
                <w:bCs/>
                <w:lang w:val="fr-CH"/>
              </w:rPr>
            </w:pPr>
          </w:p>
        </w:tc>
      </w:tr>
      <w:tr w:rsidR="00520F36" w:rsidRPr="00066CCB" w14:paraId="013F255D" w14:textId="77777777">
        <w:trPr>
          <w:cantSplit/>
          <w:trHeight w:val="20"/>
        </w:trPr>
        <w:tc>
          <w:tcPr>
            <w:tcW w:w="6912" w:type="dxa"/>
            <w:vMerge w:val="restart"/>
          </w:tcPr>
          <w:p w14:paraId="4E8C995B" w14:textId="74BA4AD2" w:rsidR="00520F36" w:rsidRPr="00066CCB" w:rsidRDefault="00332B47" w:rsidP="00122738">
            <w:pPr>
              <w:spacing w:before="0"/>
              <w:rPr>
                <w:rFonts w:cs="Times"/>
                <w:b/>
                <w:bCs/>
                <w:szCs w:val="24"/>
                <w:lang w:val="fr-CH"/>
              </w:rPr>
            </w:pPr>
            <w:bookmarkStart w:id="2" w:name="dnum" w:colFirst="1" w:colLast="1"/>
            <w:bookmarkStart w:id="3" w:name="dmeeting" w:colFirst="0" w:colLast="0"/>
            <w:r w:rsidRPr="00066CCB">
              <w:rPr>
                <w:rFonts w:cs="Times"/>
                <w:b/>
                <w:bCs/>
                <w:szCs w:val="24"/>
                <w:lang w:val="fr-CH"/>
              </w:rPr>
              <w:t>Point de l</w:t>
            </w:r>
            <w:r w:rsidR="003B0FB4" w:rsidRPr="00066CCB">
              <w:rPr>
                <w:rFonts w:cs="Times"/>
                <w:b/>
                <w:bCs/>
                <w:szCs w:val="24"/>
                <w:lang w:val="fr-CH"/>
              </w:rPr>
              <w:t>'</w:t>
            </w:r>
            <w:r w:rsidRPr="00066CCB">
              <w:rPr>
                <w:rFonts w:cs="Times"/>
                <w:b/>
                <w:bCs/>
                <w:szCs w:val="24"/>
                <w:lang w:val="fr-CH"/>
              </w:rPr>
              <w:t xml:space="preserve">ordre du jour: </w:t>
            </w:r>
            <w:r w:rsidR="00122738">
              <w:rPr>
                <w:rFonts w:cs="Times"/>
                <w:b/>
                <w:bCs/>
                <w:szCs w:val="24"/>
                <w:lang w:val="fr-CH"/>
              </w:rPr>
              <w:t>PL 2.5</w:t>
            </w:r>
          </w:p>
        </w:tc>
        <w:tc>
          <w:tcPr>
            <w:tcW w:w="3261" w:type="dxa"/>
          </w:tcPr>
          <w:p w14:paraId="02E40923" w14:textId="77777777" w:rsidR="00520F36" w:rsidRPr="00066CCB" w:rsidRDefault="00520F36" w:rsidP="00517BDB">
            <w:pPr>
              <w:spacing w:before="0"/>
              <w:rPr>
                <w:b/>
                <w:bCs/>
                <w:lang w:val="fr-CH"/>
              </w:rPr>
            </w:pPr>
            <w:r w:rsidRPr="00066CCB">
              <w:rPr>
                <w:b/>
                <w:bCs/>
                <w:lang w:val="fr-CH"/>
              </w:rPr>
              <w:t>Document C1</w:t>
            </w:r>
            <w:r w:rsidR="003C3FAE" w:rsidRPr="00066CCB">
              <w:rPr>
                <w:b/>
                <w:bCs/>
                <w:lang w:val="fr-CH"/>
              </w:rPr>
              <w:t>8</w:t>
            </w:r>
            <w:r w:rsidRPr="00066CCB">
              <w:rPr>
                <w:b/>
                <w:bCs/>
                <w:lang w:val="fr-CH"/>
              </w:rPr>
              <w:t>/</w:t>
            </w:r>
            <w:r w:rsidR="009467DF" w:rsidRPr="00066CCB">
              <w:rPr>
                <w:b/>
                <w:bCs/>
                <w:lang w:val="fr-CH"/>
              </w:rPr>
              <w:t>5</w:t>
            </w:r>
            <w:r w:rsidRPr="00066CCB">
              <w:rPr>
                <w:b/>
                <w:bCs/>
                <w:lang w:val="fr-CH"/>
              </w:rPr>
              <w:t>-F</w:t>
            </w:r>
          </w:p>
        </w:tc>
      </w:tr>
      <w:tr w:rsidR="00520F36" w:rsidRPr="00066CCB" w14:paraId="7B6A4633" w14:textId="77777777">
        <w:trPr>
          <w:cantSplit/>
          <w:trHeight w:val="20"/>
        </w:trPr>
        <w:tc>
          <w:tcPr>
            <w:tcW w:w="6912" w:type="dxa"/>
            <w:vMerge/>
          </w:tcPr>
          <w:p w14:paraId="6E890341" w14:textId="77777777" w:rsidR="00520F36" w:rsidRPr="00066CCB" w:rsidRDefault="00520F36" w:rsidP="00517BDB">
            <w:pPr>
              <w:shd w:val="solid" w:color="FFFFFF" w:fill="FFFFFF"/>
              <w:spacing w:before="180"/>
              <w:rPr>
                <w:smallCaps/>
                <w:lang w:val="fr-CH"/>
              </w:rPr>
            </w:pPr>
            <w:bookmarkStart w:id="4" w:name="ddate" w:colFirst="1" w:colLast="1"/>
            <w:bookmarkEnd w:id="2"/>
            <w:bookmarkEnd w:id="3"/>
          </w:p>
        </w:tc>
        <w:tc>
          <w:tcPr>
            <w:tcW w:w="3261" w:type="dxa"/>
          </w:tcPr>
          <w:p w14:paraId="194EB45E" w14:textId="347A053A" w:rsidR="00520F36" w:rsidRPr="00066CCB" w:rsidRDefault="009467DF" w:rsidP="006A680F">
            <w:pPr>
              <w:spacing w:before="0"/>
              <w:rPr>
                <w:b/>
                <w:bCs/>
                <w:lang w:val="fr-CH"/>
              </w:rPr>
            </w:pPr>
            <w:r w:rsidRPr="00066CCB">
              <w:rPr>
                <w:b/>
                <w:bCs/>
                <w:lang w:val="fr-CH"/>
              </w:rPr>
              <w:t xml:space="preserve">8 </w:t>
            </w:r>
            <w:r w:rsidR="006A680F">
              <w:rPr>
                <w:b/>
                <w:bCs/>
                <w:lang w:val="fr-CH"/>
              </w:rPr>
              <w:t>f</w:t>
            </w:r>
            <w:r w:rsidRPr="00066CCB">
              <w:rPr>
                <w:b/>
                <w:bCs/>
                <w:lang w:val="fr-CH"/>
              </w:rPr>
              <w:t>évrier</w:t>
            </w:r>
            <w:r w:rsidR="00520F36" w:rsidRPr="00066CCB">
              <w:rPr>
                <w:b/>
                <w:bCs/>
                <w:lang w:val="fr-CH"/>
              </w:rPr>
              <w:t xml:space="preserve"> 201</w:t>
            </w:r>
            <w:r w:rsidR="003C3FAE" w:rsidRPr="00066CCB">
              <w:rPr>
                <w:b/>
                <w:bCs/>
                <w:lang w:val="fr-CH"/>
              </w:rPr>
              <w:t>8</w:t>
            </w:r>
          </w:p>
        </w:tc>
      </w:tr>
      <w:tr w:rsidR="00520F36" w:rsidRPr="00066CCB" w14:paraId="0791A1FA" w14:textId="77777777">
        <w:trPr>
          <w:cantSplit/>
          <w:trHeight w:val="20"/>
        </w:trPr>
        <w:tc>
          <w:tcPr>
            <w:tcW w:w="6912" w:type="dxa"/>
            <w:vMerge/>
          </w:tcPr>
          <w:p w14:paraId="3713FA61" w14:textId="77777777" w:rsidR="00520F36" w:rsidRPr="00066CCB" w:rsidRDefault="00520F36" w:rsidP="00517BDB">
            <w:pPr>
              <w:shd w:val="solid" w:color="FFFFFF" w:fill="FFFFFF"/>
              <w:spacing w:before="180"/>
              <w:rPr>
                <w:smallCaps/>
                <w:lang w:val="fr-CH"/>
              </w:rPr>
            </w:pPr>
            <w:bookmarkStart w:id="5" w:name="dorlang" w:colFirst="1" w:colLast="1"/>
            <w:bookmarkEnd w:id="4"/>
          </w:p>
        </w:tc>
        <w:tc>
          <w:tcPr>
            <w:tcW w:w="3261" w:type="dxa"/>
          </w:tcPr>
          <w:p w14:paraId="14792BCA" w14:textId="77777777" w:rsidR="00520F36" w:rsidRPr="00066CCB" w:rsidRDefault="00520F36" w:rsidP="00517BDB">
            <w:pPr>
              <w:spacing w:before="0"/>
              <w:rPr>
                <w:b/>
                <w:bCs/>
                <w:lang w:val="fr-CH"/>
              </w:rPr>
            </w:pPr>
            <w:r w:rsidRPr="00066CCB">
              <w:rPr>
                <w:b/>
                <w:bCs/>
                <w:lang w:val="fr-CH"/>
              </w:rPr>
              <w:t>Original: anglais</w:t>
            </w:r>
          </w:p>
        </w:tc>
      </w:tr>
      <w:tr w:rsidR="00520F36" w:rsidRPr="00066CCB" w14:paraId="04880BDA" w14:textId="77777777">
        <w:trPr>
          <w:cantSplit/>
        </w:trPr>
        <w:tc>
          <w:tcPr>
            <w:tcW w:w="10173" w:type="dxa"/>
            <w:gridSpan w:val="2"/>
          </w:tcPr>
          <w:p w14:paraId="78FFB322" w14:textId="77777777" w:rsidR="00520F36" w:rsidRPr="00066CCB" w:rsidRDefault="00332B47" w:rsidP="00517BDB">
            <w:pPr>
              <w:pStyle w:val="Source"/>
              <w:rPr>
                <w:lang w:val="fr-CH"/>
              </w:rPr>
            </w:pPr>
            <w:bookmarkStart w:id="6" w:name="dsource" w:colFirst="0" w:colLast="0"/>
            <w:bookmarkEnd w:id="5"/>
            <w:r w:rsidRPr="00066CCB">
              <w:rPr>
                <w:lang w:val="fr-CH"/>
              </w:rPr>
              <w:t>Rapport du Secrétaire général</w:t>
            </w:r>
          </w:p>
        </w:tc>
      </w:tr>
      <w:tr w:rsidR="00520F36" w:rsidRPr="00066CCB" w14:paraId="6A9C601F" w14:textId="77777777">
        <w:trPr>
          <w:cantSplit/>
        </w:trPr>
        <w:tc>
          <w:tcPr>
            <w:tcW w:w="10173" w:type="dxa"/>
            <w:gridSpan w:val="2"/>
          </w:tcPr>
          <w:p w14:paraId="723B5E45" w14:textId="248E3663" w:rsidR="00520F36" w:rsidRPr="00066CCB" w:rsidRDefault="00332B47" w:rsidP="004D43DA">
            <w:pPr>
              <w:pStyle w:val="Title1"/>
              <w:rPr>
                <w:lang w:val="fr-CH"/>
              </w:rPr>
            </w:pPr>
            <w:bookmarkStart w:id="7" w:name="dtitle1" w:colFirst="0" w:colLast="0"/>
            <w:bookmarkEnd w:id="6"/>
            <w:r w:rsidRPr="00066CCB">
              <w:rPr>
                <w:lang w:val="fr-CH"/>
              </w:rPr>
              <w:t>Améliorations susceptibles d</w:t>
            </w:r>
            <w:r w:rsidR="003B0FB4" w:rsidRPr="00066CCB">
              <w:rPr>
                <w:lang w:val="fr-CH"/>
              </w:rPr>
              <w:t>'</w:t>
            </w:r>
            <w:r w:rsidRPr="00066CCB">
              <w:rPr>
                <w:lang w:val="fr-CH"/>
              </w:rPr>
              <w:t>Etre apportées à l</w:t>
            </w:r>
            <w:r w:rsidR="003B0FB4" w:rsidRPr="00066CCB">
              <w:rPr>
                <w:lang w:val="fr-CH"/>
              </w:rPr>
              <w:t>'</w:t>
            </w:r>
            <w:r w:rsidRPr="00066CCB">
              <w:rPr>
                <w:lang w:val="fr-CH"/>
              </w:rPr>
              <w:t xml:space="preserve">organisation de </w:t>
            </w:r>
            <w:r w:rsidR="004D43DA">
              <w:rPr>
                <w:lang w:val="fr-CH"/>
              </w:rPr>
              <w:br/>
            </w:r>
            <w:r w:rsidRPr="00066CCB">
              <w:rPr>
                <w:lang w:val="fr-CH"/>
              </w:rPr>
              <w:t xml:space="preserve">la Conférence de plénipotentiaires: </w:t>
            </w:r>
            <w:r w:rsidR="004F3403" w:rsidRPr="00066CCB">
              <w:rPr>
                <w:lang w:val="fr-CH"/>
              </w:rPr>
              <w:t xml:space="preserve">AUDITION DES CANDIDATS </w:t>
            </w:r>
            <w:r w:rsidR="004D43DA">
              <w:rPr>
                <w:lang w:val="fr-CH"/>
              </w:rPr>
              <w:br/>
            </w:r>
            <w:r w:rsidR="004F3403" w:rsidRPr="00066CCB">
              <w:rPr>
                <w:lang w:val="fr-CH"/>
              </w:rPr>
              <w:t xml:space="preserve">ET </w:t>
            </w:r>
            <w:r w:rsidR="004F3403" w:rsidRPr="00066CCB">
              <w:rPr>
                <w:color w:val="000000"/>
                <w:lang w:val="fr-CH"/>
              </w:rPr>
              <w:t>lignes directrices en matière d</w:t>
            </w:r>
            <w:r w:rsidR="003B0FB4" w:rsidRPr="00066CCB">
              <w:rPr>
                <w:color w:val="000000"/>
                <w:lang w:val="fr-CH"/>
              </w:rPr>
              <w:t>'</w:t>
            </w:r>
            <w:r w:rsidR="004F3403" w:rsidRPr="00066CCB">
              <w:rPr>
                <w:color w:val="000000"/>
                <w:lang w:val="fr-CH"/>
              </w:rPr>
              <w:t>éthique</w:t>
            </w:r>
          </w:p>
        </w:tc>
      </w:tr>
      <w:bookmarkEnd w:id="7"/>
    </w:tbl>
    <w:p w14:paraId="0C206433" w14:textId="77777777" w:rsidR="00520F36" w:rsidRPr="00066CCB" w:rsidRDefault="00520F36" w:rsidP="00517BDB">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66CCB" w14:paraId="62DD3AB3" w14:textId="77777777" w:rsidTr="006A680F">
        <w:trPr>
          <w:trHeight w:val="2814"/>
        </w:trPr>
        <w:tc>
          <w:tcPr>
            <w:tcW w:w="8080" w:type="dxa"/>
            <w:tcBorders>
              <w:top w:val="single" w:sz="12" w:space="0" w:color="auto"/>
              <w:left w:val="single" w:sz="12" w:space="0" w:color="auto"/>
              <w:bottom w:val="single" w:sz="12" w:space="0" w:color="auto"/>
              <w:right w:val="single" w:sz="12" w:space="0" w:color="auto"/>
            </w:tcBorders>
          </w:tcPr>
          <w:p w14:paraId="51B0B152" w14:textId="77777777" w:rsidR="00520F36" w:rsidRPr="00066CCB" w:rsidRDefault="00520F36" w:rsidP="006A680F">
            <w:pPr>
              <w:pStyle w:val="Headingb"/>
              <w:keepNext w:val="0"/>
              <w:keepLines w:val="0"/>
              <w:rPr>
                <w:lang w:val="fr-CH"/>
              </w:rPr>
            </w:pPr>
            <w:r w:rsidRPr="00066CCB">
              <w:rPr>
                <w:lang w:val="fr-CH"/>
              </w:rPr>
              <w:t>Résumé</w:t>
            </w:r>
          </w:p>
          <w:p w14:paraId="028F8ADB" w14:textId="20E50D74" w:rsidR="004F3403" w:rsidRPr="00066CCB" w:rsidRDefault="00332B47" w:rsidP="00AE0A0B">
            <w:pPr>
              <w:rPr>
                <w:lang w:val="fr-CH"/>
              </w:rPr>
            </w:pPr>
            <w:bookmarkStart w:id="8" w:name="lt_pId012"/>
            <w:r w:rsidRPr="00066CCB">
              <w:rPr>
                <w:lang w:val="fr-CH"/>
              </w:rPr>
              <w:t>A</w:t>
            </w:r>
            <w:r w:rsidR="004F3403" w:rsidRPr="00066CCB">
              <w:rPr>
                <w:lang w:val="fr-CH"/>
              </w:rPr>
              <w:t xml:space="preserve"> sa session de 2017</w:t>
            </w:r>
            <w:r w:rsidRPr="00066CCB">
              <w:rPr>
                <w:lang w:val="fr-CH"/>
              </w:rPr>
              <w:t xml:space="preserve">, le Conseil a </w:t>
            </w:r>
            <w:r w:rsidR="004F3403" w:rsidRPr="00066CCB">
              <w:rPr>
                <w:lang w:val="fr-CH"/>
              </w:rPr>
              <w:t>chargé le</w:t>
            </w:r>
            <w:r w:rsidRPr="00066CCB">
              <w:rPr>
                <w:lang w:val="fr-CH"/>
              </w:rPr>
              <w:t xml:space="preserve"> </w:t>
            </w:r>
            <w:r w:rsidR="004F3403" w:rsidRPr="00066CCB">
              <w:rPr>
                <w:lang w:val="fr-CH"/>
              </w:rPr>
              <w:t>Secrétaire général</w:t>
            </w:r>
            <w:r w:rsidRPr="00066CCB">
              <w:rPr>
                <w:lang w:val="fr-CH"/>
              </w:rPr>
              <w:t xml:space="preserve"> </w:t>
            </w:r>
            <w:r w:rsidR="004F3403" w:rsidRPr="00066CCB">
              <w:rPr>
                <w:lang w:val="fr-CH"/>
              </w:rPr>
              <w:t>de soumettre au Conseil, à sa session ordinaire de 2018, une étude sur l</w:t>
            </w:r>
            <w:r w:rsidR="003B0FB4" w:rsidRPr="00066CCB">
              <w:rPr>
                <w:lang w:val="fr-CH"/>
              </w:rPr>
              <w:t>'</w:t>
            </w:r>
            <w:r w:rsidR="004F3403" w:rsidRPr="00066CCB">
              <w:rPr>
                <w:lang w:val="fr-CH"/>
              </w:rPr>
              <w:t>organisation d</w:t>
            </w:r>
            <w:r w:rsidR="003B0FB4" w:rsidRPr="00066CCB">
              <w:rPr>
                <w:lang w:val="fr-CH"/>
              </w:rPr>
              <w:t>'</w:t>
            </w:r>
            <w:r w:rsidR="00AE0A0B" w:rsidRPr="00066CCB">
              <w:rPr>
                <w:lang w:val="fr-CH"/>
              </w:rPr>
              <w:t>auditions pour l</w:t>
            </w:r>
            <w:r w:rsidR="004F3403" w:rsidRPr="00066CCB">
              <w:rPr>
                <w:lang w:val="fr-CH"/>
              </w:rPr>
              <w:t xml:space="preserve">es candidats </w:t>
            </w:r>
            <w:r w:rsidR="00AE0A0B" w:rsidRPr="00066CCB">
              <w:rPr>
                <w:lang w:val="fr-CH"/>
              </w:rPr>
              <w:t>à des</w:t>
            </w:r>
            <w:r w:rsidR="004F3403" w:rsidRPr="00066CCB">
              <w:rPr>
                <w:lang w:val="fr-CH"/>
              </w:rPr>
              <w:t xml:space="preserve"> postes de fonctionnaires élus lors de la Conférence de plénipotentiaires de 2018, en tenant compte des contributions soumises lors de la session de 2017 du Conseil et des débats qui en ont découlé. En outre, le Conseil a invité le Secrétaire général à élaborer des lignes directrices en matière d</w:t>
            </w:r>
            <w:r w:rsidR="003B0FB4" w:rsidRPr="00066CCB">
              <w:rPr>
                <w:lang w:val="fr-CH"/>
              </w:rPr>
              <w:t>'</w:t>
            </w:r>
            <w:r w:rsidR="004F3403" w:rsidRPr="00066CCB">
              <w:rPr>
                <w:lang w:val="fr-CH"/>
              </w:rPr>
              <w:t xml:space="preserve">éthique destinées aux candidats </w:t>
            </w:r>
            <w:r w:rsidR="00AE0A0B" w:rsidRPr="00066CCB">
              <w:rPr>
                <w:lang w:val="fr-CH"/>
              </w:rPr>
              <w:t xml:space="preserve">en </w:t>
            </w:r>
            <w:r w:rsidR="004F3403" w:rsidRPr="00066CCB">
              <w:rPr>
                <w:lang w:val="fr-CH"/>
              </w:rPr>
              <w:t>interne.</w:t>
            </w:r>
          </w:p>
          <w:p w14:paraId="57CEB4E5" w14:textId="1FEDC27F" w:rsidR="00520F36" w:rsidRPr="00066CCB" w:rsidRDefault="00471144" w:rsidP="006B34A1">
            <w:pPr>
              <w:rPr>
                <w:lang w:val="fr-CH"/>
              </w:rPr>
            </w:pPr>
            <w:r w:rsidRPr="00066CCB">
              <w:rPr>
                <w:lang w:val="fr-CH"/>
              </w:rPr>
              <w:t>A sa session de 2017, le Conseil a également chargé le Secrétaire général de soumettre le projet d</w:t>
            </w:r>
            <w:r w:rsidR="003B0FB4" w:rsidRPr="00066CCB">
              <w:rPr>
                <w:lang w:val="fr-CH"/>
              </w:rPr>
              <w:t>'</w:t>
            </w:r>
            <w:r w:rsidRPr="00066CCB">
              <w:rPr>
                <w:lang w:val="fr-CH"/>
              </w:rPr>
              <w:t xml:space="preserve">étude au Groupe de travail du Conseil sur les ressources financières et les ressources humaines (GTC-FHR) à sa réunion organisée </w:t>
            </w:r>
            <w:r w:rsidR="006B34A1" w:rsidRPr="00066CCB">
              <w:rPr>
                <w:lang w:val="fr-CH"/>
              </w:rPr>
              <w:t xml:space="preserve">au </w:t>
            </w:r>
            <w:r w:rsidRPr="00066CCB">
              <w:rPr>
                <w:lang w:val="fr-CH"/>
              </w:rPr>
              <w:t>début de l</w:t>
            </w:r>
            <w:r w:rsidR="003B0FB4" w:rsidRPr="00066CCB">
              <w:rPr>
                <w:lang w:val="fr-CH"/>
              </w:rPr>
              <w:t>'</w:t>
            </w:r>
            <w:r w:rsidRPr="00066CCB">
              <w:rPr>
                <w:lang w:val="fr-CH"/>
              </w:rPr>
              <w:t>année 2018</w:t>
            </w:r>
            <w:r w:rsidR="006B34A1" w:rsidRPr="00066CCB">
              <w:rPr>
                <w:lang w:val="fr-CH"/>
              </w:rPr>
              <w:t>,</w:t>
            </w:r>
            <w:r w:rsidRPr="00066CCB">
              <w:rPr>
                <w:lang w:val="fr-CH"/>
              </w:rPr>
              <w:t xml:space="preserve"> et a invité les membres du GTC-FHR à soumettre </w:t>
            </w:r>
            <w:r w:rsidR="006B34A1" w:rsidRPr="00066CCB">
              <w:rPr>
                <w:lang w:val="fr-CH"/>
              </w:rPr>
              <w:t>leurs</w:t>
            </w:r>
            <w:r w:rsidRPr="00066CCB">
              <w:rPr>
                <w:lang w:val="fr-CH"/>
              </w:rPr>
              <w:t xml:space="preserve"> observations au Conseil afin que celui-ci les examine à sa session de 2018.</w:t>
            </w:r>
            <w:bookmarkEnd w:id="8"/>
          </w:p>
          <w:p w14:paraId="2FFE9E05" w14:textId="77777777" w:rsidR="00520F36" w:rsidRPr="00066CCB" w:rsidRDefault="00520F36" w:rsidP="00517BDB">
            <w:pPr>
              <w:pStyle w:val="Headingb"/>
              <w:rPr>
                <w:lang w:val="fr-CH"/>
              </w:rPr>
            </w:pPr>
            <w:r w:rsidRPr="00066CCB">
              <w:rPr>
                <w:lang w:val="fr-CH"/>
              </w:rPr>
              <w:t>Suite à donner</w:t>
            </w:r>
          </w:p>
          <w:p w14:paraId="5600F4B7" w14:textId="4C4A3408" w:rsidR="00332B47" w:rsidRPr="00066CCB" w:rsidRDefault="001B07E2" w:rsidP="00517BDB">
            <w:pPr>
              <w:spacing w:after="120"/>
              <w:rPr>
                <w:rFonts w:asciiTheme="minorHAnsi" w:hAnsiTheme="minorHAnsi" w:cstheme="minorHAnsi"/>
                <w:szCs w:val="24"/>
                <w:lang w:val="fr-CH"/>
              </w:rPr>
            </w:pPr>
            <w:bookmarkStart w:id="9" w:name="lt_pId017"/>
            <w:r w:rsidRPr="00066CCB">
              <w:rPr>
                <w:lang w:val="fr-CH"/>
              </w:rPr>
              <w:t>Compte tenu des observations fo</w:t>
            </w:r>
            <w:r w:rsidR="006B34A1" w:rsidRPr="00066CCB">
              <w:rPr>
                <w:lang w:val="fr-CH"/>
              </w:rPr>
              <w:t>rmulées par le GTC-FHR dans le D</w:t>
            </w:r>
            <w:r w:rsidRPr="00066CCB">
              <w:rPr>
                <w:lang w:val="fr-CH"/>
              </w:rPr>
              <w:t>ocument</w:t>
            </w:r>
            <w:r w:rsidR="00332B47" w:rsidRPr="00066CCB">
              <w:rPr>
                <w:rFonts w:asciiTheme="minorHAnsi" w:hAnsiTheme="minorHAnsi" w:cstheme="minorHAnsi"/>
                <w:szCs w:val="24"/>
                <w:lang w:val="fr-CH"/>
              </w:rPr>
              <w:t xml:space="preserve"> </w:t>
            </w:r>
            <w:hyperlink r:id="rId9" w:history="1">
              <w:r w:rsidR="00332B47" w:rsidRPr="00066CCB">
                <w:rPr>
                  <w:rStyle w:val="Hyperlink"/>
                  <w:rFonts w:asciiTheme="minorHAnsi" w:hAnsiTheme="minorHAnsi" w:cstheme="minorHAnsi"/>
                  <w:szCs w:val="24"/>
                  <w:lang w:val="fr-CH"/>
                </w:rPr>
                <w:t>C18/50</w:t>
              </w:r>
            </w:hyperlink>
            <w:r w:rsidR="00332B47" w:rsidRPr="00066CCB">
              <w:rPr>
                <w:rFonts w:asciiTheme="minorHAnsi" w:hAnsiTheme="minorHAnsi" w:cstheme="minorHAnsi"/>
                <w:szCs w:val="24"/>
                <w:lang w:val="fr-CH"/>
              </w:rPr>
              <w:t xml:space="preserve">, </w:t>
            </w:r>
            <w:r w:rsidRPr="00066CCB">
              <w:rPr>
                <w:rFonts w:asciiTheme="minorHAnsi" w:hAnsiTheme="minorHAnsi" w:cstheme="minorHAnsi"/>
                <w:szCs w:val="24"/>
                <w:lang w:val="fr-CH"/>
              </w:rPr>
              <w:t>le Conseil est invité à</w:t>
            </w:r>
            <w:r w:rsidR="00332B47" w:rsidRPr="00066CCB">
              <w:rPr>
                <w:rFonts w:asciiTheme="minorHAnsi" w:hAnsiTheme="minorHAnsi" w:cstheme="minorHAnsi"/>
                <w:szCs w:val="24"/>
                <w:lang w:val="fr-CH"/>
              </w:rPr>
              <w:t>:</w:t>
            </w:r>
            <w:bookmarkEnd w:id="9"/>
          </w:p>
          <w:p w14:paraId="7DB8F495" w14:textId="2FC15D39" w:rsidR="00332B47" w:rsidRPr="00066CCB" w:rsidRDefault="00332B47" w:rsidP="006B34A1">
            <w:pPr>
              <w:pStyle w:val="enumlev1"/>
              <w:rPr>
                <w:lang w:val="fr-CH"/>
              </w:rPr>
            </w:pPr>
            <w:bookmarkStart w:id="10" w:name="lt_pId018"/>
            <w:r w:rsidRPr="00066CCB">
              <w:rPr>
                <w:lang w:val="fr-CH"/>
              </w:rPr>
              <w:t>•</w:t>
            </w:r>
            <w:r w:rsidRPr="00066CCB">
              <w:rPr>
                <w:lang w:val="fr-CH"/>
              </w:rPr>
              <w:tab/>
            </w:r>
            <w:r w:rsidR="001B07E2" w:rsidRPr="00066CCB">
              <w:rPr>
                <w:lang w:val="fr-CH"/>
              </w:rPr>
              <w:t xml:space="preserve">adopter les lignes directrices relatives aux aspects éthiques de certaines activités </w:t>
            </w:r>
            <w:r w:rsidR="006B34A1" w:rsidRPr="00066CCB">
              <w:rPr>
                <w:lang w:val="fr-CH"/>
              </w:rPr>
              <w:t>susceptibles d</w:t>
            </w:r>
            <w:r w:rsidR="003B0FB4" w:rsidRPr="00066CCB">
              <w:rPr>
                <w:lang w:val="fr-CH"/>
              </w:rPr>
              <w:t>'</w:t>
            </w:r>
            <w:r w:rsidR="006B34A1" w:rsidRPr="00066CCB">
              <w:rPr>
                <w:lang w:val="fr-CH"/>
              </w:rPr>
              <w:t xml:space="preserve">être </w:t>
            </w:r>
            <w:r w:rsidR="001B07E2" w:rsidRPr="00066CCB">
              <w:rPr>
                <w:lang w:val="fr-CH"/>
              </w:rPr>
              <w:t xml:space="preserve">menées dans le cadre de </w:t>
            </w:r>
            <w:r w:rsidR="006B34A1" w:rsidRPr="00066CCB">
              <w:rPr>
                <w:lang w:val="fr-CH"/>
              </w:rPr>
              <w:t>la campagne</w:t>
            </w:r>
            <w:r w:rsidR="001B07E2" w:rsidRPr="00066CCB">
              <w:rPr>
                <w:lang w:val="fr-CH"/>
              </w:rPr>
              <w:t xml:space="preserve"> </w:t>
            </w:r>
            <w:r w:rsidR="00A859EC">
              <w:rPr>
                <w:lang w:val="fr-CH"/>
              </w:rPr>
              <w:t>électorale précéda</w:t>
            </w:r>
            <w:r w:rsidR="006B34A1" w:rsidRPr="00066CCB">
              <w:rPr>
                <w:lang w:val="fr-CH"/>
              </w:rPr>
              <w:t xml:space="preserve">nt </w:t>
            </w:r>
            <w:r w:rsidR="001B07E2" w:rsidRPr="00066CCB">
              <w:rPr>
                <w:lang w:val="fr-CH"/>
              </w:rPr>
              <w:t>la Conférence de plénipotentiaires de 2018;</w:t>
            </w:r>
            <w:bookmarkEnd w:id="10"/>
          </w:p>
          <w:p w14:paraId="3B8BEBBE" w14:textId="2822284E" w:rsidR="00520F36" w:rsidRPr="00066CCB" w:rsidRDefault="00332B47" w:rsidP="006B34A1">
            <w:pPr>
              <w:pStyle w:val="enumlev1"/>
              <w:rPr>
                <w:lang w:val="fr-CH"/>
              </w:rPr>
            </w:pPr>
            <w:bookmarkStart w:id="11" w:name="lt_pId019"/>
            <w:r w:rsidRPr="00066CCB">
              <w:rPr>
                <w:lang w:val="fr-CH"/>
              </w:rPr>
              <w:t>•</w:t>
            </w:r>
            <w:r w:rsidRPr="00066CCB">
              <w:rPr>
                <w:lang w:val="fr-CH"/>
              </w:rPr>
              <w:tab/>
            </w:r>
            <w:r w:rsidR="001B07E2" w:rsidRPr="00066CCB">
              <w:rPr>
                <w:lang w:val="fr-CH"/>
              </w:rPr>
              <w:t xml:space="preserve">faire suivre </w:t>
            </w:r>
            <w:r w:rsidR="006B34A1" w:rsidRPr="00066CCB">
              <w:rPr>
                <w:lang w:val="fr-CH"/>
              </w:rPr>
              <w:t xml:space="preserve">à la Conférence de plénipotentiaires de 2018 </w:t>
            </w:r>
            <w:r w:rsidR="001B07E2" w:rsidRPr="00066CCB">
              <w:rPr>
                <w:lang w:val="fr-CH"/>
              </w:rPr>
              <w:t>le présent document concernant l</w:t>
            </w:r>
            <w:r w:rsidR="003B0FB4" w:rsidRPr="00066CCB">
              <w:rPr>
                <w:lang w:val="fr-CH"/>
              </w:rPr>
              <w:t>'</w:t>
            </w:r>
            <w:r w:rsidR="001B07E2" w:rsidRPr="00066CCB">
              <w:rPr>
                <w:lang w:val="fr-CH"/>
              </w:rPr>
              <w:t>organisation d</w:t>
            </w:r>
            <w:r w:rsidR="003B0FB4" w:rsidRPr="00066CCB">
              <w:rPr>
                <w:lang w:val="fr-CH"/>
              </w:rPr>
              <w:t>'</w:t>
            </w:r>
            <w:r w:rsidR="006B34A1" w:rsidRPr="00066CCB">
              <w:rPr>
                <w:lang w:val="fr-CH"/>
              </w:rPr>
              <w:t>auditions pour l</w:t>
            </w:r>
            <w:r w:rsidR="001B07E2" w:rsidRPr="00066CCB">
              <w:rPr>
                <w:lang w:val="fr-CH"/>
              </w:rPr>
              <w:t xml:space="preserve">es candidats en vue </w:t>
            </w:r>
            <w:r w:rsidR="00A859EC">
              <w:rPr>
                <w:lang w:val="fr-CH"/>
              </w:rPr>
              <w:t xml:space="preserve">de </w:t>
            </w:r>
            <w:r w:rsidR="001B07E2" w:rsidRPr="00066CCB">
              <w:rPr>
                <w:lang w:val="fr-CH"/>
              </w:rPr>
              <w:t>débattre des questions découlant de l</w:t>
            </w:r>
            <w:r w:rsidR="003B0FB4" w:rsidRPr="00066CCB">
              <w:rPr>
                <w:lang w:val="fr-CH"/>
              </w:rPr>
              <w:t>'</w:t>
            </w:r>
            <w:r w:rsidR="001B07E2" w:rsidRPr="00066CCB">
              <w:rPr>
                <w:lang w:val="fr-CH"/>
              </w:rPr>
              <w:t>examen de ce sujet.</w:t>
            </w:r>
            <w:bookmarkEnd w:id="11"/>
            <w:r w:rsidR="006B34A1" w:rsidRPr="00066CCB">
              <w:rPr>
                <w:lang w:val="fr-CH"/>
              </w:rPr>
              <w:t xml:space="preserve"> </w:t>
            </w:r>
          </w:p>
          <w:p w14:paraId="01DFBC5B" w14:textId="77777777" w:rsidR="00520F36" w:rsidRDefault="00520F36" w:rsidP="006A680F">
            <w:pPr>
              <w:pStyle w:val="Table"/>
              <w:keepNext w:val="0"/>
              <w:spacing w:before="120" w:after="0"/>
              <w:rPr>
                <w:rFonts w:ascii="Calibri" w:hAnsi="Calibri"/>
                <w:caps w:val="0"/>
                <w:sz w:val="22"/>
                <w:lang w:val="fr-CH"/>
              </w:rPr>
            </w:pPr>
            <w:r w:rsidRPr="00066CCB">
              <w:rPr>
                <w:rFonts w:ascii="Calibri" w:hAnsi="Calibri"/>
                <w:caps w:val="0"/>
                <w:sz w:val="22"/>
                <w:lang w:val="fr-CH"/>
              </w:rPr>
              <w:t>____________</w:t>
            </w:r>
          </w:p>
          <w:p w14:paraId="39317688" w14:textId="77777777" w:rsidR="006A680F" w:rsidRPr="006A680F" w:rsidRDefault="006A680F" w:rsidP="006A680F">
            <w:pPr>
              <w:rPr>
                <w:lang w:val="fr-CH"/>
              </w:rPr>
            </w:pPr>
          </w:p>
          <w:p w14:paraId="7F49AAD9" w14:textId="77777777" w:rsidR="00520F36" w:rsidRPr="00066CCB" w:rsidRDefault="00520F36" w:rsidP="006A680F">
            <w:pPr>
              <w:pStyle w:val="Headingb"/>
              <w:rPr>
                <w:lang w:val="fr-CH"/>
              </w:rPr>
            </w:pPr>
            <w:r w:rsidRPr="00066CCB">
              <w:rPr>
                <w:lang w:val="fr-CH"/>
              </w:rPr>
              <w:lastRenderedPageBreak/>
              <w:t>Références</w:t>
            </w:r>
          </w:p>
          <w:p w14:paraId="482C4517" w14:textId="33311D04" w:rsidR="00332B47" w:rsidRPr="00066CCB" w:rsidRDefault="00F3535D" w:rsidP="006A680F">
            <w:pPr>
              <w:keepNext/>
              <w:keepLines/>
              <w:rPr>
                <w:i/>
                <w:iCs/>
                <w:lang w:val="fr-CH"/>
              </w:rPr>
            </w:pPr>
            <w:hyperlink r:id="rId10" w:history="1">
              <w:r w:rsidR="00332B47" w:rsidRPr="00066CCB">
                <w:rPr>
                  <w:rStyle w:val="Hyperlink"/>
                  <w:i/>
                  <w:iCs/>
                  <w:lang w:val="fr-CH"/>
                </w:rPr>
                <w:t>Résolution 58 (Rév.</w:t>
              </w:r>
              <w:r w:rsidR="006B34A1" w:rsidRPr="00066CCB">
                <w:rPr>
                  <w:rStyle w:val="Hyperlink"/>
                  <w:i/>
                  <w:iCs/>
                  <w:lang w:val="fr-CH"/>
                </w:rPr>
                <w:t xml:space="preserve"> </w:t>
              </w:r>
              <w:r w:rsidR="00332B47" w:rsidRPr="00066CCB">
                <w:rPr>
                  <w:rStyle w:val="Hyperlink"/>
                  <w:i/>
                  <w:iCs/>
                  <w:lang w:val="fr-CH"/>
                </w:rPr>
                <w:t>Busan, 2014)</w:t>
              </w:r>
              <w:r w:rsidR="006B34A1" w:rsidRPr="00066CCB">
                <w:rPr>
                  <w:rStyle w:val="Hyperlink"/>
                  <w:i/>
                  <w:iCs/>
                  <w:lang w:val="fr-CH"/>
                </w:rPr>
                <w:t xml:space="preserve"> de la Conférence de plénipotentiaires</w:t>
              </w:r>
            </w:hyperlink>
            <w:r w:rsidR="00332B47" w:rsidRPr="00066CCB">
              <w:rPr>
                <w:i/>
                <w:iCs/>
                <w:lang w:val="fr-CH"/>
              </w:rPr>
              <w:t xml:space="preserve">; </w:t>
            </w:r>
            <w:hyperlink r:id="rId11" w:history="1">
              <w:r w:rsidR="00332B47" w:rsidRPr="00066CCB">
                <w:rPr>
                  <w:rStyle w:val="Hyperlink"/>
                  <w:i/>
                  <w:iCs/>
                  <w:lang w:val="fr-CH"/>
                </w:rPr>
                <w:t>Décision</w:t>
              </w:r>
              <w:r w:rsidR="006B34A1" w:rsidRPr="00066CCB">
                <w:rPr>
                  <w:rStyle w:val="Hyperlink"/>
                  <w:i/>
                  <w:iCs/>
                  <w:lang w:val="fr-CH"/>
                </w:rPr>
                <w:t> </w:t>
              </w:r>
              <w:r w:rsidR="00332B47" w:rsidRPr="00066CCB">
                <w:rPr>
                  <w:rStyle w:val="Hyperlink"/>
                  <w:i/>
                  <w:iCs/>
                  <w:lang w:val="fr-CH"/>
                </w:rPr>
                <w:t>5 (Annexe 2)</w:t>
              </w:r>
              <w:r w:rsidR="006B34A1" w:rsidRPr="00066CCB">
                <w:rPr>
                  <w:rStyle w:val="Hyperlink"/>
                  <w:i/>
                  <w:iCs/>
                  <w:lang w:val="fr-CH"/>
                </w:rPr>
                <w:t xml:space="preserve"> de la Conférence de plénipotentiaires</w:t>
              </w:r>
            </w:hyperlink>
            <w:r w:rsidR="00332B47" w:rsidRPr="00066CCB">
              <w:rPr>
                <w:i/>
                <w:iCs/>
                <w:lang w:val="fr-CH"/>
              </w:rPr>
              <w:t xml:space="preserve">; </w:t>
            </w:r>
            <w:hyperlink r:id="rId12" w:history="1">
              <w:r w:rsidR="00332B47" w:rsidRPr="00066CCB">
                <w:rPr>
                  <w:rStyle w:val="Hyperlink"/>
                  <w:i/>
                  <w:iCs/>
                  <w:lang w:val="fr-CH"/>
                </w:rPr>
                <w:t>numéro 175</w:t>
              </w:r>
              <w:r w:rsidR="001B07E2" w:rsidRPr="00066CCB">
                <w:rPr>
                  <w:rStyle w:val="Hyperlink"/>
                  <w:i/>
                  <w:iCs/>
                  <w:lang w:val="fr-CH"/>
                </w:rPr>
                <w:t>A</w:t>
              </w:r>
              <w:r w:rsidR="00332B47" w:rsidRPr="00066CCB">
                <w:rPr>
                  <w:rStyle w:val="Hyperlink"/>
                  <w:i/>
                  <w:iCs/>
                  <w:lang w:val="fr-CH"/>
                </w:rPr>
                <w:t xml:space="preserve"> des Règles générales régissant les conférences, assemblées et réunions de l</w:t>
              </w:r>
              <w:r w:rsidR="003B0FB4" w:rsidRPr="00066CCB">
                <w:rPr>
                  <w:rStyle w:val="Hyperlink"/>
                  <w:i/>
                  <w:iCs/>
                  <w:lang w:val="fr-CH"/>
                </w:rPr>
                <w:t>'</w:t>
              </w:r>
              <w:r w:rsidR="00332B47" w:rsidRPr="00066CCB">
                <w:rPr>
                  <w:rStyle w:val="Hyperlink"/>
                  <w:i/>
                  <w:iCs/>
                  <w:lang w:val="fr-CH"/>
                </w:rPr>
                <w:t>Union</w:t>
              </w:r>
            </w:hyperlink>
            <w:r w:rsidR="001B07E2" w:rsidRPr="00066CCB">
              <w:rPr>
                <w:rStyle w:val="Hyperlink"/>
                <w:i/>
                <w:iCs/>
                <w:lang w:val="fr-CH"/>
              </w:rPr>
              <w:t>,</w:t>
            </w:r>
          </w:p>
          <w:p w14:paraId="6563504E" w14:textId="1467704A" w:rsidR="00332B47" w:rsidRPr="00066CCB" w:rsidRDefault="00332B47" w:rsidP="006A680F">
            <w:pPr>
              <w:keepNext/>
              <w:keepLines/>
              <w:spacing w:before="0" w:after="120"/>
              <w:contextualSpacing/>
              <w:rPr>
                <w:i/>
                <w:iCs/>
                <w:lang w:val="fr-CH"/>
              </w:rPr>
            </w:pPr>
            <w:r w:rsidRPr="00066CCB">
              <w:rPr>
                <w:i/>
                <w:iCs/>
                <w:lang w:val="fr-CH"/>
              </w:rPr>
              <w:t xml:space="preserve">Documents </w:t>
            </w:r>
            <w:hyperlink r:id="rId13" w:history="1">
              <w:r w:rsidR="00C51A97" w:rsidRPr="00066CCB">
                <w:rPr>
                  <w:rStyle w:val="Hyperlink"/>
                  <w:rFonts w:asciiTheme="minorHAnsi" w:hAnsiTheme="minorHAnsi" w:cstheme="minorHAnsi"/>
                  <w:i/>
                  <w:iCs/>
                  <w:lang w:val="fr-CH"/>
                </w:rPr>
                <w:t>PP-14/DT/66</w:t>
              </w:r>
            </w:hyperlink>
            <w:r w:rsidR="00C51A97" w:rsidRPr="00066CCB">
              <w:rPr>
                <w:rFonts w:asciiTheme="minorHAnsi" w:hAnsiTheme="minorHAnsi" w:cstheme="minorHAnsi"/>
                <w:i/>
                <w:iCs/>
                <w:lang w:val="fr-CH"/>
              </w:rPr>
              <w:t xml:space="preserve">, </w:t>
            </w:r>
            <w:hyperlink r:id="rId14" w:history="1">
              <w:r w:rsidR="00C51A97" w:rsidRPr="00066CCB">
                <w:rPr>
                  <w:rStyle w:val="Hyperlink"/>
                  <w:rFonts w:asciiTheme="minorHAnsi" w:hAnsiTheme="minorHAnsi" w:cstheme="minorHAnsi"/>
                  <w:i/>
                  <w:iCs/>
                  <w:lang w:val="fr-CH"/>
                </w:rPr>
                <w:t>PP-14/175 (Recommandation 8)</w:t>
              </w:r>
            </w:hyperlink>
            <w:r w:rsidR="00C51A97" w:rsidRPr="00066CCB">
              <w:rPr>
                <w:rFonts w:asciiTheme="minorHAnsi" w:hAnsiTheme="minorHAnsi" w:cstheme="minorHAnsi"/>
                <w:i/>
                <w:iCs/>
                <w:lang w:val="fr-CH"/>
              </w:rPr>
              <w:t xml:space="preserve">, </w:t>
            </w:r>
            <w:hyperlink r:id="rId15" w:history="1">
              <w:r w:rsidR="00C51A97" w:rsidRPr="00066CCB">
                <w:rPr>
                  <w:rStyle w:val="Hyperlink"/>
                  <w:rFonts w:asciiTheme="minorHAnsi" w:hAnsiTheme="minorHAnsi" w:cstheme="minorHAnsi"/>
                  <w:i/>
                  <w:iCs/>
                  <w:lang w:val="fr-CH"/>
                </w:rPr>
                <w:t>C15/99</w:t>
              </w:r>
            </w:hyperlink>
            <w:r w:rsidR="00C51A97" w:rsidRPr="00066CCB">
              <w:rPr>
                <w:i/>
                <w:iCs/>
                <w:lang w:val="fr-CH"/>
              </w:rPr>
              <w:t xml:space="preserve">, </w:t>
            </w:r>
            <w:hyperlink r:id="rId16" w:history="1">
              <w:r w:rsidR="00C51A97" w:rsidRPr="00066CCB">
                <w:rPr>
                  <w:rStyle w:val="Hyperlink"/>
                  <w:rFonts w:asciiTheme="minorHAnsi" w:hAnsiTheme="minorHAnsi" w:cstheme="minorHAnsi"/>
                  <w:i/>
                  <w:iCs/>
                  <w:lang w:val="fr-CH"/>
                </w:rPr>
                <w:t>C16/4</w:t>
              </w:r>
            </w:hyperlink>
            <w:r w:rsidR="00C51A97" w:rsidRPr="00066CCB">
              <w:rPr>
                <w:i/>
                <w:iCs/>
                <w:lang w:val="fr-CH"/>
              </w:rPr>
              <w:t xml:space="preserve">, </w:t>
            </w:r>
            <w:hyperlink r:id="rId17" w:history="1">
              <w:r w:rsidR="00C51A97" w:rsidRPr="00066CCB">
                <w:rPr>
                  <w:rStyle w:val="Hyperlink"/>
                  <w:rFonts w:asciiTheme="minorHAnsi" w:hAnsiTheme="minorHAnsi" w:cstheme="minorHAnsi"/>
                  <w:i/>
                  <w:iCs/>
                  <w:lang w:val="fr-CH"/>
                </w:rPr>
                <w:t>C16/100</w:t>
              </w:r>
            </w:hyperlink>
            <w:r w:rsidR="00C51A97" w:rsidRPr="00066CCB">
              <w:rPr>
                <w:i/>
                <w:iCs/>
                <w:lang w:val="fr-CH"/>
              </w:rPr>
              <w:t xml:space="preserve">, </w:t>
            </w:r>
            <w:hyperlink r:id="rId18" w:history="1">
              <w:r w:rsidR="00C51A97" w:rsidRPr="00066CCB">
                <w:rPr>
                  <w:rStyle w:val="Hyperlink"/>
                  <w:rFonts w:asciiTheme="minorHAnsi" w:hAnsiTheme="minorHAnsi" w:cstheme="minorHAnsi"/>
                  <w:i/>
                  <w:iCs/>
                  <w:lang w:val="fr-CH"/>
                </w:rPr>
                <w:t>C17/4</w:t>
              </w:r>
            </w:hyperlink>
            <w:r w:rsidR="00C51A97" w:rsidRPr="00066CCB">
              <w:rPr>
                <w:i/>
                <w:iCs/>
                <w:lang w:val="fr-CH"/>
              </w:rPr>
              <w:t xml:space="preserve">, </w:t>
            </w:r>
            <w:hyperlink r:id="rId19" w:history="1">
              <w:r w:rsidR="00C51A97" w:rsidRPr="00066CCB">
                <w:rPr>
                  <w:rStyle w:val="Hyperlink"/>
                  <w:rFonts w:asciiTheme="minorHAnsi" w:hAnsiTheme="minorHAnsi" w:cstheme="minorHAnsi"/>
                  <w:i/>
                  <w:iCs/>
                  <w:lang w:val="fr-CH"/>
                </w:rPr>
                <w:t>C17/76</w:t>
              </w:r>
            </w:hyperlink>
            <w:r w:rsidR="00C51A97" w:rsidRPr="00066CCB">
              <w:rPr>
                <w:i/>
                <w:iCs/>
                <w:lang w:val="fr-CH"/>
              </w:rPr>
              <w:t xml:space="preserve">, </w:t>
            </w:r>
            <w:hyperlink r:id="rId20" w:history="1">
              <w:r w:rsidR="00C51A97" w:rsidRPr="00066CCB">
                <w:rPr>
                  <w:rStyle w:val="Hyperlink"/>
                  <w:rFonts w:asciiTheme="minorHAnsi" w:hAnsiTheme="minorHAnsi" w:cstheme="minorHAnsi"/>
                  <w:i/>
                  <w:iCs/>
                  <w:lang w:val="fr-CH"/>
                </w:rPr>
                <w:t>C17/96</w:t>
              </w:r>
            </w:hyperlink>
            <w:r w:rsidR="00C51A97" w:rsidRPr="00066CCB">
              <w:rPr>
                <w:i/>
                <w:iCs/>
                <w:lang w:val="fr-CH"/>
              </w:rPr>
              <w:t xml:space="preserve">, </w:t>
            </w:r>
            <w:hyperlink r:id="rId21" w:history="1">
              <w:r w:rsidR="00C51A97" w:rsidRPr="00066CCB">
                <w:rPr>
                  <w:rStyle w:val="Hyperlink"/>
                  <w:rFonts w:asciiTheme="minorHAnsi" w:hAnsiTheme="minorHAnsi" w:cstheme="minorHAnsi"/>
                  <w:i/>
                  <w:iCs/>
                  <w:lang w:val="fr-CH"/>
                </w:rPr>
                <w:t>C17/130</w:t>
              </w:r>
            </w:hyperlink>
            <w:r w:rsidR="00C51A97" w:rsidRPr="00066CCB">
              <w:rPr>
                <w:i/>
                <w:iCs/>
                <w:lang w:val="fr-CH"/>
              </w:rPr>
              <w:t xml:space="preserve">, </w:t>
            </w:r>
            <w:hyperlink r:id="rId22" w:history="1">
              <w:r w:rsidR="00C51A97" w:rsidRPr="00066CCB">
                <w:rPr>
                  <w:rStyle w:val="Hyperlink"/>
                  <w:rFonts w:asciiTheme="minorHAnsi" w:hAnsiTheme="minorHAnsi" w:cstheme="minorHAnsi"/>
                  <w:i/>
                  <w:iCs/>
                  <w:lang w:val="fr-CH"/>
                </w:rPr>
                <w:t>C17/INF/6</w:t>
              </w:r>
            </w:hyperlink>
            <w:r w:rsidR="00C51A97" w:rsidRPr="00066CCB">
              <w:rPr>
                <w:i/>
                <w:iCs/>
                <w:lang w:val="fr-CH"/>
              </w:rPr>
              <w:t xml:space="preserve">, </w:t>
            </w:r>
            <w:hyperlink r:id="rId23" w:history="1">
              <w:r w:rsidR="00C51A97" w:rsidRPr="00066CCB">
                <w:rPr>
                  <w:rStyle w:val="Hyperlink"/>
                  <w:rFonts w:asciiTheme="minorHAnsi" w:hAnsiTheme="minorHAnsi" w:cstheme="minorHAnsi"/>
                  <w:i/>
                  <w:iCs/>
                  <w:lang w:val="fr-CH"/>
                </w:rPr>
                <w:t>C17/DL/8</w:t>
              </w:r>
            </w:hyperlink>
            <w:r w:rsidR="00C51A97" w:rsidRPr="00066CCB">
              <w:rPr>
                <w:i/>
                <w:iCs/>
                <w:lang w:val="fr-CH"/>
              </w:rPr>
              <w:t xml:space="preserve">, </w:t>
            </w:r>
            <w:hyperlink r:id="rId24" w:history="1">
              <w:r w:rsidR="00C51A97" w:rsidRPr="00066CCB">
                <w:rPr>
                  <w:rStyle w:val="Hyperlink"/>
                  <w:rFonts w:asciiTheme="minorHAnsi" w:hAnsiTheme="minorHAnsi" w:cstheme="minorHAnsi"/>
                  <w:i/>
                  <w:iCs/>
                  <w:lang w:val="fr-CH"/>
                </w:rPr>
                <w:t>C18/50</w:t>
              </w:r>
            </w:hyperlink>
            <w:r w:rsidR="00C51A97" w:rsidRPr="00066CCB">
              <w:rPr>
                <w:i/>
                <w:iCs/>
                <w:lang w:val="fr-CH"/>
              </w:rPr>
              <w:t xml:space="preserve">; </w:t>
            </w:r>
            <w:hyperlink r:id="rId25" w:history="1">
              <w:r w:rsidR="00C51A97" w:rsidRPr="00066CCB">
                <w:rPr>
                  <w:rStyle w:val="Hyperlink"/>
                  <w:rFonts w:asciiTheme="minorHAnsi" w:hAnsiTheme="minorHAnsi" w:cstheme="minorHAnsi"/>
                  <w:i/>
                  <w:iCs/>
                  <w:lang w:val="fr-CH"/>
                </w:rPr>
                <w:t>CWG</w:t>
              </w:r>
              <w:r w:rsidR="009B73CD" w:rsidRPr="00066CCB">
                <w:rPr>
                  <w:rStyle w:val="Hyperlink"/>
                  <w:rFonts w:asciiTheme="minorHAnsi" w:hAnsiTheme="minorHAnsi" w:cstheme="minorHAnsi"/>
                  <w:i/>
                  <w:iCs/>
                  <w:lang w:val="fr-CH"/>
                </w:rPr>
                <w:noBreakHyphen/>
              </w:r>
              <w:r w:rsidR="00C51A97" w:rsidRPr="00066CCB">
                <w:rPr>
                  <w:rStyle w:val="Hyperlink"/>
                  <w:rFonts w:asciiTheme="minorHAnsi" w:hAnsiTheme="minorHAnsi" w:cstheme="minorHAnsi"/>
                  <w:i/>
                  <w:iCs/>
                  <w:lang w:val="fr-CH"/>
                </w:rPr>
                <w:t>FHR 7/10</w:t>
              </w:r>
            </w:hyperlink>
          </w:p>
          <w:p w14:paraId="37A57DF0" w14:textId="42AB79E7" w:rsidR="00520F36" w:rsidRPr="00066CCB" w:rsidRDefault="00332B47" w:rsidP="006A680F">
            <w:pPr>
              <w:keepNext/>
              <w:keepLines/>
              <w:spacing w:after="120"/>
              <w:rPr>
                <w:i/>
                <w:iCs/>
                <w:lang w:val="fr-CH"/>
              </w:rPr>
            </w:pPr>
            <w:r w:rsidRPr="00066CCB">
              <w:rPr>
                <w:i/>
                <w:iCs/>
                <w:lang w:val="fr-CH"/>
              </w:rPr>
              <w:t xml:space="preserve">Lettres circulaires </w:t>
            </w:r>
            <w:hyperlink r:id="rId26" w:history="1">
              <w:r w:rsidRPr="00066CCB">
                <w:rPr>
                  <w:rStyle w:val="Hyperlink"/>
                  <w:i/>
                  <w:iCs/>
                  <w:lang w:val="fr-CH"/>
                </w:rPr>
                <w:t>CL-16/48</w:t>
              </w:r>
            </w:hyperlink>
            <w:r w:rsidRPr="00066CCB">
              <w:rPr>
                <w:i/>
                <w:iCs/>
                <w:lang w:val="fr-CH"/>
              </w:rPr>
              <w:t xml:space="preserve">, </w:t>
            </w:r>
            <w:hyperlink r:id="rId27" w:history="1">
              <w:r w:rsidRPr="00066CCB">
                <w:rPr>
                  <w:rStyle w:val="Hyperlink"/>
                  <w:i/>
                  <w:iCs/>
                  <w:lang w:val="fr-CH"/>
                </w:rPr>
                <w:t>CL-17/07</w:t>
              </w:r>
            </w:hyperlink>
          </w:p>
        </w:tc>
      </w:tr>
    </w:tbl>
    <w:p w14:paraId="5F48A78F" w14:textId="77777777" w:rsidR="00571EEA" w:rsidRPr="00066CCB" w:rsidRDefault="008332CF" w:rsidP="00DF6EF8">
      <w:pPr>
        <w:pStyle w:val="Headingb"/>
        <w:spacing w:before="240"/>
        <w:rPr>
          <w:lang w:val="fr-CH"/>
        </w:rPr>
      </w:pPr>
      <w:r w:rsidRPr="00066CCB">
        <w:rPr>
          <w:lang w:val="fr-CH"/>
        </w:rPr>
        <w:lastRenderedPageBreak/>
        <w:t>Introduction</w:t>
      </w:r>
    </w:p>
    <w:p w14:paraId="015111BD" w14:textId="7F4C2095" w:rsidR="008332CF" w:rsidRPr="00066CCB" w:rsidRDefault="008332CF" w:rsidP="006B34A1">
      <w:pPr>
        <w:rPr>
          <w:lang w:val="fr-CH"/>
        </w:rPr>
      </w:pPr>
      <w:r w:rsidRPr="00066CCB">
        <w:rPr>
          <w:lang w:val="fr-CH"/>
        </w:rPr>
        <w:t>1</w:t>
      </w:r>
      <w:r w:rsidRPr="00066CCB">
        <w:rPr>
          <w:lang w:val="fr-CH"/>
        </w:rPr>
        <w:tab/>
      </w:r>
      <w:bookmarkStart w:id="12" w:name="lt_pId090"/>
      <w:r w:rsidRPr="00066CCB">
        <w:rPr>
          <w:lang w:val="fr-CH"/>
        </w:rPr>
        <w:t>Lors de la 17ème séance plénière de la PP-14, les Etats Membres sont convenus de la nécessité d</w:t>
      </w:r>
      <w:r w:rsidR="003B0FB4" w:rsidRPr="00066CCB">
        <w:rPr>
          <w:lang w:val="fr-CH"/>
        </w:rPr>
        <w:t>'</w:t>
      </w:r>
      <w:r w:rsidRPr="00066CCB">
        <w:rPr>
          <w:lang w:val="fr-CH"/>
        </w:rPr>
        <w:t>améliorer le processus d</w:t>
      </w:r>
      <w:r w:rsidR="003B0FB4" w:rsidRPr="00066CCB">
        <w:rPr>
          <w:lang w:val="fr-CH"/>
        </w:rPr>
        <w:t>'</w:t>
      </w:r>
      <w:r w:rsidRPr="00066CCB">
        <w:rPr>
          <w:lang w:val="fr-CH"/>
        </w:rPr>
        <w:t>élection et ont approuvé la Recommandation 8 de la Commission 5, libellée comme suit:</w:t>
      </w:r>
      <w:bookmarkEnd w:id="12"/>
      <w:r w:rsidR="006B34A1" w:rsidRPr="00066CCB">
        <w:rPr>
          <w:lang w:val="fr-CH"/>
        </w:rPr>
        <w:t xml:space="preserve"> </w:t>
      </w:r>
    </w:p>
    <w:p w14:paraId="1E222BA5" w14:textId="7149FB7A" w:rsidR="008332CF" w:rsidRPr="00066CCB" w:rsidRDefault="008332CF" w:rsidP="00517BDB">
      <w:pPr>
        <w:pStyle w:val="enumlev1"/>
        <w:rPr>
          <w:i/>
          <w:iCs/>
          <w:lang w:val="fr-CH"/>
        </w:rPr>
      </w:pPr>
      <w:bookmarkStart w:id="13" w:name="lt_pId091"/>
      <w:r w:rsidRPr="00066CCB">
        <w:rPr>
          <w:i/>
          <w:iCs/>
          <w:lang w:val="fr-CH"/>
        </w:rPr>
        <w:tab/>
        <w:t>Il est souhaitable d</w:t>
      </w:r>
      <w:r w:rsidR="003B0FB4" w:rsidRPr="00066CCB">
        <w:rPr>
          <w:i/>
          <w:iCs/>
          <w:lang w:val="fr-CH"/>
        </w:rPr>
        <w:t>'</w:t>
      </w:r>
      <w:r w:rsidRPr="00066CCB">
        <w:rPr>
          <w:i/>
          <w:iCs/>
          <w:lang w:val="fr-CH"/>
        </w:rPr>
        <w:t>améliorer la procédure appliquée à l</w:t>
      </w:r>
      <w:r w:rsidR="003B0FB4" w:rsidRPr="00066CCB">
        <w:rPr>
          <w:i/>
          <w:iCs/>
          <w:lang w:val="fr-CH"/>
        </w:rPr>
        <w:t>'</w:t>
      </w:r>
      <w:r w:rsidRPr="00066CCB">
        <w:rPr>
          <w:i/>
          <w:iCs/>
          <w:lang w:val="fr-CH"/>
        </w:rPr>
        <w:t>UIT pour l</w:t>
      </w:r>
      <w:r w:rsidR="003B0FB4" w:rsidRPr="00066CCB">
        <w:rPr>
          <w:i/>
          <w:iCs/>
          <w:lang w:val="fr-CH"/>
        </w:rPr>
        <w:t>'</w:t>
      </w:r>
      <w:r w:rsidRPr="00066CCB">
        <w:rPr>
          <w:i/>
          <w:iCs/>
          <w:lang w:val="fr-CH"/>
        </w:rPr>
        <w:t>élection des fonctionnaires élus. A cet égard, le Conseil devrait étudier la question et recommander aux Etats Membres des options permettant de mettre en oeuvre de nouvelles procédures propres à améliorer le processus d</w:t>
      </w:r>
      <w:r w:rsidR="003B0FB4" w:rsidRPr="00066CCB">
        <w:rPr>
          <w:i/>
          <w:iCs/>
          <w:lang w:val="fr-CH"/>
        </w:rPr>
        <w:t>'</w:t>
      </w:r>
      <w:r w:rsidRPr="00066CCB">
        <w:rPr>
          <w:i/>
          <w:iCs/>
          <w:lang w:val="fr-CH"/>
        </w:rPr>
        <w:t>élection du Secrétaire général, du Vice-Secrétaire général et des Directeurs des Bureaux. Il conviendrait de tenir dûment compte de plusieurs options, telles que l</w:t>
      </w:r>
      <w:r w:rsidR="003B0FB4" w:rsidRPr="00066CCB">
        <w:rPr>
          <w:i/>
          <w:iCs/>
          <w:lang w:val="fr-CH"/>
        </w:rPr>
        <w:t>'</w:t>
      </w:r>
      <w:r w:rsidRPr="00066CCB">
        <w:rPr>
          <w:i/>
          <w:iCs/>
          <w:lang w:val="fr-CH"/>
        </w:rPr>
        <w:t>organisation d</w:t>
      </w:r>
      <w:r w:rsidR="003B0FB4" w:rsidRPr="00066CCB">
        <w:rPr>
          <w:i/>
          <w:iCs/>
          <w:lang w:val="fr-CH"/>
        </w:rPr>
        <w:t>'</w:t>
      </w:r>
      <w:r w:rsidRPr="00066CCB">
        <w:rPr>
          <w:i/>
          <w:iCs/>
          <w:lang w:val="fr-CH"/>
        </w:rPr>
        <w:t>exposés, de séances interactives, de séances en direct et d</w:t>
      </w:r>
      <w:r w:rsidR="003B0FB4" w:rsidRPr="00066CCB">
        <w:rPr>
          <w:i/>
          <w:iCs/>
          <w:lang w:val="fr-CH"/>
        </w:rPr>
        <w:t>'</w:t>
      </w:r>
      <w:r w:rsidRPr="00066CCB">
        <w:rPr>
          <w:i/>
          <w:iCs/>
          <w:lang w:val="fr-CH"/>
        </w:rPr>
        <w:t>entretiens et la soumission de questions, par le biais de la diffusion sur le web et de la participation à distance, ou encore l</w:t>
      </w:r>
      <w:r w:rsidR="003B0FB4" w:rsidRPr="00066CCB">
        <w:rPr>
          <w:i/>
          <w:iCs/>
          <w:lang w:val="fr-CH"/>
        </w:rPr>
        <w:t>'</w:t>
      </w:r>
      <w:r w:rsidRPr="00066CCB">
        <w:rPr>
          <w:i/>
          <w:iCs/>
          <w:lang w:val="fr-CH"/>
        </w:rPr>
        <w:t>amélioration du portail des élections sur le site web de l</w:t>
      </w:r>
      <w:r w:rsidR="003B0FB4" w:rsidRPr="00066CCB">
        <w:rPr>
          <w:i/>
          <w:iCs/>
          <w:lang w:val="fr-CH"/>
        </w:rPr>
        <w:t>'</w:t>
      </w:r>
      <w:r w:rsidRPr="00066CCB">
        <w:rPr>
          <w:i/>
          <w:iCs/>
          <w:lang w:val="fr-CH"/>
        </w:rPr>
        <w:t>UIT. Le Conseil est invité à engager ces études à sa session de 2015 en vue de mettre en oeuvre ces améliorations éventuelles.</w:t>
      </w:r>
      <w:bookmarkEnd w:id="13"/>
    </w:p>
    <w:p w14:paraId="1FF12453" w14:textId="05D3FA56" w:rsidR="008332CF" w:rsidRPr="00066CCB" w:rsidRDefault="008332CF" w:rsidP="00382DBE">
      <w:pPr>
        <w:rPr>
          <w:rFonts w:asciiTheme="minorHAnsi" w:hAnsiTheme="minorHAnsi" w:cstheme="minorHAnsi"/>
          <w:szCs w:val="24"/>
          <w:lang w:val="fr-CH"/>
        </w:rPr>
      </w:pPr>
      <w:r w:rsidRPr="00066CCB">
        <w:rPr>
          <w:lang w:val="fr-CH"/>
        </w:rPr>
        <w:t>2</w:t>
      </w:r>
      <w:r w:rsidRPr="00066CCB">
        <w:rPr>
          <w:lang w:val="fr-CH"/>
        </w:rPr>
        <w:tab/>
        <w:t>A sa session de 2015, le Conseil a demandé au secrétariat d</w:t>
      </w:r>
      <w:r w:rsidR="003B0FB4" w:rsidRPr="00066CCB">
        <w:rPr>
          <w:lang w:val="fr-CH"/>
        </w:rPr>
        <w:t>'</w:t>
      </w:r>
      <w:r w:rsidRPr="00066CCB">
        <w:rPr>
          <w:lang w:val="fr-CH"/>
        </w:rPr>
        <w:t>élaborer un document sur les améliorations qui pourraient être apportées à l</w:t>
      </w:r>
      <w:r w:rsidR="003B0FB4" w:rsidRPr="00066CCB">
        <w:rPr>
          <w:lang w:val="fr-CH"/>
        </w:rPr>
        <w:t>'</w:t>
      </w:r>
      <w:r w:rsidRPr="00066CCB">
        <w:rPr>
          <w:lang w:val="fr-CH"/>
        </w:rPr>
        <w:t>organisation de la Conférence de plénipotentiaires (PP). Le Document</w:t>
      </w:r>
      <w:r w:rsidR="00382DBE" w:rsidRPr="00066CCB">
        <w:rPr>
          <w:lang w:val="fr-CH"/>
        </w:rPr>
        <w:t xml:space="preserve"> </w:t>
      </w:r>
      <w:hyperlink r:id="rId28" w:history="1">
        <w:r w:rsidRPr="00066CCB">
          <w:rPr>
            <w:rStyle w:val="Hyperlink"/>
            <w:lang w:val="fr-CH"/>
          </w:rPr>
          <w:t>C16/4</w:t>
        </w:r>
      </w:hyperlink>
      <w:r w:rsidRPr="00066CCB">
        <w:rPr>
          <w:lang w:val="fr-CH"/>
        </w:rPr>
        <w:t>, "Améliorations susceptibles d</w:t>
      </w:r>
      <w:r w:rsidR="003B0FB4" w:rsidRPr="00066CCB">
        <w:rPr>
          <w:lang w:val="fr-CH"/>
        </w:rPr>
        <w:t>'</w:t>
      </w:r>
      <w:r w:rsidRPr="00066CCB">
        <w:rPr>
          <w:lang w:val="fr-CH"/>
        </w:rPr>
        <w:t>être apportées à l</w:t>
      </w:r>
      <w:r w:rsidR="003B0FB4" w:rsidRPr="00066CCB">
        <w:rPr>
          <w:lang w:val="fr-CH"/>
        </w:rPr>
        <w:t>'</w:t>
      </w:r>
      <w:r w:rsidRPr="00066CCB">
        <w:rPr>
          <w:lang w:val="fr-CH"/>
        </w:rPr>
        <w:t>organisation de la conférence de plénipotentiaires" a été examiné lors de la session 2016 du Conseil</w:t>
      </w:r>
      <w:r w:rsidR="00A161A5" w:rsidRPr="00066CCB">
        <w:rPr>
          <w:lang w:val="fr-CH"/>
        </w:rPr>
        <w:t xml:space="preserve">, à la suite de quoi </w:t>
      </w:r>
      <w:r w:rsidR="00382DBE" w:rsidRPr="00066CCB">
        <w:rPr>
          <w:lang w:val="fr-CH"/>
        </w:rPr>
        <w:t>celui-ci</w:t>
      </w:r>
      <w:r w:rsidR="00A161A5" w:rsidRPr="00066CCB">
        <w:rPr>
          <w:lang w:val="fr-CH"/>
        </w:rPr>
        <w:t xml:space="preserve"> a chargé le Secrétaire général de continuer à consulter les Etats Membres, d</w:t>
      </w:r>
      <w:r w:rsidR="003B0FB4" w:rsidRPr="00066CCB">
        <w:rPr>
          <w:lang w:val="fr-CH"/>
        </w:rPr>
        <w:t>'</w:t>
      </w:r>
      <w:r w:rsidR="00A161A5" w:rsidRPr="00066CCB">
        <w:rPr>
          <w:lang w:val="fr-CH"/>
        </w:rPr>
        <w:t>approfondir ses propositions d</w:t>
      </w:r>
      <w:r w:rsidR="003B0FB4" w:rsidRPr="00066CCB">
        <w:rPr>
          <w:lang w:val="fr-CH"/>
        </w:rPr>
        <w:t>'</w:t>
      </w:r>
      <w:r w:rsidR="00A161A5" w:rsidRPr="00066CCB">
        <w:rPr>
          <w:lang w:val="fr-CH"/>
        </w:rPr>
        <w:t xml:space="preserve">améliorations destinées à la PP, </w:t>
      </w:r>
      <w:r w:rsidRPr="00066CCB">
        <w:rPr>
          <w:lang w:val="fr-CH"/>
        </w:rPr>
        <w:t xml:space="preserve">et de faire rapport au Conseil </w:t>
      </w:r>
      <w:r w:rsidR="00A161A5" w:rsidRPr="00066CCB">
        <w:rPr>
          <w:lang w:val="fr-CH"/>
        </w:rPr>
        <w:t xml:space="preserve">à sa session de </w:t>
      </w:r>
      <w:r w:rsidRPr="00066CCB">
        <w:rPr>
          <w:lang w:val="fr-CH"/>
        </w:rPr>
        <w:t>2017</w:t>
      </w:r>
      <w:r w:rsidRPr="00066CCB">
        <w:rPr>
          <w:rFonts w:asciiTheme="minorHAnsi" w:hAnsiTheme="minorHAnsi" w:cstheme="minorHAnsi"/>
          <w:szCs w:val="24"/>
          <w:lang w:val="fr-CH"/>
        </w:rPr>
        <w:t>.</w:t>
      </w:r>
    </w:p>
    <w:p w14:paraId="010B38CB" w14:textId="374F788C" w:rsidR="008332CF" w:rsidRPr="00066CCB" w:rsidRDefault="008332CF" w:rsidP="00382DBE">
      <w:pPr>
        <w:rPr>
          <w:rFonts w:asciiTheme="minorHAnsi" w:hAnsiTheme="minorHAnsi" w:cstheme="minorHAnsi"/>
          <w:szCs w:val="24"/>
          <w:lang w:val="fr-CH"/>
        </w:rPr>
      </w:pPr>
      <w:r w:rsidRPr="00066CCB">
        <w:rPr>
          <w:rFonts w:asciiTheme="minorHAnsi" w:hAnsiTheme="minorHAnsi" w:cstheme="minorHAnsi"/>
          <w:szCs w:val="24"/>
          <w:lang w:val="fr-CH"/>
        </w:rPr>
        <w:t>3</w:t>
      </w:r>
      <w:r w:rsidRPr="00066CCB">
        <w:rPr>
          <w:rFonts w:asciiTheme="minorHAnsi" w:hAnsiTheme="minorHAnsi" w:cstheme="minorHAnsi"/>
          <w:szCs w:val="24"/>
          <w:lang w:val="fr-CH"/>
        </w:rPr>
        <w:tab/>
      </w:r>
      <w:bookmarkStart w:id="14" w:name="lt_pId036"/>
      <w:r w:rsidR="00A859EC">
        <w:rPr>
          <w:rFonts w:asciiTheme="minorHAnsi" w:hAnsiTheme="minorHAnsi" w:cstheme="minorHAnsi"/>
          <w:szCs w:val="24"/>
          <w:lang w:val="fr-CH"/>
        </w:rPr>
        <w:t>Dans les L</w:t>
      </w:r>
      <w:r w:rsidR="00A161A5" w:rsidRPr="00066CCB">
        <w:rPr>
          <w:rFonts w:asciiTheme="minorHAnsi" w:hAnsiTheme="minorHAnsi" w:cstheme="minorHAnsi"/>
          <w:szCs w:val="24"/>
          <w:lang w:val="fr-CH"/>
        </w:rPr>
        <w:t xml:space="preserve">ettres circulaires </w:t>
      </w:r>
      <w:hyperlink r:id="rId29" w:history="1">
        <w:r w:rsidRPr="00066CCB">
          <w:rPr>
            <w:rStyle w:val="Hyperlink"/>
            <w:rFonts w:asciiTheme="minorHAnsi" w:hAnsiTheme="minorHAnsi" w:cstheme="minorHAnsi"/>
            <w:szCs w:val="24"/>
            <w:lang w:val="fr-CH"/>
          </w:rPr>
          <w:t>CL-16/48</w:t>
        </w:r>
      </w:hyperlink>
      <w:r w:rsidR="00A161A5" w:rsidRPr="00066CCB">
        <w:rPr>
          <w:rStyle w:val="Hyperlink"/>
          <w:rFonts w:asciiTheme="minorHAnsi" w:hAnsiTheme="minorHAnsi" w:cstheme="minorHAnsi"/>
          <w:color w:val="auto"/>
          <w:szCs w:val="24"/>
          <w:u w:val="none"/>
          <w:lang w:val="fr-CH"/>
        </w:rPr>
        <w:t xml:space="preserve"> et</w:t>
      </w:r>
      <w:r w:rsidRPr="00066CCB">
        <w:rPr>
          <w:rStyle w:val="Hyperlink"/>
          <w:rFonts w:asciiTheme="minorHAnsi" w:hAnsiTheme="minorHAnsi" w:cstheme="minorHAnsi"/>
          <w:color w:val="auto"/>
          <w:szCs w:val="24"/>
          <w:u w:val="none"/>
          <w:lang w:val="fr-CH"/>
        </w:rPr>
        <w:t xml:space="preserve"> </w:t>
      </w:r>
      <w:hyperlink r:id="rId30" w:history="1">
        <w:r w:rsidRPr="00066CCB">
          <w:rPr>
            <w:rStyle w:val="Hyperlink"/>
            <w:rFonts w:asciiTheme="minorHAnsi" w:hAnsiTheme="minorHAnsi" w:cstheme="minorHAnsi"/>
            <w:szCs w:val="24"/>
            <w:lang w:val="fr-CH"/>
          </w:rPr>
          <w:t>CL-17/07</w:t>
        </w:r>
      </w:hyperlink>
      <w:r w:rsidRPr="00066CCB">
        <w:rPr>
          <w:rFonts w:asciiTheme="minorHAnsi" w:hAnsiTheme="minorHAnsi" w:cstheme="minorHAnsi"/>
          <w:szCs w:val="24"/>
          <w:lang w:val="fr-CH"/>
        </w:rPr>
        <w:t xml:space="preserve">, </w:t>
      </w:r>
      <w:r w:rsidR="00A161A5" w:rsidRPr="00066CCB">
        <w:rPr>
          <w:rFonts w:asciiTheme="minorHAnsi" w:hAnsiTheme="minorHAnsi" w:cstheme="minorHAnsi"/>
          <w:szCs w:val="24"/>
          <w:lang w:val="fr-CH"/>
        </w:rPr>
        <w:t xml:space="preserve">le Secrétaire général a invité les Etats Membres à soumettre leurs contributions concernant </w:t>
      </w:r>
      <w:r w:rsidR="00C035E0" w:rsidRPr="00066CCB">
        <w:rPr>
          <w:rFonts w:asciiTheme="minorHAnsi" w:hAnsiTheme="minorHAnsi" w:cstheme="minorHAnsi"/>
          <w:szCs w:val="24"/>
          <w:lang w:val="fr-CH"/>
        </w:rPr>
        <w:t>des améliorations susceptibles d</w:t>
      </w:r>
      <w:r w:rsidR="003B0FB4" w:rsidRPr="00066CCB">
        <w:rPr>
          <w:rFonts w:asciiTheme="minorHAnsi" w:hAnsiTheme="minorHAnsi" w:cstheme="minorHAnsi"/>
          <w:szCs w:val="24"/>
          <w:lang w:val="fr-CH"/>
        </w:rPr>
        <w:t>'</w:t>
      </w:r>
      <w:r w:rsidR="00C035E0" w:rsidRPr="00066CCB">
        <w:rPr>
          <w:rFonts w:asciiTheme="minorHAnsi" w:hAnsiTheme="minorHAnsi" w:cstheme="minorHAnsi"/>
          <w:szCs w:val="24"/>
          <w:lang w:val="fr-CH"/>
        </w:rPr>
        <w:t>être apportées à la Conférence de plénipotentiaires. Les résult</w:t>
      </w:r>
      <w:r w:rsidR="00A859EC">
        <w:rPr>
          <w:rFonts w:asciiTheme="minorHAnsi" w:hAnsiTheme="minorHAnsi" w:cstheme="minorHAnsi"/>
          <w:szCs w:val="24"/>
          <w:lang w:val="fr-CH"/>
        </w:rPr>
        <w:t>ats ont été rassemblés dans le D</w:t>
      </w:r>
      <w:r w:rsidR="00C035E0" w:rsidRPr="00066CCB">
        <w:rPr>
          <w:rFonts w:asciiTheme="minorHAnsi" w:hAnsiTheme="minorHAnsi" w:cstheme="minorHAnsi"/>
          <w:szCs w:val="24"/>
          <w:lang w:val="fr-CH"/>
        </w:rPr>
        <w:t>ocument</w:t>
      </w:r>
      <w:bookmarkStart w:id="15" w:name="lt_pId037"/>
      <w:bookmarkEnd w:id="14"/>
      <w:r w:rsidR="00DF6EF8">
        <w:rPr>
          <w:rFonts w:asciiTheme="minorHAnsi" w:hAnsiTheme="minorHAnsi" w:cstheme="minorHAnsi"/>
          <w:szCs w:val="24"/>
          <w:lang w:val="fr-CH"/>
        </w:rPr>
        <w:t> </w:t>
      </w:r>
      <w:hyperlink r:id="rId31" w:history="1">
        <w:r w:rsidRPr="00066CCB">
          <w:rPr>
            <w:rStyle w:val="Hyperlink"/>
            <w:rFonts w:asciiTheme="minorHAnsi" w:hAnsiTheme="minorHAnsi" w:cstheme="minorHAnsi"/>
            <w:szCs w:val="24"/>
            <w:lang w:val="fr-CH"/>
          </w:rPr>
          <w:t>C17/INF/6</w:t>
        </w:r>
      </w:hyperlink>
      <w:r w:rsidR="00C035E0" w:rsidRPr="00066CCB">
        <w:rPr>
          <w:rStyle w:val="Hyperlink"/>
          <w:rFonts w:asciiTheme="minorHAnsi" w:hAnsiTheme="minorHAnsi" w:cstheme="minorHAnsi"/>
          <w:color w:val="auto"/>
          <w:szCs w:val="24"/>
          <w:u w:val="none"/>
          <w:lang w:val="fr-CH"/>
        </w:rPr>
        <w:t xml:space="preserve"> et</w:t>
      </w:r>
      <w:r w:rsidRPr="00066CCB">
        <w:rPr>
          <w:rFonts w:asciiTheme="minorHAnsi" w:hAnsiTheme="minorHAnsi" w:cstheme="minorHAnsi"/>
          <w:szCs w:val="24"/>
          <w:lang w:val="fr-CH"/>
        </w:rPr>
        <w:t xml:space="preserve"> </w:t>
      </w:r>
      <w:r w:rsidR="00C035E0" w:rsidRPr="00066CCB">
        <w:rPr>
          <w:rFonts w:asciiTheme="minorHAnsi" w:hAnsiTheme="minorHAnsi" w:cstheme="minorHAnsi"/>
          <w:szCs w:val="24"/>
          <w:lang w:val="fr-CH"/>
        </w:rPr>
        <w:t xml:space="preserve">soumis au Conseil à sa session de 2017, </w:t>
      </w:r>
      <w:r w:rsidR="00A859EC">
        <w:rPr>
          <w:rFonts w:asciiTheme="minorHAnsi" w:hAnsiTheme="minorHAnsi" w:cstheme="minorHAnsi"/>
          <w:szCs w:val="24"/>
          <w:lang w:val="fr-CH"/>
        </w:rPr>
        <w:t>avec le D</w:t>
      </w:r>
      <w:r w:rsidR="00C035E0" w:rsidRPr="00066CCB">
        <w:rPr>
          <w:rFonts w:asciiTheme="minorHAnsi" w:hAnsiTheme="minorHAnsi" w:cstheme="minorHAnsi"/>
          <w:szCs w:val="24"/>
          <w:lang w:val="fr-CH"/>
        </w:rPr>
        <w:t xml:space="preserve">ocument </w:t>
      </w:r>
      <w:hyperlink r:id="rId32" w:history="1">
        <w:r w:rsidRPr="00066CCB">
          <w:rPr>
            <w:rStyle w:val="Hyperlink"/>
            <w:rFonts w:asciiTheme="minorHAnsi" w:hAnsiTheme="minorHAnsi" w:cstheme="minorHAnsi"/>
            <w:szCs w:val="24"/>
            <w:lang w:val="fr-CH"/>
          </w:rPr>
          <w:t>C17/4</w:t>
        </w:r>
      </w:hyperlink>
      <w:r w:rsidR="00C035E0" w:rsidRPr="00066CCB">
        <w:rPr>
          <w:rStyle w:val="Hyperlink"/>
          <w:rFonts w:asciiTheme="minorHAnsi" w:hAnsiTheme="minorHAnsi" w:cstheme="minorHAnsi"/>
          <w:color w:val="auto"/>
          <w:szCs w:val="24"/>
          <w:u w:val="none"/>
          <w:lang w:val="fr-CH"/>
        </w:rPr>
        <w:t xml:space="preserve"> </w:t>
      </w:r>
      <w:r w:rsidR="00382DBE" w:rsidRPr="00066CCB">
        <w:rPr>
          <w:rStyle w:val="Hyperlink"/>
          <w:rFonts w:asciiTheme="minorHAnsi" w:hAnsiTheme="minorHAnsi" w:cstheme="minorHAnsi"/>
          <w:color w:val="auto"/>
          <w:szCs w:val="24"/>
          <w:u w:val="none"/>
          <w:lang w:val="fr-CH"/>
        </w:rPr>
        <w:t xml:space="preserve">élaboré par le </w:t>
      </w:r>
      <w:r w:rsidR="00C035E0" w:rsidRPr="00066CCB">
        <w:rPr>
          <w:rStyle w:val="Hyperlink"/>
          <w:rFonts w:asciiTheme="minorHAnsi" w:hAnsiTheme="minorHAnsi" w:cstheme="minorHAnsi"/>
          <w:color w:val="auto"/>
          <w:szCs w:val="24"/>
          <w:u w:val="none"/>
          <w:lang w:val="fr-CH"/>
        </w:rPr>
        <w:t>Secrétariat</w:t>
      </w:r>
      <w:r w:rsidRPr="00066CCB">
        <w:rPr>
          <w:rStyle w:val="Hyperlink"/>
          <w:rFonts w:asciiTheme="minorHAnsi" w:hAnsiTheme="minorHAnsi" w:cstheme="minorHAnsi"/>
          <w:color w:val="auto"/>
          <w:szCs w:val="24"/>
          <w:u w:val="none"/>
          <w:lang w:val="fr-CH"/>
        </w:rPr>
        <w:t>.</w:t>
      </w:r>
      <w:bookmarkEnd w:id="15"/>
      <w:r w:rsidRPr="00066CCB">
        <w:rPr>
          <w:rStyle w:val="Hyperlink"/>
          <w:rFonts w:asciiTheme="minorHAnsi" w:hAnsiTheme="minorHAnsi" w:cstheme="minorHAnsi"/>
          <w:color w:val="auto"/>
          <w:szCs w:val="24"/>
          <w:u w:val="none"/>
          <w:lang w:val="fr-CH"/>
        </w:rPr>
        <w:t xml:space="preserve"> </w:t>
      </w:r>
      <w:bookmarkStart w:id="16" w:name="lt_pId038"/>
      <w:r w:rsidR="00C035E0" w:rsidRPr="00066CCB">
        <w:rPr>
          <w:rStyle w:val="Hyperlink"/>
          <w:rFonts w:asciiTheme="minorHAnsi" w:hAnsiTheme="minorHAnsi" w:cstheme="minorHAnsi"/>
          <w:color w:val="auto"/>
          <w:szCs w:val="24"/>
          <w:u w:val="none"/>
          <w:lang w:val="fr-CH"/>
        </w:rPr>
        <w:t>Les Etats Membres ont aussi formulé les propositions contenues dans les</w:t>
      </w:r>
      <w:r w:rsidRPr="00066CCB">
        <w:rPr>
          <w:rStyle w:val="Hyperlink"/>
          <w:rFonts w:asciiTheme="minorHAnsi" w:hAnsiTheme="minorHAnsi" w:cstheme="minorHAnsi"/>
          <w:color w:val="auto"/>
          <w:szCs w:val="24"/>
          <w:u w:val="none"/>
          <w:lang w:val="fr-CH"/>
        </w:rPr>
        <w:t xml:space="preserve"> </w:t>
      </w:r>
      <w:r w:rsidR="00A859EC">
        <w:rPr>
          <w:rStyle w:val="Hyperlink"/>
          <w:rFonts w:asciiTheme="minorHAnsi" w:hAnsiTheme="minorHAnsi" w:cstheme="minorHAnsi"/>
          <w:color w:val="auto"/>
          <w:szCs w:val="24"/>
          <w:u w:val="none"/>
          <w:lang w:val="fr-CH"/>
        </w:rPr>
        <w:t>D</w:t>
      </w:r>
      <w:r w:rsidRPr="00066CCB">
        <w:rPr>
          <w:rStyle w:val="Hyperlink"/>
          <w:rFonts w:asciiTheme="minorHAnsi" w:hAnsiTheme="minorHAnsi" w:cstheme="minorHAnsi"/>
          <w:color w:val="auto"/>
          <w:szCs w:val="24"/>
          <w:u w:val="none"/>
          <w:lang w:val="fr-CH"/>
        </w:rPr>
        <w:t xml:space="preserve">ocuments </w:t>
      </w:r>
      <w:hyperlink r:id="rId33" w:history="1">
        <w:r w:rsidRPr="00066CCB">
          <w:rPr>
            <w:rStyle w:val="Hyperlink"/>
            <w:rFonts w:asciiTheme="minorHAnsi" w:hAnsiTheme="minorHAnsi" w:cstheme="minorHAnsi"/>
            <w:szCs w:val="24"/>
            <w:lang w:val="fr-CH"/>
          </w:rPr>
          <w:t>C17/76</w:t>
        </w:r>
      </w:hyperlink>
      <w:r w:rsidR="00C035E0" w:rsidRPr="00066CCB">
        <w:rPr>
          <w:rStyle w:val="Hyperlink"/>
          <w:rFonts w:asciiTheme="minorHAnsi" w:hAnsiTheme="minorHAnsi" w:cstheme="minorHAnsi"/>
          <w:color w:val="auto"/>
          <w:szCs w:val="24"/>
          <w:u w:val="none"/>
          <w:lang w:val="fr-CH"/>
        </w:rPr>
        <w:t xml:space="preserve"> et</w:t>
      </w:r>
      <w:r w:rsidRPr="00066CCB">
        <w:rPr>
          <w:rStyle w:val="Hyperlink"/>
          <w:rFonts w:asciiTheme="minorHAnsi" w:hAnsiTheme="minorHAnsi" w:cstheme="minorHAnsi"/>
          <w:color w:val="auto"/>
          <w:szCs w:val="24"/>
          <w:u w:val="none"/>
          <w:lang w:val="fr-CH"/>
        </w:rPr>
        <w:t xml:space="preserve"> </w:t>
      </w:r>
      <w:hyperlink r:id="rId34" w:history="1">
        <w:r w:rsidRPr="00066CCB">
          <w:rPr>
            <w:rStyle w:val="Hyperlink"/>
            <w:rFonts w:asciiTheme="minorHAnsi" w:hAnsiTheme="minorHAnsi" w:cstheme="minorHAnsi"/>
            <w:szCs w:val="24"/>
            <w:lang w:val="fr-CH"/>
          </w:rPr>
          <w:t>C17/96</w:t>
        </w:r>
      </w:hyperlink>
      <w:r w:rsidRPr="00066CCB">
        <w:rPr>
          <w:rStyle w:val="Hyperlink"/>
          <w:rFonts w:asciiTheme="minorHAnsi" w:hAnsiTheme="minorHAnsi" w:cstheme="minorHAnsi"/>
          <w:color w:val="auto"/>
          <w:szCs w:val="24"/>
          <w:u w:val="none"/>
          <w:lang w:val="fr-CH"/>
        </w:rPr>
        <w:t>.</w:t>
      </w:r>
      <w:bookmarkEnd w:id="16"/>
      <w:r w:rsidR="00C035E0" w:rsidRPr="00066CCB">
        <w:rPr>
          <w:rStyle w:val="Hyperlink"/>
          <w:rFonts w:asciiTheme="minorHAnsi" w:hAnsiTheme="minorHAnsi" w:cstheme="minorHAnsi"/>
          <w:color w:val="auto"/>
          <w:szCs w:val="24"/>
          <w:u w:val="none"/>
          <w:lang w:val="fr-CH"/>
        </w:rPr>
        <w:t xml:space="preserve"> A la suite des discussions à cet égard, </w:t>
      </w:r>
      <w:r w:rsidR="00382DBE" w:rsidRPr="00066CCB">
        <w:rPr>
          <w:rStyle w:val="Hyperlink"/>
          <w:rFonts w:asciiTheme="minorHAnsi" w:hAnsiTheme="minorHAnsi" w:cstheme="minorHAnsi"/>
          <w:color w:val="auto"/>
          <w:szCs w:val="24"/>
          <w:u w:val="none"/>
          <w:lang w:val="fr-CH"/>
        </w:rPr>
        <w:t>le</w:t>
      </w:r>
      <w:r w:rsidR="00C035E0" w:rsidRPr="00066CCB">
        <w:rPr>
          <w:rStyle w:val="Hyperlink"/>
          <w:rFonts w:asciiTheme="minorHAnsi" w:hAnsiTheme="minorHAnsi" w:cstheme="minorHAnsi"/>
          <w:color w:val="auto"/>
          <w:szCs w:val="24"/>
          <w:u w:val="none"/>
          <w:lang w:val="fr-CH"/>
        </w:rPr>
        <w:t xml:space="preserve"> Conseil </w:t>
      </w:r>
      <w:r w:rsidR="00382DBE" w:rsidRPr="00066CCB">
        <w:rPr>
          <w:rStyle w:val="Hyperlink"/>
          <w:rFonts w:asciiTheme="minorHAnsi" w:hAnsiTheme="minorHAnsi" w:cstheme="minorHAnsi"/>
          <w:color w:val="auto"/>
          <w:szCs w:val="24"/>
          <w:u w:val="none"/>
          <w:lang w:val="fr-CH"/>
        </w:rPr>
        <w:t>a approuvé</w:t>
      </w:r>
      <w:r w:rsidR="00C035E0" w:rsidRPr="00066CCB">
        <w:rPr>
          <w:rStyle w:val="Hyperlink"/>
          <w:rFonts w:asciiTheme="minorHAnsi" w:hAnsiTheme="minorHAnsi" w:cstheme="minorHAnsi"/>
          <w:color w:val="auto"/>
          <w:szCs w:val="24"/>
          <w:u w:val="none"/>
          <w:lang w:val="fr-CH"/>
        </w:rPr>
        <w:t xml:space="preserve"> les améliorations qui figurent dans le</w:t>
      </w:r>
      <w:bookmarkStart w:id="17" w:name="lt_pId039"/>
      <w:r w:rsidR="00A859EC">
        <w:rPr>
          <w:rStyle w:val="Hyperlink"/>
          <w:rFonts w:asciiTheme="minorHAnsi" w:hAnsiTheme="minorHAnsi" w:cstheme="minorHAnsi"/>
          <w:color w:val="auto"/>
          <w:szCs w:val="24"/>
          <w:u w:val="none"/>
          <w:lang w:val="fr-CH"/>
        </w:rPr>
        <w:t xml:space="preserve"> D</w:t>
      </w:r>
      <w:r w:rsidRPr="00066CCB">
        <w:rPr>
          <w:rStyle w:val="Hyperlink"/>
          <w:rFonts w:asciiTheme="minorHAnsi" w:hAnsiTheme="minorHAnsi" w:cstheme="minorHAnsi"/>
          <w:color w:val="auto"/>
          <w:szCs w:val="24"/>
          <w:u w:val="none"/>
          <w:lang w:val="fr-CH"/>
        </w:rPr>
        <w:t xml:space="preserve">ocument </w:t>
      </w:r>
      <w:hyperlink r:id="rId35" w:history="1">
        <w:r w:rsidRPr="00066CCB">
          <w:rPr>
            <w:rStyle w:val="Hyperlink"/>
            <w:rFonts w:asciiTheme="minorHAnsi" w:hAnsiTheme="minorHAnsi" w:cstheme="minorHAnsi"/>
            <w:szCs w:val="24"/>
            <w:lang w:val="fr-CH"/>
          </w:rPr>
          <w:t>C17/DL/8</w:t>
        </w:r>
      </w:hyperlink>
      <w:r w:rsidRPr="00066CCB">
        <w:rPr>
          <w:rStyle w:val="Hyperlink"/>
          <w:rFonts w:asciiTheme="minorHAnsi" w:hAnsiTheme="minorHAnsi" w:cstheme="minorHAnsi"/>
          <w:color w:val="auto"/>
          <w:szCs w:val="24"/>
          <w:u w:val="none"/>
          <w:lang w:val="fr-CH"/>
        </w:rPr>
        <w:t xml:space="preserve">, </w:t>
      </w:r>
      <w:r w:rsidR="00C035E0" w:rsidRPr="00066CCB">
        <w:rPr>
          <w:rStyle w:val="Hyperlink"/>
          <w:rFonts w:asciiTheme="minorHAnsi" w:hAnsiTheme="minorHAnsi" w:cstheme="minorHAnsi"/>
          <w:color w:val="auto"/>
          <w:szCs w:val="24"/>
          <w:u w:val="none"/>
          <w:lang w:val="fr-CH"/>
        </w:rPr>
        <w:t>y compris sur la marche à suivre suivante concernant le processus d</w:t>
      </w:r>
      <w:r w:rsidR="003B0FB4" w:rsidRPr="00066CCB">
        <w:rPr>
          <w:rStyle w:val="Hyperlink"/>
          <w:rFonts w:asciiTheme="minorHAnsi" w:hAnsiTheme="minorHAnsi" w:cstheme="minorHAnsi"/>
          <w:color w:val="auto"/>
          <w:szCs w:val="24"/>
          <w:u w:val="none"/>
          <w:lang w:val="fr-CH"/>
        </w:rPr>
        <w:t>'</w:t>
      </w:r>
      <w:r w:rsidR="00382DBE" w:rsidRPr="00066CCB">
        <w:rPr>
          <w:rStyle w:val="Hyperlink"/>
          <w:rFonts w:asciiTheme="minorHAnsi" w:hAnsiTheme="minorHAnsi" w:cstheme="minorHAnsi"/>
          <w:color w:val="auto"/>
          <w:szCs w:val="24"/>
          <w:u w:val="none"/>
          <w:lang w:val="fr-CH"/>
        </w:rPr>
        <w:t>élection</w:t>
      </w:r>
      <w:r w:rsidR="00C035E0" w:rsidRPr="00066CCB">
        <w:rPr>
          <w:rStyle w:val="Hyperlink"/>
          <w:rFonts w:asciiTheme="minorHAnsi" w:hAnsiTheme="minorHAnsi" w:cstheme="minorHAnsi"/>
          <w:color w:val="auto"/>
          <w:szCs w:val="24"/>
          <w:u w:val="none"/>
          <w:lang w:val="fr-CH"/>
        </w:rPr>
        <w:t>:</w:t>
      </w:r>
      <w:bookmarkEnd w:id="17"/>
    </w:p>
    <w:p w14:paraId="268E7B28" w14:textId="77777777" w:rsidR="008332CF" w:rsidRPr="00066CCB" w:rsidRDefault="008332CF" w:rsidP="00517BDB">
      <w:pPr>
        <w:rPr>
          <w:i/>
          <w:iCs/>
          <w:u w:val="single"/>
          <w:lang w:val="fr-CH"/>
        </w:rPr>
      </w:pPr>
      <w:bookmarkStart w:id="18" w:name="lt_pId040"/>
      <w:r w:rsidRPr="00066CCB">
        <w:rPr>
          <w:i/>
          <w:iCs/>
          <w:lang w:val="fr-CH"/>
        </w:rPr>
        <w:tab/>
      </w:r>
      <w:bookmarkEnd w:id="18"/>
      <w:r w:rsidR="00C035E0" w:rsidRPr="00066CCB">
        <w:rPr>
          <w:i/>
          <w:iCs/>
          <w:u w:val="single"/>
          <w:lang w:val="fr-CH"/>
        </w:rPr>
        <w:t>Audition des candidats</w:t>
      </w:r>
    </w:p>
    <w:p w14:paraId="43178097" w14:textId="367153F3" w:rsidR="008332CF" w:rsidRPr="00066CCB" w:rsidRDefault="008332CF" w:rsidP="00433771">
      <w:pPr>
        <w:pStyle w:val="enumlev1"/>
        <w:rPr>
          <w:i/>
          <w:iCs/>
          <w:lang w:val="fr-CH"/>
        </w:rPr>
      </w:pPr>
      <w:bookmarkStart w:id="19" w:name="lt_pId049"/>
      <w:r w:rsidRPr="00066CCB">
        <w:rPr>
          <w:i/>
          <w:iCs/>
          <w:lang w:val="fr-CH"/>
        </w:rPr>
        <w:tab/>
        <w:t xml:space="preserve">Le Conseil charge le Secrétaire général de soumettre à la session ordinaire de 2018 du Conseil </w:t>
      </w:r>
      <w:r w:rsidR="006837C4" w:rsidRPr="00066CCB">
        <w:rPr>
          <w:i/>
          <w:iCs/>
          <w:lang w:val="fr-CH"/>
        </w:rPr>
        <w:t xml:space="preserve">une étude sur </w:t>
      </w:r>
      <w:r w:rsidR="00433771" w:rsidRPr="00066CCB">
        <w:rPr>
          <w:i/>
          <w:iCs/>
          <w:lang w:val="fr-CH"/>
        </w:rPr>
        <w:t xml:space="preserve">la manière de conduire les </w:t>
      </w:r>
      <w:r w:rsidRPr="00066CCB">
        <w:rPr>
          <w:i/>
          <w:iCs/>
          <w:lang w:val="fr-CH"/>
        </w:rPr>
        <w:t>auditions des candidats qui se présenteront aux postes de fonctionnaires élus à la PP-18, en tenant compte des</w:t>
      </w:r>
      <w:r w:rsidR="006837C4" w:rsidRPr="00066CCB">
        <w:rPr>
          <w:i/>
          <w:iCs/>
          <w:lang w:val="fr-CH"/>
        </w:rPr>
        <w:t xml:space="preserve"> contributions et des débats qui en ont </w:t>
      </w:r>
      <w:r w:rsidR="00C74867" w:rsidRPr="00066CCB">
        <w:rPr>
          <w:i/>
          <w:iCs/>
          <w:lang w:val="fr-CH"/>
        </w:rPr>
        <w:t>découlé au cours de la session de 2017 du Conseil.</w:t>
      </w:r>
      <w:bookmarkEnd w:id="19"/>
    </w:p>
    <w:p w14:paraId="77AD0063" w14:textId="6EA1CD38" w:rsidR="008332CF" w:rsidRPr="00066CCB" w:rsidRDefault="008332CF" w:rsidP="00433771">
      <w:pPr>
        <w:pStyle w:val="enumlev1"/>
        <w:rPr>
          <w:rFonts w:asciiTheme="minorHAnsi" w:hAnsiTheme="minorHAnsi" w:cstheme="minorHAnsi"/>
          <w:i/>
          <w:iCs/>
          <w:szCs w:val="24"/>
          <w:lang w:val="fr-CH"/>
        </w:rPr>
      </w:pPr>
      <w:bookmarkStart w:id="20" w:name="lt_pId050"/>
      <w:r w:rsidRPr="00066CCB">
        <w:rPr>
          <w:i/>
          <w:iCs/>
          <w:lang w:val="fr-CH"/>
        </w:rPr>
        <w:lastRenderedPageBreak/>
        <w:tab/>
        <w:t>Le Conseil charge le S</w:t>
      </w:r>
      <w:r w:rsidR="00433771" w:rsidRPr="00066CCB">
        <w:rPr>
          <w:i/>
          <w:iCs/>
          <w:lang w:val="fr-CH"/>
        </w:rPr>
        <w:t>ecrétaire général de soumettre c</w:t>
      </w:r>
      <w:r w:rsidRPr="00066CCB">
        <w:rPr>
          <w:i/>
          <w:iCs/>
          <w:lang w:val="fr-CH"/>
        </w:rPr>
        <w:t>e projet d</w:t>
      </w:r>
      <w:r w:rsidR="003B0FB4" w:rsidRPr="00066CCB">
        <w:rPr>
          <w:i/>
          <w:iCs/>
          <w:lang w:val="fr-CH"/>
        </w:rPr>
        <w:t>'</w:t>
      </w:r>
      <w:r w:rsidR="00C74867" w:rsidRPr="00066CCB">
        <w:rPr>
          <w:i/>
          <w:iCs/>
          <w:lang w:val="fr-CH"/>
        </w:rPr>
        <w:t>étude</w:t>
      </w:r>
      <w:r w:rsidRPr="00066CCB">
        <w:rPr>
          <w:i/>
          <w:iCs/>
          <w:lang w:val="fr-CH"/>
        </w:rPr>
        <w:t xml:space="preserve"> au Groupe de travail sur les ressources financières et les ressources humaines (GTC-FHR) à sa réunion </w:t>
      </w:r>
      <w:r w:rsidR="00433771" w:rsidRPr="00066CCB">
        <w:rPr>
          <w:i/>
          <w:iCs/>
          <w:lang w:val="fr-CH"/>
        </w:rPr>
        <w:t>organisée</w:t>
      </w:r>
      <w:r w:rsidRPr="00066CCB">
        <w:rPr>
          <w:i/>
          <w:iCs/>
          <w:lang w:val="fr-CH"/>
        </w:rPr>
        <w:t xml:space="preserve"> début 2018 et invite le GTC-FHR à </w:t>
      </w:r>
      <w:r w:rsidR="00433771" w:rsidRPr="00066CCB">
        <w:rPr>
          <w:i/>
          <w:iCs/>
          <w:lang w:val="fr-CH"/>
        </w:rPr>
        <w:t>soumettre des observations en vue de leur examen par le</w:t>
      </w:r>
      <w:r w:rsidRPr="00066CCB">
        <w:rPr>
          <w:i/>
          <w:iCs/>
          <w:lang w:val="fr-CH"/>
        </w:rPr>
        <w:t xml:space="preserve"> Conseil à sa session de 2018.</w:t>
      </w:r>
      <w:bookmarkEnd w:id="20"/>
    </w:p>
    <w:p w14:paraId="42F4C682" w14:textId="7EF59693" w:rsidR="008332CF" w:rsidRPr="00066CCB" w:rsidRDefault="008332CF" w:rsidP="00A72ECD">
      <w:pPr>
        <w:rPr>
          <w:rFonts w:asciiTheme="minorHAnsi" w:hAnsiTheme="minorHAnsi" w:cstheme="minorHAnsi"/>
          <w:szCs w:val="24"/>
          <w:lang w:val="fr-CH"/>
        </w:rPr>
      </w:pPr>
      <w:r w:rsidRPr="00066CCB">
        <w:rPr>
          <w:rFonts w:asciiTheme="minorHAnsi" w:hAnsiTheme="minorHAnsi" w:cstheme="minorHAnsi"/>
          <w:szCs w:val="24"/>
          <w:lang w:val="fr-CH"/>
        </w:rPr>
        <w:t>4</w:t>
      </w:r>
      <w:r w:rsidRPr="00066CCB">
        <w:rPr>
          <w:rFonts w:asciiTheme="minorHAnsi" w:hAnsiTheme="minorHAnsi" w:cstheme="minorHAnsi"/>
          <w:szCs w:val="24"/>
          <w:lang w:val="fr-CH"/>
        </w:rPr>
        <w:tab/>
      </w:r>
      <w:r w:rsidRPr="00066CCB">
        <w:rPr>
          <w:lang w:val="fr-CH"/>
        </w:rPr>
        <w:t xml:space="preserve">Dans </w:t>
      </w:r>
      <w:r w:rsidR="00C74867" w:rsidRPr="00066CCB">
        <w:rPr>
          <w:lang w:val="fr-CH"/>
        </w:rPr>
        <w:t>les</w:t>
      </w:r>
      <w:r w:rsidRPr="00066CCB">
        <w:rPr>
          <w:lang w:val="fr-CH"/>
        </w:rPr>
        <w:t xml:space="preserve"> réponses </w:t>
      </w:r>
      <w:r w:rsidR="00C74867" w:rsidRPr="00066CCB">
        <w:rPr>
          <w:lang w:val="fr-CH"/>
        </w:rPr>
        <w:t>aux Lettres circulaires (</w:t>
      </w:r>
      <w:hyperlink r:id="rId36" w:history="1">
        <w:r w:rsidR="00C74867" w:rsidRPr="00066CCB">
          <w:rPr>
            <w:rStyle w:val="Hyperlink"/>
            <w:lang w:val="fr-CH"/>
          </w:rPr>
          <w:t>C17/INF/6</w:t>
        </w:r>
      </w:hyperlink>
      <w:r w:rsidR="00C74867" w:rsidRPr="00066CCB">
        <w:rPr>
          <w:lang w:val="fr-CH"/>
        </w:rPr>
        <w:t>)</w:t>
      </w:r>
      <w:r w:rsidR="00A72ECD" w:rsidRPr="00066CCB">
        <w:rPr>
          <w:lang w:val="fr-CH"/>
        </w:rPr>
        <w:t xml:space="preserve"> indiquées ci-dessus</w:t>
      </w:r>
      <w:r w:rsidRPr="00066CCB">
        <w:rPr>
          <w:lang w:val="fr-CH"/>
        </w:rPr>
        <w:t>, les Etats Membres ont soutenu la tenue d</w:t>
      </w:r>
      <w:r w:rsidR="003B0FB4" w:rsidRPr="00066CCB">
        <w:rPr>
          <w:lang w:val="fr-CH"/>
        </w:rPr>
        <w:t>'</w:t>
      </w:r>
      <w:r w:rsidRPr="00066CCB">
        <w:rPr>
          <w:lang w:val="fr-CH"/>
        </w:rPr>
        <w:t>un "Forum de</w:t>
      </w:r>
      <w:r w:rsidR="00A72ECD" w:rsidRPr="00066CCB">
        <w:rPr>
          <w:lang w:val="fr-CH"/>
        </w:rPr>
        <w:t>s candidats" et suggéré que le S</w:t>
      </w:r>
      <w:r w:rsidRPr="00066CCB">
        <w:rPr>
          <w:lang w:val="fr-CH"/>
        </w:rPr>
        <w:t>ecrétariat cherch</w:t>
      </w:r>
      <w:r w:rsidR="00A72ECD" w:rsidRPr="00066CCB">
        <w:rPr>
          <w:lang w:val="fr-CH"/>
        </w:rPr>
        <w:t>e</w:t>
      </w:r>
      <w:r w:rsidRPr="00066CCB">
        <w:rPr>
          <w:lang w:val="fr-CH"/>
        </w:rPr>
        <w:t xml:space="preserve"> des organisations apparentées, telles que l</w:t>
      </w:r>
      <w:r w:rsidR="003B0FB4" w:rsidRPr="00066CCB">
        <w:rPr>
          <w:lang w:val="fr-CH"/>
        </w:rPr>
        <w:t>'</w:t>
      </w:r>
      <w:hyperlink r:id="rId37" w:history="1">
        <w:r w:rsidRPr="00066CCB">
          <w:rPr>
            <w:rStyle w:val="Hyperlink"/>
            <w:szCs w:val="24"/>
            <w:lang w:val="fr-CH"/>
          </w:rPr>
          <w:t>OMS</w:t>
        </w:r>
      </w:hyperlink>
      <w:r w:rsidRPr="00066CCB">
        <w:rPr>
          <w:lang w:val="fr-CH"/>
        </w:rPr>
        <w:t xml:space="preserve"> et l</w:t>
      </w:r>
      <w:r w:rsidR="003B0FB4" w:rsidRPr="00066CCB">
        <w:rPr>
          <w:lang w:val="fr-CH"/>
        </w:rPr>
        <w:t>'</w:t>
      </w:r>
      <w:hyperlink r:id="rId38" w:history="1">
        <w:r w:rsidRPr="00066CCB">
          <w:rPr>
            <w:rStyle w:val="Hyperlink"/>
            <w:szCs w:val="24"/>
            <w:lang w:val="fr-CH"/>
          </w:rPr>
          <w:t>OIT</w:t>
        </w:r>
      </w:hyperlink>
      <w:r w:rsidRPr="00066CCB">
        <w:rPr>
          <w:lang w:val="fr-CH"/>
        </w:rPr>
        <w:t>, ay</w:t>
      </w:r>
      <w:r w:rsidR="00A72ECD" w:rsidRPr="00066CCB">
        <w:rPr>
          <w:lang w:val="fr-CH"/>
        </w:rPr>
        <w:t>ant récemment organisé de tels f</w:t>
      </w:r>
      <w:r w:rsidRPr="00066CCB">
        <w:rPr>
          <w:lang w:val="fr-CH"/>
        </w:rPr>
        <w:t>orums avec succès pendant la période ayant précédé les élections de leurs fonctionnaires.</w:t>
      </w:r>
      <w:r w:rsidR="00C74867" w:rsidRPr="00066CCB">
        <w:rPr>
          <w:lang w:val="fr-CH"/>
        </w:rPr>
        <w:t xml:space="preserve"> Le Secrétariat a </w:t>
      </w:r>
      <w:r w:rsidR="00A72ECD" w:rsidRPr="00066CCB">
        <w:rPr>
          <w:lang w:val="fr-CH"/>
        </w:rPr>
        <w:t xml:space="preserve">donc </w:t>
      </w:r>
      <w:r w:rsidR="00C74867" w:rsidRPr="00066CCB">
        <w:rPr>
          <w:lang w:val="fr-CH"/>
        </w:rPr>
        <w:t>consulté d</w:t>
      </w:r>
      <w:r w:rsidR="003B0FB4" w:rsidRPr="00066CCB">
        <w:rPr>
          <w:lang w:val="fr-CH"/>
        </w:rPr>
        <w:t>'</w:t>
      </w:r>
      <w:r w:rsidR="00C74867" w:rsidRPr="00066CCB">
        <w:rPr>
          <w:lang w:val="fr-CH"/>
        </w:rPr>
        <w:t>autres institutions du système des Nations Unies telles que l</w:t>
      </w:r>
      <w:r w:rsidR="003B0FB4" w:rsidRPr="00066CCB">
        <w:rPr>
          <w:lang w:val="fr-CH"/>
        </w:rPr>
        <w:t>'</w:t>
      </w:r>
      <w:r w:rsidR="00A72ECD" w:rsidRPr="00066CCB">
        <w:rPr>
          <w:lang w:val="fr-CH"/>
        </w:rPr>
        <w:t>O</w:t>
      </w:r>
      <w:r w:rsidR="00C74867" w:rsidRPr="00066CCB">
        <w:rPr>
          <w:lang w:val="fr-CH"/>
        </w:rPr>
        <w:t>IT, l</w:t>
      </w:r>
      <w:r w:rsidR="003B0FB4" w:rsidRPr="00066CCB">
        <w:rPr>
          <w:lang w:val="fr-CH"/>
        </w:rPr>
        <w:t>'</w:t>
      </w:r>
      <w:r w:rsidR="00C74867" w:rsidRPr="00066CCB">
        <w:rPr>
          <w:lang w:val="fr-CH"/>
        </w:rPr>
        <w:t>OMS, l</w:t>
      </w:r>
      <w:r w:rsidR="003B0FB4" w:rsidRPr="00066CCB">
        <w:rPr>
          <w:lang w:val="fr-CH"/>
        </w:rPr>
        <w:t>'</w:t>
      </w:r>
      <w:r w:rsidR="00C74867" w:rsidRPr="00066CCB">
        <w:rPr>
          <w:lang w:val="fr-CH"/>
        </w:rPr>
        <w:t>OMPI, l</w:t>
      </w:r>
      <w:r w:rsidR="003B0FB4" w:rsidRPr="00066CCB">
        <w:rPr>
          <w:lang w:val="fr-CH"/>
        </w:rPr>
        <w:t>'</w:t>
      </w:r>
      <w:r w:rsidR="00C74867" w:rsidRPr="00066CCB">
        <w:rPr>
          <w:lang w:val="fr-CH"/>
        </w:rPr>
        <w:t>ONUDI, ou encore l</w:t>
      </w:r>
      <w:r w:rsidR="003B0FB4" w:rsidRPr="00066CCB">
        <w:rPr>
          <w:lang w:val="fr-CH"/>
        </w:rPr>
        <w:t>'</w:t>
      </w:r>
      <w:r w:rsidR="00C74867" w:rsidRPr="00066CCB">
        <w:rPr>
          <w:lang w:val="fr-CH"/>
        </w:rPr>
        <w:t xml:space="preserve">Assemblée générale des Nations Unies pour </w:t>
      </w:r>
      <w:r w:rsidR="00A72ECD" w:rsidRPr="00066CCB">
        <w:rPr>
          <w:lang w:val="fr-CH"/>
        </w:rPr>
        <w:t>s</w:t>
      </w:r>
      <w:r w:rsidR="003B0FB4" w:rsidRPr="00066CCB">
        <w:rPr>
          <w:lang w:val="fr-CH"/>
        </w:rPr>
        <w:t>'</w:t>
      </w:r>
      <w:r w:rsidR="00A72ECD" w:rsidRPr="00066CCB">
        <w:rPr>
          <w:lang w:val="fr-CH"/>
        </w:rPr>
        <w:t>inspirer</w:t>
      </w:r>
      <w:r w:rsidR="00C74867" w:rsidRPr="00066CCB">
        <w:rPr>
          <w:lang w:val="fr-CH"/>
        </w:rPr>
        <w:t xml:space="preserve"> de leurs expériences. Il convient d</w:t>
      </w:r>
      <w:r w:rsidR="003B0FB4" w:rsidRPr="00066CCB">
        <w:rPr>
          <w:lang w:val="fr-CH"/>
        </w:rPr>
        <w:t>'</w:t>
      </w:r>
      <w:r w:rsidR="00C74867" w:rsidRPr="00066CCB">
        <w:rPr>
          <w:lang w:val="fr-CH"/>
        </w:rPr>
        <w:t xml:space="preserve">observer que dans la plupart des autres institutions, </w:t>
      </w:r>
      <w:r w:rsidR="00B3393A" w:rsidRPr="00066CCB">
        <w:rPr>
          <w:lang w:val="fr-CH"/>
        </w:rPr>
        <w:t>l</w:t>
      </w:r>
      <w:r w:rsidR="003B0FB4" w:rsidRPr="00066CCB">
        <w:rPr>
          <w:lang w:val="fr-CH"/>
        </w:rPr>
        <w:t>'</w:t>
      </w:r>
      <w:r w:rsidR="00B3393A" w:rsidRPr="00066CCB">
        <w:rPr>
          <w:lang w:val="fr-CH"/>
        </w:rPr>
        <w:t>audition organisée par le conseil exécutif fait partie du processus officiel d</w:t>
      </w:r>
      <w:r w:rsidR="003B0FB4" w:rsidRPr="00066CCB">
        <w:rPr>
          <w:lang w:val="fr-CH"/>
        </w:rPr>
        <w:t>'</w:t>
      </w:r>
      <w:r w:rsidR="00B3393A" w:rsidRPr="00066CCB">
        <w:rPr>
          <w:lang w:val="fr-CH"/>
        </w:rPr>
        <w:t>élection, de nomination ou de sélection, selon ce qui a été convenu par leur conférence générale respective. A l</w:t>
      </w:r>
      <w:r w:rsidR="003B0FB4" w:rsidRPr="00066CCB">
        <w:rPr>
          <w:lang w:val="fr-CH"/>
        </w:rPr>
        <w:t>'</w:t>
      </w:r>
      <w:r w:rsidR="00B3393A" w:rsidRPr="00066CCB">
        <w:rPr>
          <w:lang w:val="fr-CH"/>
        </w:rPr>
        <w:t>UIT cependant, ce type d</w:t>
      </w:r>
      <w:r w:rsidR="003B0FB4" w:rsidRPr="00066CCB">
        <w:rPr>
          <w:lang w:val="fr-CH"/>
        </w:rPr>
        <w:t>'</w:t>
      </w:r>
      <w:r w:rsidR="00B3393A" w:rsidRPr="00066CCB">
        <w:rPr>
          <w:lang w:val="fr-CH"/>
        </w:rPr>
        <w:t>audition n</w:t>
      </w:r>
      <w:r w:rsidR="003B0FB4" w:rsidRPr="00066CCB">
        <w:rPr>
          <w:lang w:val="fr-CH"/>
        </w:rPr>
        <w:t>'</w:t>
      </w:r>
      <w:r w:rsidR="00B3393A" w:rsidRPr="00066CCB">
        <w:rPr>
          <w:lang w:val="fr-CH"/>
        </w:rPr>
        <w:t>est pas prévu dans les Règles générales, qui régissent le processus d</w:t>
      </w:r>
      <w:r w:rsidR="003B0FB4" w:rsidRPr="00066CCB">
        <w:rPr>
          <w:lang w:val="fr-CH"/>
        </w:rPr>
        <w:t>'</w:t>
      </w:r>
      <w:r w:rsidR="00B3393A" w:rsidRPr="00066CCB">
        <w:rPr>
          <w:lang w:val="fr-CH"/>
        </w:rPr>
        <w:t xml:space="preserve">élection. </w:t>
      </w:r>
    </w:p>
    <w:p w14:paraId="43703C79" w14:textId="30E7ADFA" w:rsidR="008332CF" w:rsidRPr="00066CCB" w:rsidRDefault="008332CF" w:rsidP="00517BDB">
      <w:pPr>
        <w:rPr>
          <w:rFonts w:asciiTheme="minorHAnsi" w:hAnsiTheme="minorHAnsi" w:cstheme="minorHAnsi"/>
          <w:szCs w:val="24"/>
          <w:lang w:val="fr-CH"/>
        </w:rPr>
      </w:pPr>
      <w:r w:rsidRPr="00066CCB">
        <w:rPr>
          <w:rFonts w:asciiTheme="minorHAnsi" w:hAnsiTheme="minorHAnsi" w:cstheme="minorHAnsi"/>
          <w:szCs w:val="24"/>
          <w:lang w:val="fr-CH"/>
        </w:rPr>
        <w:t>5</w:t>
      </w:r>
      <w:r w:rsidRPr="00066CCB">
        <w:rPr>
          <w:rFonts w:asciiTheme="minorHAnsi" w:hAnsiTheme="minorHAnsi" w:cstheme="minorHAnsi"/>
          <w:szCs w:val="24"/>
          <w:lang w:val="fr-CH"/>
        </w:rPr>
        <w:tab/>
      </w:r>
      <w:r w:rsidR="004258B9" w:rsidRPr="00066CCB">
        <w:rPr>
          <w:rFonts w:asciiTheme="minorHAnsi" w:hAnsiTheme="minorHAnsi" w:cstheme="minorHAnsi"/>
          <w:szCs w:val="24"/>
          <w:lang w:val="fr-CH"/>
        </w:rPr>
        <w:t>En outre</w:t>
      </w:r>
      <w:r w:rsidRPr="00066CCB">
        <w:rPr>
          <w:rFonts w:asciiTheme="minorHAnsi" w:hAnsiTheme="minorHAnsi" w:cstheme="minorHAnsi"/>
          <w:szCs w:val="24"/>
          <w:lang w:val="fr-CH"/>
        </w:rPr>
        <w:t xml:space="preserve">, le </w:t>
      </w:r>
      <w:r w:rsidRPr="00066CCB">
        <w:rPr>
          <w:lang w:val="fr-CH"/>
        </w:rPr>
        <w:t>rapport du CCI de 2009 "</w:t>
      </w:r>
      <w:hyperlink r:id="rId39" w:history="1">
        <w:r w:rsidRPr="00066CCB">
          <w:rPr>
            <w:rStyle w:val="Hyperlink"/>
            <w:lang w:val="fr-CH"/>
          </w:rPr>
          <w:t>Sélection et conditions d</w:t>
        </w:r>
        <w:r w:rsidR="003B0FB4" w:rsidRPr="00066CCB">
          <w:rPr>
            <w:rStyle w:val="Hyperlink"/>
            <w:lang w:val="fr-CH"/>
          </w:rPr>
          <w:t>'</w:t>
        </w:r>
        <w:r w:rsidRPr="00066CCB">
          <w:rPr>
            <w:rStyle w:val="Hyperlink"/>
            <w:lang w:val="fr-CH"/>
          </w:rPr>
          <w:t>emploi des chefs de secrétariat au sein des organismes des Nations Unies</w:t>
        </w:r>
      </w:hyperlink>
      <w:bookmarkStart w:id="21" w:name="_GoBack"/>
      <w:bookmarkEnd w:id="21"/>
      <w:r w:rsidRPr="00066CCB">
        <w:rPr>
          <w:lang w:val="fr-CH"/>
        </w:rPr>
        <w:t xml:space="preserve">" </w:t>
      </w:r>
      <w:r w:rsidR="004258B9" w:rsidRPr="00066CCB">
        <w:rPr>
          <w:rFonts w:asciiTheme="minorHAnsi" w:hAnsiTheme="minorHAnsi" w:cstheme="minorHAnsi"/>
          <w:szCs w:val="24"/>
          <w:lang w:val="fr-CH"/>
        </w:rPr>
        <w:t>recommande ce qui suit</w:t>
      </w:r>
      <w:r w:rsidRPr="00066CCB">
        <w:rPr>
          <w:rFonts w:asciiTheme="minorHAnsi" w:hAnsiTheme="minorHAnsi" w:cstheme="minorHAnsi"/>
          <w:szCs w:val="24"/>
          <w:lang w:val="fr-CH"/>
        </w:rPr>
        <w:t>:</w:t>
      </w:r>
    </w:p>
    <w:p w14:paraId="43CCC03A" w14:textId="1BD6DF87" w:rsidR="008332CF" w:rsidRPr="00066CCB" w:rsidRDefault="008332CF" w:rsidP="003B0FB4">
      <w:pPr>
        <w:pStyle w:val="enumlev1"/>
        <w:rPr>
          <w:i/>
          <w:iCs/>
          <w:lang w:val="fr-CH"/>
        </w:rPr>
      </w:pPr>
      <w:r w:rsidRPr="00066CCB">
        <w:rPr>
          <w:i/>
          <w:iCs/>
          <w:lang w:val="fr-CH"/>
        </w:rPr>
        <w:tab/>
      </w:r>
      <w:r w:rsidR="004258B9" w:rsidRPr="00066CCB">
        <w:rPr>
          <w:i/>
          <w:iCs/>
          <w:lang w:val="fr-CH"/>
        </w:rPr>
        <w:t>Les organes délibérants de l</w:t>
      </w:r>
      <w:r w:rsidR="003B0FB4" w:rsidRPr="00066CCB">
        <w:rPr>
          <w:i/>
          <w:iCs/>
          <w:lang w:val="fr-CH"/>
        </w:rPr>
        <w:t>'</w:t>
      </w:r>
      <w:r w:rsidR="004258B9" w:rsidRPr="00066CCB">
        <w:rPr>
          <w:i/>
          <w:iCs/>
          <w:lang w:val="fr-CH"/>
        </w:rPr>
        <w:t>ONU, des institutions spécialisées et de l</w:t>
      </w:r>
      <w:r w:rsidR="003B0FB4" w:rsidRPr="00066CCB">
        <w:rPr>
          <w:i/>
          <w:iCs/>
          <w:lang w:val="fr-CH"/>
        </w:rPr>
        <w:t>'</w:t>
      </w:r>
      <w:r w:rsidR="004258B9" w:rsidRPr="00066CCB">
        <w:rPr>
          <w:i/>
          <w:iCs/>
          <w:lang w:val="fr-CH"/>
        </w:rPr>
        <w:t>AIEA devraient, s</w:t>
      </w:r>
      <w:r w:rsidR="003B0FB4" w:rsidRPr="00066CCB">
        <w:rPr>
          <w:i/>
          <w:iCs/>
          <w:lang w:val="fr-CH"/>
        </w:rPr>
        <w:t>'</w:t>
      </w:r>
      <w:r w:rsidR="004258B9" w:rsidRPr="00066CCB">
        <w:rPr>
          <w:i/>
          <w:iCs/>
          <w:lang w:val="fr-CH"/>
        </w:rPr>
        <w:t>ils ne le font pas déjà, organiser des auditions/réunions avec les candidats aux postes de chef de secrétariat, afin de conférer plus de transparence et de crédibilité au processus de sélection et de faire en sorte que ce processus soit davantage o</w:t>
      </w:r>
      <w:r w:rsidR="00A519AF">
        <w:rPr>
          <w:i/>
          <w:iCs/>
          <w:lang w:val="fr-CH"/>
        </w:rPr>
        <w:t xml:space="preserve">uvert à tous les Etats membres </w:t>
      </w:r>
      <w:r w:rsidR="004258B9" w:rsidRPr="00066CCB">
        <w:rPr>
          <w:i/>
          <w:iCs/>
          <w:lang w:val="fr-CH"/>
        </w:rPr>
        <w:t>(Recommandation 1)</w:t>
      </w:r>
      <w:r w:rsidR="00A519AF">
        <w:rPr>
          <w:i/>
          <w:iCs/>
          <w:lang w:val="fr-CH"/>
        </w:rPr>
        <w:t>.</w:t>
      </w:r>
    </w:p>
    <w:p w14:paraId="20F75BD8" w14:textId="275213AE" w:rsidR="008332CF" w:rsidRPr="00066CCB" w:rsidRDefault="008332CF" w:rsidP="00517BDB">
      <w:pPr>
        <w:rPr>
          <w:rFonts w:asciiTheme="minorHAnsi" w:hAnsiTheme="minorHAnsi" w:cstheme="minorHAnsi"/>
          <w:szCs w:val="24"/>
          <w:lang w:val="fr-CH"/>
        </w:rPr>
      </w:pPr>
      <w:r w:rsidRPr="00066CCB">
        <w:rPr>
          <w:rFonts w:asciiTheme="minorHAnsi" w:hAnsiTheme="minorHAnsi" w:cstheme="minorHAnsi"/>
          <w:szCs w:val="24"/>
          <w:lang w:val="fr-CH"/>
        </w:rPr>
        <w:t>6</w:t>
      </w:r>
      <w:r w:rsidRPr="00066CCB">
        <w:rPr>
          <w:rFonts w:asciiTheme="minorHAnsi" w:hAnsiTheme="minorHAnsi" w:cstheme="minorHAnsi"/>
          <w:szCs w:val="24"/>
          <w:lang w:val="fr-CH"/>
        </w:rPr>
        <w:tab/>
      </w:r>
      <w:bookmarkStart w:id="22" w:name="lt_pId053"/>
      <w:r w:rsidR="00F6047B" w:rsidRPr="00066CCB">
        <w:rPr>
          <w:rFonts w:asciiTheme="minorHAnsi" w:hAnsiTheme="minorHAnsi" w:cstheme="minorHAnsi"/>
          <w:szCs w:val="24"/>
          <w:lang w:val="fr-CH"/>
        </w:rPr>
        <w:t>Dans l</w:t>
      </w:r>
      <w:r w:rsidR="003B0FB4" w:rsidRPr="00066CCB">
        <w:rPr>
          <w:rFonts w:asciiTheme="minorHAnsi" w:hAnsiTheme="minorHAnsi" w:cstheme="minorHAnsi"/>
          <w:szCs w:val="24"/>
          <w:lang w:val="fr-CH"/>
        </w:rPr>
        <w:t>'Annexe 1 du D</w:t>
      </w:r>
      <w:r w:rsidR="00F6047B" w:rsidRPr="00066CCB">
        <w:rPr>
          <w:rFonts w:asciiTheme="minorHAnsi" w:hAnsiTheme="minorHAnsi" w:cstheme="minorHAnsi"/>
          <w:szCs w:val="24"/>
          <w:lang w:val="fr-CH"/>
        </w:rPr>
        <w:t>ocument</w:t>
      </w:r>
      <w:r w:rsidRPr="00066CCB">
        <w:rPr>
          <w:rFonts w:asciiTheme="minorHAnsi" w:hAnsiTheme="minorHAnsi" w:cstheme="minorHAnsi"/>
          <w:szCs w:val="24"/>
          <w:lang w:val="fr-CH"/>
        </w:rPr>
        <w:t xml:space="preserve"> </w:t>
      </w:r>
      <w:hyperlink r:id="rId40" w:history="1">
        <w:r w:rsidRPr="00066CCB">
          <w:rPr>
            <w:rStyle w:val="Hyperlink"/>
            <w:rFonts w:asciiTheme="minorHAnsi" w:hAnsiTheme="minorHAnsi" w:cstheme="minorHAnsi"/>
            <w:szCs w:val="24"/>
            <w:lang w:val="fr-CH"/>
          </w:rPr>
          <w:t>C17/76</w:t>
        </w:r>
      </w:hyperlink>
      <w:r w:rsidRPr="00066CCB">
        <w:rPr>
          <w:rFonts w:asciiTheme="minorHAnsi" w:hAnsiTheme="minorHAnsi" w:cstheme="minorHAnsi"/>
          <w:szCs w:val="24"/>
          <w:lang w:val="fr-CH"/>
        </w:rPr>
        <w:t xml:space="preserve">, </w:t>
      </w:r>
      <w:r w:rsidR="00F6047B" w:rsidRPr="00066CCB">
        <w:rPr>
          <w:rFonts w:asciiTheme="minorHAnsi" w:hAnsiTheme="minorHAnsi" w:cstheme="minorHAnsi"/>
          <w:szCs w:val="24"/>
          <w:lang w:val="fr-CH"/>
        </w:rPr>
        <w:t>les Etats Membres ont proposé les lignes directrices suivantes relatives à l</w:t>
      </w:r>
      <w:r w:rsidR="003B0FB4" w:rsidRPr="00066CCB">
        <w:rPr>
          <w:rFonts w:asciiTheme="minorHAnsi" w:hAnsiTheme="minorHAnsi" w:cstheme="minorHAnsi"/>
          <w:szCs w:val="24"/>
          <w:lang w:val="fr-CH"/>
        </w:rPr>
        <w:t>'</w:t>
      </w:r>
      <w:r w:rsidR="00F6047B" w:rsidRPr="00066CCB">
        <w:rPr>
          <w:rFonts w:asciiTheme="minorHAnsi" w:hAnsiTheme="minorHAnsi" w:cstheme="minorHAnsi"/>
          <w:szCs w:val="24"/>
          <w:lang w:val="fr-CH"/>
        </w:rPr>
        <w:t>audition des candidats</w:t>
      </w:r>
      <w:r w:rsidRPr="00066CCB">
        <w:rPr>
          <w:rFonts w:asciiTheme="minorHAnsi" w:hAnsiTheme="minorHAnsi" w:cstheme="minorHAnsi"/>
          <w:szCs w:val="24"/>
          <w:lang w:val="fr-CH"/>
        </w:rPr>
        <w:t>:</w:t>
      </w:r>
      <w:bookmarkEnd w:id="22"/>
    </w:p>
    <w:p w14:paraId="4C8B4117" w14:textId="18E2359C" w:rsidR="008332CF" w:rsidRPr="00066CCB" w:rsidRDefault="008332CF" w:rsidP="00517BDB">
      <w:pPr>
        <w:pStyle w:val="enumlev1"/>
        <w:rPr>
          <w:i/>
          <w:iCs/>
          <w:lang w:val="fr-CH"/>
        </w:rPr>
      </w:pPr>
      <w:r w:rsidRPr="00066CCB">
        <w:rPr>
          <w:lang w:val="fr-CH"/>
        </w:rPr>
        <w:t>•</w:t>
      </w:r>
      <w:r w:rsidRPr="00066CCB">
        <w:rPr>
          <w:lang w:val="fr-CH"/>
        </w:rPr>
        <w:tab/>
      </w:r>
      <w:bookmarkStart w:id="23" w:name="lt_pId054"/>
      <w:r w:rsidRPr="00066CCB">
        <w:rPr>
          <w:i/>
          <w:iCs/>
          <w:lang w:val="fr-CH"/>
        </w:rPr>
        <w:t>présenter des modalités/une définition pour les auditions par exemple, les auditions sont un événement autonome qui serait dirigé par le Président du Conseil ou un haut fonctionnaire</w:t>
      </w:r>
      <w:bookmarkStart w:id="24" w:name="lt_pId055"/>
      <w:bookmarkEnd w:id="23"/>
      <w:r w:rsidRPr="00066CCB">
        <w:rPr>
          <w:i/>
          <w:iCs/>
          <w:lang w:val="fr-CH"/>
        </w:rPr>
        <w:t>. Evénement organisé spécialement pour les candidats qui participent au processus d</w:t>
      </w:r>
      <w:r w:rsidR="003B0FB4" w:rsidRPr="00066CCB">
        <w:rPr>
          <w:i/>
          <w:iCs/>
          <w:lang w:val="fr-CH"/>
        </w:rPr>
        <w:t>'</w:t>
      </w:r>
      <w:r w:rsidRPr="00066CCB">
        <w:rPr>
          <w:i/>
          <w:iCs/>
          <w:lang w:val="fr-CH"/>
        </w:rPr>
        <w:t>élection aux postes les plus importants à l</w:t>
      </w:r>
      <w:r w:rsidR="003B0FB4" w:rsidRPr="00066CCB">
        <w:rPr>
          <w:i/>
          <w:iCs/>
          <w:lang w:val="fr-CH"/>
        </w:rPr>
        <w:t>'</w:t>
      </w:r>
      <w:r w:rsidRPr="00066CCB">
        <w:rPr>
          <w:i/>
          <w:iCs/>
          <w:lang w:val="fr-CH"/>
        </w:rPr>
        <w:t>UIT – Secrétaire général, Vice-secrétaire général et directeurs des Bureaux – afin qu</w:t>
      </w:r>
      <w:r w:rsidR="003B0FB4" w:rsidRPr="00066CCB">
        <w:rPr>
          <w:i/>
          <w:iCs/>
          <w:lang w:val="fr-CH"/>
        </w:rPr>
        <w:t>'</w:t>
      </w:r>
      <w:r w:rsidRPr="00066CCB">
        <w:rPr>
          <w:i/>
          <w:iCs/>
          <w:lang w:val="fr-CH"/>
        </w:rPr>
        <w:t>ils exposent leur vision de l</w:t>
      </w:r>
      <w:r w:rsidR="003B0FB4" w:rsidRPr="00066CCB">
        <w:rPr>
          <w:i/>
          <w:iCs/>
          <w:lang w:val="fr-CH"/>
        </w:rPr>
        <w:t>'</w:t>
      </w:r>
      <w:r w:rsidRPr="00066CCB">
        <w:rPr>
          <w:i/>
          <w:iCs/>
          <w:lang w:val="fr-CH"/>
        </w:rPr>
        <w:t>Union);</w:t>
      </w:r>
      <w:bookmarkEnd w:id="24"/>
    </w:p>
    <w:p w14:paraId="154CDE1C" w14:textId="53FB8B78" w:rsidR="008332CF" w:rsidRPr="00066CCB" w:rsidRDefault="008332CF" w:rsidP="00517BDB">
      <w:pPr>
        <w:pStyle w:val="enumlev1"/>
        <w:rPr>
          <w:i/>
          <w:iCs/>
          <w:lang w:val="fr-CH"/>
        </w:rPr>
      </w:pPr>
      <w:r w:rsidRPr="00066CCB">
        <w:rPr>
          <w:i/>
          <w:iCs/>
          <w:lang w:val="fr-CH"/>
        </w:rPr>
        <w:t>•</w:t>
      </w:r>
      <w:r w:rsidRPr="00066CCB">
        <w:rPr>
          <w:i/>
          <w:iCs/>
          <w:lang w:val="fr-CH"/>
        </w:rPr>
        <w:tab/>
      </w:r>
      <w:bookmarkStart w:id="25" w:name="lt_pId057"/>
      <w:r w:rsidRPr="00066CCB">
        <w:rPr>
          <w:i/>
          <w:iCs/>
          <w:lang w:val="fr-CH"/>
        </w:rPr>
        <w:t>proposer une durée maximale d</w:t>
      </w:r>
      <w:r w:rsidR="003B0FB4" w:rsidRPr="00066CCB">
        <w:rPr>
          <w:i/>
          <w:iCs/>
          <w:lang w:val="fr-CH"/>
        </w:rPr>
        <w:t>'</w:t>
      </w:r>
      <w:r w:rsidRPr="00066CCB">
        <w:rPr>
          <w:i/>
          <w:iCs/>
          <w:lang w:val="fr-CH"/>
        </w:rPr>
        <w:t>audition pour chaque candidat, comprenant l</w:t>
      </w:r>
      <w:r w:rsidR="003B0FB4" w:rsidRPr="00066CCB">
        <w:rPr>
          <w:i/>
          <w:iCs/>
          <w:lang w:val="fr-CH"/>
        </w:rPr>
        <w:t>'</w:t>
      </w:r>
      <w:r w:rsidRPr="00066CCB">
        <w:rPr>
          <w:i/>
          <w:iCs/>
          <w:lang w:val="fr-CH"/>
        </w:rPr>
        <w:t>exposé du candidat sur sa vision ainsi qu</w:t>
      </w:r>
      <w:r w:rsidR="003B0FB4" w:rsidRPr="00066CCB">
        <w:rPr>
          <w:i/>
          <w:iCs/>
          <w:lang w:val="fr-CH"/>
        </w:rPr>
        <w:t>'</w:t>
      </w:r>
      <w:r w:rsidRPr="00066CCB">
        <w:rPr>
          <w:i/>
          <w:iCs/>
          <w:lang w:val="fr-CH"/>
        </w:rPr>
        <w:t>une séance de questions et réponses;</w:t>
      </w:r>
      <w:bookmarkEnd w:id="25"/>
    </w:p>
    <w:p w14:paraId="40F187FA" w14:textId="582D7E60" w:rsidR="008332CF" w:rsidRPr="00066CCB" w:rsidRDefault="008332CF" w:rsidP="00517BDB">
      <w:pPr>
        <w:pStyle w:val="enumlev1"/>
        <w:rPr>
          <w:i/>
          <w:iCs/>
          <w:lang w:val="fr-CH"/>
        </w:rPr>
      </w:pPr>
      <w:r w:rsidRPr="00066CCB">
        <w:rPr>
          <w:i/>
          <w:iCs/>
          <w:lang w:val="fr-CH"/>
        </w:rPr>
        <w:t>•</w:t>
      </w:r>
      <w:r w:rsidRPr="00066CCB">
        <w:rPr>
          <w:i/>
          <w:iCs/>
          <w:lang w:val="fr-CH"/>
        </w:rPr>
        <w:tab/>
      </w:r>
      <w:bookmarkStart w:id="26" w:name="lt_pId059"/>
      <w:r w:rsidRPr="00066CCB">
        <w:rPr>
          <w:i/>
          <w:iCs/>
          <w:lang w:val="fr-CH"/>
        </w:rPr>
        <w:t>définir les principes de base pour que les candidats répondent à des questions aléatoires lors de leur audition (par exemple deux ou trois questions aléatoires posées par le public ou les personnes qui suivent l</w:t>
      </w:r>
      <w:r w:rsidR="003B0FB4" w:rsidRPr="00066CCB">
        <w:rPr>
          <w:i/>
          <w:iCs/>
          <w:lang w:val="fr-CH"/>
        </w:rPr>
        <w:t>'</w:t>
      </w:r>
      <w:r w:rsidRPr="00066CCB">
        <w:rPr>
          <w:i/>
          <w:iCs/>
          <w:lang w:val="fr-CH"/>
        </w:rPr>
        <w:t>audition diffusée sur le web);</w:t>
      </w:r>
      <w:bookmarkEnd w:id="26"/>
    </w:p>
    <w:p w14:paraId="0CFA5751" w14:textId="7C630289" w:rsidR="008332CF" w:rsidRPr="00066CCB" w:rsidRDefault="008332CF" w:rsidP="00517BDB">
      <w:pPr>
        <w:pStyle w:val="enumlev1"/>
        <w:rPr>
          <w:i/>
          <w:iCs/>
          <w:lang w:val="fr-CH"/>
        </w:rPr>
      </w:pPr>
      <w:r w:rsidRPr="00066CCB">
        <w:rPr>
          <w:i/>
          <w:iCs/>
          <w:lang w:val="fr-CH"/>
        </w:rPr>
        <w:t>•</w:t>
      </w:r>
      <w:r w:rsidRPr="00066CCB">
        <w:rPr>
          <w:i/>
          <w:iCs/>
          <w:lang w:val="fr-CH"/>
        </w:rPr>
        <w:tab/>
      </w:r>
      <w:bookmarkStart w:id="27" w:name="lt_pId061"/>
      <w:r w:rsidRPr="00066CCB">
        <w:rPr>
          <w:i/>
          <w:iCs/>
          <w:lang w:val="fr-CH"/>
        </w:rPr>
        <w:t>veiller à ce que les membres de l</w:t>
      </w:r>
      <w:r w:rsidR="003B0FB4" w:rsidRPr="00066CCB">
        <w:rPr>
          <w:i/>
          <w:iCs/>
          <w:lang w:val="fr-CH"/>
        </w:rPr>
        <w:t>'</w:t>
      </w:r>
      <w:r w:rsidRPr="00066CCB">
        <w:rPr>
          <w:i/>
          <w:iCs/>
          <w:lang w:val="fr-CH"/>
        </w:rPr>
        <w:t>UIT puissent assister aux auditions ou les suivre par voie électronique (par exemple diffuser les auditions sur le web, en limitant l</w:t>
      </w:r>
      <w:r w:rsidR="003B0FB4" w:rsidRPr="00066CCB">
        <w:rPr>
          <w:i/>
          <w:iCs/>
          <w:lang w:val="fr-CH"/>
        </w:rPr>
        <w:t>'</w:t>
      </w:r>
      <w:r w:rsidRPr="00066CCB">
        <w:rPr>
          <w:i/>
          <w:iCs/>
          <w:lang w:val="fr-CH"/>
        </w:rPr>
        <w:t>accès aux membres de l</w:t>
      </w:r>
      <w:r w:rsidR="003B0FB4" w:rsidRPr="00066CCB">
        <w:rPr>
          <w:i/>
          <w:iCs/>
          <w:lang w:val="fr-CH"/>
        </w:rPr>
        <w:t>'</w:t>
      </w:r>
      <w:r w:rsidRPr="00066CCB">
        <w:rPr>
          <w:i/>
          <w:iCs/>
          <w:lang w:val="fr-CH"/>
        </w:rPr>
        <w:t>UIT via leur compte TIES);</w:t>
      </w:r>
      <w:bookmarkEnd w:id="27"/>
    </w:p>
    <w:p w14:paraId="7AF47B90" w14:textId="77777777" w:rsidR="008332CF" w:rsidRPr="00066CCB" w:rsidRDefault="008332CF" w:rsidP="00517BDB">
      <w:pPr>
        <w:pStyle w:val="enumlev1"/>
        <w:rPr>
          <w:i/>
          <w:iCs/>
          <w:lang w:val="fr-CH"/>
        </w:rPr>
      </w:pPr>
      <w:r w:rsidRPr="00066CCB">
        <w:rPr>
          <w:i/>
          <w:iCs/>
          <w:lang w:val="fr-CH"/>
        </w:rPr>
        <w:t>•</w:t>
      </w:r>
      <w:r w:rsidRPr="00066CCB">
        <w:rPr>
          <w:i/>
          <w:iCs/>
          <w:lang w:val="fr-CH"/>
        </w:rPr>
        <w:tab/>
      </w:r>
      <w:bookmarkStart w:id="28" w:name="lt_pId063"/>
      <w:r w:rsidRPr="00066CCB">
        <w:rPr>
          <w:i/>
          <w:iCs/>
          <w:lang w:val="fr-CH"/>
        </w:rPr>
        <w:t>proposer une date et un lieu appropriés pour le déroulement des auditions avant la PP-18;</w:t>
      </w:r>
      <w:bookmarkEnd w:id="28"/>
    </w:p>
    <w:p w14:paraId="10354BE9" w14:textId="4B470B82" w:rsidR="008332CF" w:rsidRPr="00066CCB" w:rsidRDefault="008332CF" w:rsidP="00517BDB">
      <w:pPr>
        <w:pStyle w:val="enumlev1"/>
        <w:rPr>
          <w:i/>
          <w:iCs/>
          <w:lang w:val="fr-CH"/>
        </w:rPr>
      </w:pPr>
      <w:r w:rsidRPr="00066CCB">
        <w:rPr>
          <w:i/>
          <w:iCs/>
          <w:lang w:val="fr-CH"/>
        </w:rPr>
        <w:t>•</w:t>
      </w:r>
      <w:r w:rsidRPr="00066CCB">
        <w:rPr>
          <w:i/>
          <w:iCs/>
          <w:lang w:val="fr-CH"/>
        </w:rPr>
        <w:tab/>
      </w:r>
      <w:bookmarkStart w:id="29" w:name="lt_pId065"/>
      <w:r w:rsidRPr="00066CCB">
        <w:rPr>
          <w:i/>
          <w:iCs/>
          <w:lang w:val="fr-CH"/>
        </w:rPr>
        <w:t>proposer la possibilité de rembourser les dépenses de traduction, de location de salle engagées par l</w:t>
      </w:r>
      <w:r w:rsidR="003B0FB4" w:rsidRPr="00066CCB">
        <w:rPr>
          <w:i/>
          <w:iCs/>
          <w:lang w:val="fr-CH"/>
        </w:rPr>
        <w:t>'</w:t>
      </w:r>
      <w:r w:rsidRPr="00066CCB">
        <w:rPr>
          <w:i/>
          <w:iCs/>
          <w:lang w:val="fr-CH"/>
        </w:rPr>
        <w:t>UIT pour les auditions (par exemple proposer que les pays qui présentent des candidats partagent les coûts des auditions et remboursent ces dépenses par parts égales à l</w:t>
      </w:r>
      <w:r w:rsidR="003B0FB4" w:rsidRPr="00066CCB">
        <w:rPr>
          <w:i/>
          <w:iCs/>
          <w:lang w:val="fr-CH"/>
        </w:rPr>
        <w:t>'</w:t>
      </w:r>
      <w:r w:rsidRPr="00066CCB">
        <w:rPr>
          <w:i/>
          <w:iCs/>
          <w:lang w:val="fr-CH"/>
        </w:rPr>
        <w:t>UIT)</w:t>
      </w:r>
      <w:bookmarkEnd w:id="29"/>
      <w:r w:rsidRPr="00066CCB">
        <w:rPr>
          <w:i/>
          <w:iCs/>
          <w:lang w:val="fr-CH"/>
        </w:rPr>
        <w:t>.</w:t>
      </w:r>
    </w:p>
    <w:p w14:paraId="1BBAA788" w14:textId="77777777" w:rsidR="006A680F" w:rsidRDefault="006A680F">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67ADE237" w14:textId="70A24193" w:rsidR="008332CF" w:rsidRPr="00066CCB" w:rsidRDefault="008332CF" w:rsidP="003B0FB4">
      <w:pPr>
        <w:rPr>
          <w:rFonts w:asciiTheme="minorHAnsi" w:hAnsiTheme="minorHAnsi" w:cstheme="minorHAnsi"/>
          <w:szCs w:val="24"/>
          <w:lang w:val="fr-CH"/>
        </w:rPr>
      </w:pPr>
      <w:r w:rsidRPr="00066CCB">
        <w:rPr>
          <w:lang w:val="fr-CH"/>
        </w:rPr>
        <w:lastRenderedPageBreak/>
        <w:t>7</w:t>
      </w:r>
      <w:r w:rsidRPr="00066CCB">
        <w:rPr>
          <w:lang w:val="fr-CH"/>
        </w:rPr>
        <w:tab/>
      </w:r>
      <w:bookmarkStart w:id="30" w:name="lt_pId062"/>
      <w:r w:rsidR="003B0FB4" w:rsidRPr="00066CCB">
        <w:rPr>
          <w:rFonts w:asciiTheme="minorHAnsi" w:hAnsiTheme="minorHAnsi" w:cstheme="minorHAnsi"/>
          <w:szCs w:val="24"/>
          <w:lang w:val="fr-CH"/>
        </w:rPr>
        <w:t>Dans le D</w:t>
      </w:r>
      <w:r w:rsidR="00F6047B" w:rsidRPr="00066CCB">
        <w:rPr>
          <w:rFonts w:asciiTheme="minorHAnsi" w:hAnsiTheme="minorHAnsi" w:cstheme="minorHAnsi"/>
          <w:szCs w:val="24"/>
          <w:lang w:val="fr-CH"/>
        </w:rPr>
        <w:t>ocument</w:t>
      </w:r>
      <w:r w:rsidRPr="00066CCB">
        <w:rPr>
          <w:rFonts w:asciiTheme="minorHAnsi" w:hAnsiTheme="minorHAnsi" w:cstheme="minorHAnsi"/>
          <w:szCs w:val="24"/>
          <w:lang w:val="fr-CH"/>
        </w:rPr>
        <w:t xml:space="preserve"> </w:t>
      </w:r>
      <w:hyperlink r:id="rId41" w:history="1">
        <w:r w:rsidRPr="00066CCB">
          <w:rPr>
            <w:rStyle w:val="Hyperlink"/>
            <w:rFonts w:asciiTheme="minorHAnsi" w:hAnsiTheme="minorHAnsi" w:cstheme="minorHAnsi"/>
            <w:szCs w:val="24"/>
            <w:lang w:val="fr-CH"/>
          </w:rPr>
          <w:t>C17/96</w:t>
        </w:r>
      </w:hyperlink>
      <w:r w:rsidRPr="00066CCB">
        <w:rPr>
          <w:rFonts w:asciiTheme="minorHAnsi" w:hAnsiTheme="minorHAnsi" w:cstheme="minorHAnsi"/>
          <w:szCs w:val="24"/>
          <w:lang w:val="fr-CH"/>
        </w:rPr>
        <w:t xml:space="preserve">, </w:t>
      </w:r>
      <w:r w:rsidR="00F6047B" w:rsidRPr="00066CCB">
        <w:rPr>
          <w:rFonts w:asciiTheme="minorHAnsi" w:hAnsiTheme="minorHAnsi" w:cstheme="minorHAnsi"/>
          <w:szCs w:val="24"/>
          <w:lang w:val="fr-CH"/>
        </w:rPr>
        <w:t>le Brésil a proposé d</w:t>
      </w:r>
      <w:r w:rsidR="003B0FB4" w:rsidRPr="00066CCB">
        <w:rPr>
          <w:rFonts w:asciiTheme="minorHAnsi" w:hAnsiTheme="minorHAnsi" w:cstheme="minorHAnsi"/>
          <w:szCs w:val="24"/>
          <w:lang w:val="fr-CH"/>
        </w:rPr>
        <w:t>'</w:t>
      </w:r>
      <w:r w:rsidR="00F6047B" w:rsidRPr="00066CCB">
        <w:rPr>
          <w:rFonts w:asciiTheme="minorHAnsi" w:hAnsiTheme="minorHAnsi" w:cstheme="minorHAnsi"/>
          <w:szCs w:val="24"/>
          <w:lang w:val="fr-CH"/>
        </w:rPr>
        <w:t>organiser des réunions interactives la veille de la session ordinaire du Conseil (</w:t>
      </w:r>
      <w:r w:rsidR="003B0FB4" w:rsidRPr="00066CCB">
        <w:rPr>
          <w:rFonts w:asciiTheme="minorHAnsi" w:hAnsiTheme="minorHAnsi" w:cstheme="minorHAnsi"/>
          <w:szCs w:val="24"/>
          <w:lang w:val="fr-CH"/>
        </w:rPr>
        <w:t xml:space="preserve">c'est-à-dire </w:t>
      </w:r>
      <w:r w:rsidR="00F6047B" w:rsidRPr="00066CCB">
        <w:rPr>
          <w:rFonts w:asciiTheme="minorHAnsi" w:hAnsiTheme="minorHAnsi" w:cstheme="minorHAnsi"/>
          <w:szCs w:val="24"/>
          <w:lang w:val="fr-CH"/>
        </w:rPr>
        <w:t xml:space="preserve">le 17 avril 2018) </w:t>
      </w:r>
      <w:r w:rsidR="003B0FB4" w:rsidRPr="00066CCB">
        <w:rPr>
          <w:rFonts w:asciiTheme="minorHAnsi" w:hAnsiTheme="minorHAnsi" w:cstheme="minorHAnsi"/>
          <w:szCs w:val="24"/>
          <w:lang w:val="fr-CH"/>
        </w:rPr>
        <w:t>selon les</w:t>
      </w:r>
      <w:r w:rsidR="00F6047B" w:rsidRPr="00066CCB">
        <w:rPr>
          <w:rFonts w:asciiTheme="minorHAnsi" w:hAnsiTheme="minorHAnsi" w:cstheme="minorHAnsi"/>
          <w:szCs w:val="24"/>
          <w:lang w:val="fr-CH"/>
        </w:rPr>
        <w:t xml:space="preserve"> modalités suivantes:</w:t>
      </w:r>
      <w:bookmarkEnd w:id="30"/>
    </w:p>
    <w:p w14:paraId="14CC3724" w14:textId="2AAAEFD2" w:rsidR="008332CF" w:rsidRPr="00066CCB" w:rsidRDefault="008332CF" w:rsidP="00517BDB">
      <w:pPr>
        <w:pStyle w:val="enumlev1"/>
        <w:rPr>
          <w:i/>
          <w:iCs/>
          <w:lang w:val="fr-CH"/>
        </w:rPr>
      </w:pPr>
      <w:bookmarkStart w:id="31" w:name="lt_pId032"/>
      <w:r w:rsidRPr="00066CCB">
        <w:rPr>
          <w:lang w:val="fr-CH"/>
        </w:rPr>
        <w:t>•</w:t>
      </w:r>
      <w:r w:rsidRPr="00066CCB">
        <w:rPr>
          <w:lang w:val="fr-CH"/>
        </w:rPr>
        <w:tab/>
      </w:r>
      <w:r w:rsidRPr="00066CCB">
        <w:rPr>
          <w:i/>
          <w:iCs/>
          <w:lang w:val="fr-CH"/>
        </w:rPr>
        <w:t>Chaque candidat devrait avoir un créneau pour l</w:t>
      </w:r>
      <w:r w:rsidR="003B0FB4" w:rsidRPr="00066CCB">
        <w:rPr>
          <w:i/>
          <w:iCs/>
          <w:lang w:val="fr-CH"/>
        </w:rPr>
        <w:t>'</w:t>
      </w:r>
      <w:r w:rsidRPr="00066CCB">
        <w:rPr>
          <w:i/>
          <w:iCs/>
          <w:lang w:val="fr-CH"/>
        </w:rPr>
        <w:t>exposé de sa candidature, dont la durée serait égale à celle de la séance de questions et réponses avec les Etats Membres présents lors de la réunion (par exemple: 15 minutes ou 30 minutes pour chaque exercice).</w:t>
      </w:r>
      <w:bookmarkEnd w:id="31"/>
    </w:p>
    <w:p w14:paraId="796C2DC7" w14:textId="3E055E1C" w:rsidR="008332CF" w:rsidRPr="00066CCB" w:rsidRDefault="008332CF" w:rsidP="00517BDB">
      <w:pPr>
        <w:pStyle w:val="enumlev1"/>
        <w:rPr>
          <w:i/>
          <w:iCs/>
          <w:lang w:val="fr-CH"/>
        </w:rPr>
      </w:pPr>
      <w:bookmarkStart w:id="32" w:name="lt_pId034"/>
      <w:r w:rsidRPr="00066CCB">
        <w:rPr>
          <w:i/>
          <w:iCs/>
          <w:lang w:val="fr-CH"/>
        </w:rPr>
        <w:t>•</w:t>
      </w:r>
      <w:r w:rsidRPr="00066CCB">
        <w:rPr>
          <w:i/>
          <w:iCs/>
          <w:lang w:val="fr-CH"/>
        </w:rPr>
        <w:tab/>
        <w:t>La presse pourrait avoir l</w:t>
      </w:r>
      <w:r w:rsidR="003B0FB4" w:rsidRPr="00066CCB">
        <w:rPr>
          <w:i/>
          <w:iCs/>
          <w:lang w:val="fr-CH"/>
        </w:rPr>
        <w:t>'</w:t>
      </w:r>
      <w:r w:rsidRPr="00066CCB">
        <w:rPr>
          <w:i/>
          <w:iCs/>
          <w:lang w:val="fr-CH"/>
        </w:rPr>
        <w:t>autorisation de prendre part à la réunion en tant qu</w:t>
      </w:r>
      <w:r w:rsidR="003B0FB4" w:rsidRPr="00066CCB">
        <w:rPr>
          <w:i/>
          <w:iCs/>
          <w:lang w:val="fr-CH"/>
        </w:rPr>
        <w:t>'</w:t>
      </w:r>
      <w:r w:rsidRPr="00066CCB">
        <w:rPr>
          <w:i/>
          <w:iCs/>
          <w:lang w:val="fr-CH"/>
        </w:rPr>
        <w:t>observateur et d</w:t>
      </w:r>
      <w:r w:rsidR="003B0FB4" w:rsidRPr="00066CCB">
        <w:rPr>
          <w:i/>
          <w:iCs/>
          <w:lang w:val="fr-CH"/>
        </w:rPr>
        <w:t>'</w:t>
      </w:r>
      <w:r w:rsidRPr="00066CCB">
        <w:rPr>
          <w:i/>
          <w:iCs/>
          <w:lang w:val="fr-CH"/>
        </w:rPr>
        <w:t>interagir avec les candidats de manière informelle.</w:t>
      </w:r>
      <w:bookmarkEnd w:id="32"/>
      <w:r w:rsidRPr="00066CCB">
        <w:rPr>
          <w:i/>
          <w:iCs/>
          <w:lang w:val="fr-CH"/>
        </w:rPr>
        <w:t xml:space="preserve"> </w:t>
      </w:r>
    </w:p>
    <w:p w14:paraId="462512FE" w14:textId="77777777" w:rsidR="008332CF" w:rsidRPr="00066CCB" w:rsidRDefault="008332CF" w:rsidP="00517BDB">
      <w:pPr>
        <w:pStyle w:val="enumlev1"/>
        <w:rPr>
          <w:i/>
          <w:iCs/>
          <w:lang w:val="fr-CH"/>
        </w:rPr>
      </w:pPr>
      <w:bookmarkStart w:id="33" w:name="lt_pId035"/>
      <w:r w:rsidRPr="00066CCB">
        <w:rPr>
          <w:i/>
          <w:iCs/>
          <w:lang w:val="fr-CH"/>
        </w:rPr>
        <w:t>•</w:t>
      </w:r>
      <w:r w:rsidRPr="00066CCB">
        <w:rPr>
          <w:i/>
          <w:iCs/>
          <w:lang w:val="fr-CH"/>
        </w:rPr>
        <w:tab/>
        <w:t>Le Président du Conseil devrait agir en qualité de modérateur lors de la réunion interactive et soumettre les questions posées à distance grâce à la diffusion sur le web.</w:t>
      </w:r>
      <w:bookmarkEnd w:id="33"/>
    </w:p>
    <w:p w14:paraId="1756831A" w14:textId="2B58CAF5" w:rsidR="008332CF" w:rsidRPr="00066CCB" w:rsidRDefault="008332CF" w:rsidP="00517BDB">
      <w:pPr>
        <w:pStyle w:val="enumlev1"/>
        <w:rPr>
          <w:i/>
          <w:iCs/>
          <w:lang w:val="fr-CH"/>
        </w:rPr>
      </w:pPr>
      <w:r w:rsidRPr="00066CCB">
        <w:rPr>
          <w:i/>
          <w:iCs/>
          <w:lang w:val="fr-CH"/>
        </w:rPr>
        <w:t>•</w:t>
      </w:r>
      <w:r w:rsidRPr="00066CCB">
        <w:rPr>
          <w:i/>
          <w:iCs/>
          <w:lang w:val="fr-CH"/>
        </w:rPr>
        <w:tab/>
        <w:t>Les réunions interactives devraient être accessibles au grand public et transmises en direct sur le site web de l</w:t>
      </w:r>
      <w:r w:rsidR="003B0FB4" w:rsidRPr="00066CCB">
        <w:rPr>
          <w:i/>
          <w:iCs/>
          <w:lang w:val="fr-CH"/>
        </w:rPr>
        <w:t>'</w:t>
      </w:r>
      <w:r w:rsidRPr="00066CCB">
        <w:rPr>
          <w:i/>
          <w:iCs/>
          <w:lang w:val="fr-CH"/>
        </w:rPr>
        <w:t>UIT, sans qu</w:t>
      </w:r>
      <w:r w:rsidR="003B0FB4" w:rsidRPr="00066CCB">
        <w:rPr>
          <w:i/>
          <w:iCs/>
          <w:lang w:val="fr-CH"/>
        </w:rPr>
        <w:t>'</w:t>
      </w:r>
      <w:r w:rsidRPr="00066CCB">
        <w:rPr>
          <w:i/>
          <w:iCs/>
          <w:lang w:val="fr-CH"/>
        </w:rPr>
        <w:t>il soit nécessaire d</w:t>
      </w:r>
      <w:r w:rsidR="003B0FB4" w:rsidRPr="00066CCB">
        <w:rPr>
          <w:i/>
          <w:iCs/>
          <w:lang w:val="fr-CH"/>
        </w:rPr>
        <w:t>'</w:t>
      </w:r>
      <w:r w:rsidRPr="00066CCB">
        <w:rPr>
          <w:i/>
          <w:iCs/>
          <w:lang w:val="fr-CH"/>
        </w:rPr>
        <w:t>avoir un compte TIES.</w:t>
      </w:r>
    </w:p>
    <w:p w14:paraId="6CF03457" w14:textId="72CC699D" w:rsidR="008332CF" w:rsidRPr="00066CCB" w:rsidRDefault="008332CF" w:rsidP="00517BDB">
      <w:pPr>
        <w:pStyle w:val="enumlev1"/>
        <w:rPr>
          <w:lang w:val="fr-CH"/>
        </w:rPr>
      </w:pPr>
      <w:r w:rsidRPr="00066CCB">
        <w:rPr>
          <w:i/>
          <w:iCs/>
          <w:lang w:val="fr-CH"/>
        </w:rPr>
        <w:t>•</w:t>
      </w:r>
      <w:r w:rsidRPr="00066CCB">
        <w:rPr>
          <w:i/>
          <w:iCs/>
          <w:lang w:val="fr-CH"/>
        </w:rPr>
        <w:tab/>
        <w:t>L</w:t>
      </w:r>
      <w:r w:rsidR="003B0FB4" w:rsidRPr="00066CCB">
        <w:rPr>
          <w:i/>
          <w:iCs/>
          <w:lang w:val="fr-CH"/>
        </w:rPr>
        <w:t>'</w:t>
      </w:r>
      <w:r w:rsidRPr="00066CCB">
        <w:rPr>
          <w:i/>
          <w:iCs/>
          <w:lang w:val="fr-CH"/>
        </w:rPr>
        <w:t>UIT devrait mettre à jour dès que possible le site web consacré aux élections qui se tiendront à la PP-18, afin de permettre à chaque candidat de mettre en ligne les supports de communication pour sa campagne (vidéos, brochures, etc.) et au grand public d</w:t>
      </w:r>
      <w:r w:rsidR="003B0FB4" w:rsidRPr="00066CCB">
        <w:rPr>
          <w:i/>
          <w:iCs/>
          <w:lang w:val="fr-CH"/>
        </w:rPr>
        <w:t>'</w:t>
      </w:r>
      <w:r w:rsidRPr="00066CCB">
        <w:rPr>
          <w:i/>
          <w:iCs/>
          <w:lang w:val="fr-CH"/>
        </w:rPr>
        <w:t>y accéder. Chaque candidat pourrait avoir un forum en ligne, dont il serait le modérateur et qui serait consacré à des questions-réponses avec le grand public.</w:t>
      </w:r>
    </w:p>
    <w:p w14:paraId="5614DAC6" w14:textId="77777777" w:rsidR="008332CF" w:rsidRPr="00066CCB" w:rsidRDefault="00F6047B" w:rsidP="00517BDB">
      <w:pPr>
        <w:pStyle w:val="Headingb"/>
        <w:rPr>
          <w:lang w:val="fr-CH"/>
        </w:rPr>
      </w:pPr>
      <w:r w:rsidRPr="00066CCB">
        <w:rPr>
          <w:lang w:val="fr-CH"/>
        </w:rPr>
        <w:t>Commentaire</w:t>
      </w:r>
    </w:p>
    <w:p w14:paraId="7919D0CB" w14:textId="34B13701" w:rsidR="008332CF" w:rsidRPr="00066CCB" w:rsidRDefault="008332CF" w:rsidP="00491555">
      <w:pPr>
        <w:rPr>
          <w:lang w:val="fr-CH"/>
        </w:rPr>
      </w:pPr>
      <w:r w:rsidRPr="00066CCB">
        <w:rPr>
          <w:lang w:val="fr-CH"/>
        </w:rPr>
        <w:t>8</w:t>
      </w:r>
      <w:r w:rsidRPr="00066CCB">
        <w:rPr>
          <w:lang w:val="fr-CH"/>
        </w:rPr>
        <w:tab/>
      </w:r>
      <w:r w:rsidR="0016060B" w:rsidRPr="00066CCB">
        <w:rPr>
          <w:lang w:val="fr-CH"/>
        </w:rPr>
        <w:t xml:space="preserve">Souvent, les candidats qui se présentent pour être élus lors de la PP sont des fonctionnaires nommés </w:t>
      </w:r>
      <w:r w:rsidR="00491555" w:rsidRPr="00066CCB">
        <w:rPr>
          <w:lang w:val="fr-CH"/>
        </w:rPr>
        <w:t xml:space="preserve">de l'UIT </w:t>
      </w:r>
      <w:r w:rsidR="0016060B" w:rsidRPr="00066CCB">
        <w:rPr>
          <w:lang w:val="fr-CH"/>
        </w:rPr>
        <w:t xml:space="preserve">qui, une fois leur </w:t>
      </w:r>
      <w:r w:rsidR="00491555" w:rsidRPr="00066CCB">
        <w:rPr>
          <w:lang w:val="fr-CH"/>
        </w:rPr>
        <w:t>candidature</w:t>
      </w:r>
      <w:r w:rsidR="0016060B" w:rsidRPr="00066CCB">
        <w:rPr>
          <w:lang w:val="fr-CH"/>
        </w:rPr>
        <w:t xml:space="preserve"> officialisée, sont automatiquement au bénéfice d</w:t>
      </w:r>
      <w:r w:rsidR="003B0FB4" w:rsidRPr="00066CCB">
        <w:rPr>
          <w:lang w:val="fr-CH"/>
        </w:rPr>
        <w:t>'</w:t>
      </w:r>
      <w:r w:rsidR="0016060B" w:rsidRPr="00066CCB">
        <w:rPr>
          <w:lang w:val="fr-CH"/>
        </w:rPr>
        <w:t>un congé spécial sans traitement. L</w:t>
      </w:r>
      <w:r w:rsidR="003B0FB4" w:rsidRPr="00066CCB">
        <w:rPr>
          <w:lang w:val="fr-CH"/>
        </w:rPr>
        <w:t>'</w:t>
      </w:r>
      <w:r w:rsidR="0016060B" w:rsidRPr="00066CCB">
        <w:rPr>
          <w:lang w:val="fr-CH"/>
        </w:rPr>
        <w:t>annonce officielle de ces candidatures est normalement retardée jusqu</w:t>
      </w:r>
      <w:r w:rsidR="003B0FB4" w:rsidRPr="00066CCB">
        <w:rPr>
          <w:lang w:val="fr-CH"/>
        </w:rPr>
        <w:t>'</w:t>
      </w:r>
      <w:r w:rsidR="0016060B" w:rsidRPr="00066CCB">
        <w:rPr>
          <w:lang w:val="fr-CH"/>
        </w:rPr>
        <w:t>à une</w:t>
      </w:r>
      <w:r w:rsidR="00491555" w:rsidRPr="00066CCB">
        <w:rPr>
          <w:lang w:val="fr-CH"/>
        </w:rPr>
        <w:t xml:space="preserve"> date proche de la date limite –</w:t>
      </w:r>
      <w:r w:rsidR="0016060B" w:rsidRPr="00066CCB">
        <w:rPr>
          <w:lang w:val="fr-CH"/>
        </w:rPr>
        <w:t xml:space="preserve"> soit, à l</w:t>
      </w:r>
      <w:r w:rsidR="003B0FB4" w:rsidRPr="00066CCB">
        <w:rPr>
          <w:lang w:val="fr-CH"/>
        </w:rPr>
        <w:t>'</w:t>
      </w:r>
      <w:r w:rsidR="0016060B" w:rsidRPr="00066CCB">
        <w:rPr>
          <w:lang w:val="fr-CH"/>
        </w:rPr>
        <w:t>heure actuelle, 28 jour</w:t>
      </w:r>
      <w:r w:rsidR="00491555" w:rsidRPr="00066CCB">
        <w:rPr>
          <w:lang w:val="fr-CH"/>
        </w:rPr>
        <w:t>s</w:t>
      </w:r>
      <w:r w:rsidR="0016060B" w:rsidRPr="00066CCB">
        <w:rPr>
          <w:lang w:val="fr-CH"/>
        </w:rPr>
        <w:t xml:space="preserve"> avant la PP (</w:t>
      </w:r>
      <w:r w:rsidR="00491555" w:rsidRPr="00066CCB">
        <w:rPr>
          <w:lang w:val="fr-CH"/>
        </w:rPr>
        <w:t>numéro</w:t>
      </w:r>
      <w:r w:rsidR="0016060B" w:rsidRPr="00066CCB">
        <w:rPr>
          <w:lang w:val="fr-CH"/>
        </w:rPr>
        <w:t xml:space="preserve"> 170 des RG), puisque les personnes concernée</w:t>
      </w:r>
      <w:r w:rsidR="00491555" w:rsidRPr="00066CCB">
        <w:rPr>
          <w:lang w:val="fr-CH"/>
        </w:rPr>
        <w:t>s sont ensuite en congé spécial</w:t>
      </w:r>
      <w:r w:rsidR="0016060B" w:rsidRPr="00066CCB">
        <w:rPr>
          <w:lang w:val="fr-CH"/>
        </w:rPr>
        <w:t xml:space="preserve"> sans traitement. Par conséquent, par souci d</w:t>
      </w:r>
      <w:r w:rsidR="003B0FB4" w:rsidRPr="00066CCB">
        <w:rPr>
          <w:lang w:val="fr-CH"/>
        </w:rPr>
        <w:t>'</w:t>
      </w:r>
      <w:r w:rsidR="0016060B" w:rsidRPr="00066CCB">
        <w:rPr>
          <w:lang w:val="fr-CH"/>
        </w:rPr>
        <w:t xml:space="preserve">égalité des chances pour tous les candidats, tout forum, présentation ou échange devrait avoir lieu après cette date limite, afin que tous les candidats puissent participer. </w:t>
      </w:r>
      <w:r w:rsidR="00B83679" w:rsidRPr="00066CCB">
        <w:rPr>
          <w:lang w:val="fr-CH"/>
        </w:rPr>
        <w:t>En outre, puisque les candidats sont susceptibles d</w:t>
      </w:r>
      <w:r w:rsidR="003B0FB4" w:rsidRPr="00066CCB">
        <w:rPr>
          <w:lang w:val="fr-CH"/>
        </w:rPr>
        <w:t>'</w:t>
      </w:r>
      <w:r w:rsidR="00B83679" w:rsidRPr="00066CCB">
        <w:rPr>
          <w:lang w:val="fr-CH"/>
        </w:rPr>
        <w:t>être des fonctionnaires de l</w:t>
      </w:r>
      <w:r w:rsidR="003B0FB4" w:rsidRPr="00066CCB">
        <w:rPr>
          <w:lang w:val="fr-CH"/>
        </w:rPr>
        <w:t>'</w:t>
      </w:r>
      <w:r w:rsidR="00B83679" w:rsidRPr="00066CCB">
        <w:rPr>
          <w:lang w:val="fr-CH"/>
        </w:rPr>
        <w:t xml:space="preserve">UIT (élus ou nommés), les auditions ne pourraient pas être dirigées par un fonctionnaire de haut niveau, ni par toute </w:t>
      </w:r>
      <w:r w:rsidR="00491555" w:rsidRPr="00066CCB">
        <w:rPr>
          <w:lang w:val="fr-CH"/>
        </w:rPr>
        <w:t xml:space="preserve">autre </w:t>
      </w:r>
      <w:r w:rsidR="00B83679" w:rsidRPr="00066CCB">
        <w:rPr>
          <w:lang w:val="fr-CH"/>
        </w:rPr>
        <w:t>personne pouvant être considérée comme partiale (par exemple, un membre d</w:t>
      </w:r>
      <w:r w:rsidR="003B0FB4" w:rsidRPr="00066CCB">
        <w:rPr>
          <w:lang w:val="fr-CH"/>
        </w:rPr>
        <w:t>'</w:t>
      </w:r>
      <w:r w:rsidR="00B83679" w:rsidRPr="00066CCB">
        <w:rPr>
          <w:lang w:val="fr-CH"/>
        </w:rPr>
        <w:t xml:space="preserve">une administration </w:t>
      </w:r>
      <w:r w:rsidR="00491555" w:rsidRPr="00066CCB">
        <w:rPr>
          <w:lang w:val="fr-CH"/>
        </w:rPr>
        <w:t>qui présente</w:t>
      </w:r>
      <w:r w:rsidR="00B83679" w:rsidRPr="00066CCB">
        <w:rPr>
          <w:lang w:val="fr-CH"/>
        </w:rPr>
        <w:t xml:space="preserve"> une candidature).</w:t>
      </w:r>
    </w:p>
    <w:p w14:paraId="6E6BE70A" w14:textId="6D9AEE78" w:rsidR="008332CF" w:rsidRPr="00066CCB" w:rsidRDefault="008332CF" w:rsidP="00491555">
      <w:pPr>
        <w:rPr>
          <w:lang w:val="fr-CH"/>
        </w:rPr>
      </w:pPr>
      <w:r w:rsidRPr="00066CCB">
        <w:rPr>
          <w:lang w:val="fr-CH"/>
        </w:rPr>
        <w:t>9</w:t>
      </w:r>
      <w:r w:rsidRPr="00066CCB">
        <w:rPr>
          <w:lang w:val="fr-CH"/>
        </w:rPr>
        <w:tab/>
      </w:r>
      <w:r w:rsidR="00B83679" w:rsidRPr="00066CCB">
        <w:rPr>
          <w:lang w:val="fr-CH"/>
        </w:rPr>
        <w:t xml:space="preserve">Par conséquent, au titre de la règle </w:t>
      </w:r>
      <w:r w:rsidR="00491555" w:rsidRPr="00066CCB">
        <w:rPr>
          <w:lang w:val="fr-CH"/>
        </w:rPr>
        <w:t>qui prévaut actuellement</w:t>
      </w:r>
      <w:r w:rsidR="00B83679" w:rsidRPr="00066CCB">
        <w:rPr>
          <w:lang w:val="fr-CH"/>
        </w:rPr>
        <w:t xml:space="preserve"> en matière de date limite, il reste deux possibilités </w:t>
      </w:r>
      <w:r w:rsidR="00EF5586" w:rsidRPr="00066CCB">
        <w:rPr>
          <w:lang w:val="fr-CH"/>
        </w:rPr>
        <w:t xml:space="preserve">concernant le moment choisi </w:t>
      </w:r>
      <w:r w:rsidR="00B83679" w:rsidRPr="00066CCB">
        <w:rPr>
          <w:lang w:val="fr-CH"/>
        </w:rPr>
        <w:t xml:space="preserve">pour la mise </w:t>
      </w:r>
      <w:r w:rsidR="00491555" w:rsidRPr="00066CCB">
        <w:rPr>
          <w:lang w:val="fr-CH"/>
        </w:rPr>
        <w:t>à disposition</w:t>
      </w:r>
      <w:r w:rsidR="00B83679" w:rsidRPr="00066CCB">
        <w:rPr>
          <w:lang w:val="fr-CH"/>
        </w:rPr>
        <w:t xml:space="preserve"> d</w:t>
      </w:r>
      <w:r w:rsidR="003B0FB4" w:rsidRPr="00066CCB">
        <w:rPr>
          <w:lang w:val="fr-CH"/>
        </w:rPr>
        <w:t>'</w:t>
      </w:r>
      <w:r w:rsidR="00B83679" w:rsidRPr="00066CCB">
        <w:rPr>
          <w:lang w:val="fr-CH"/>
        </w:rPr>
        <w:t xml:space="preserve">une plate-forme </w:t>
      </w:r>
      <w:r w:rsidR="00EF5586" w:rsidRPr="00066CCB">
        <w:rPr>
          <w:lang w:val="fr-CH"/>
        </w:rPr>
        <w:t>qui place</w:t>
      </w:r>
      <w:r w:rsidR="00B83679" w:rsidRPr="00066CCB">
        <w:rPr>
          <w:lang w:val="fr-CH"/>
        </w:rPr>
        <w:t xml:space="preserve"> tous les candidats </w:t>
      </w:r>
      <w:r w:rsidR="00EF5586" w:rsidRPr="00066CCB">
        <w:rPr>
          <w:lang w:val="fr-CH"/>
        </w:rPr>
        <w:t>sur un pied d</w:t>
      </w:r>
      <w:r w:rsidR="003B0FB4" w:rsidRPr="00066CCB">
        <w:rPr>
          <w:lang w:val="fr-CH"/>
        </w:rPr>
        <w:t>'</w:t>
      </w:r>
      <w:r w:rsidR="00EF5586" w:rsidRPr="00066CCB">
        <w:rPr>
          <w:lang w:val="fr-CH"/>
        </w:rPr>
        <w:t>égalité:</w:t>
      </w:r>
      <w:r w:rsidRPr="00066CCB">
        <w:rPr>
          <w:lang w:val="fr-CH"/>
        </w:rPr>
        <w:t xml:space="preserve"> </w:t>
      </w:r>
    </w:p>
    <w:p w14:paraId="3C8B6F08" w14:textId="1A022A1A" w:rsidR="008332CF" w:rsidRPr="00066CCB" w:rsidRDefault="008332CF" w:rsidP="00517BDB">
      <w:pPr>
        <w:pStyle w:val="enumlev1"/>
        <w:rPr>
          <w:lang w:val="fr-CH"/>
        </w:rPr>
      </w:pPr>
      <w:bookmarkStart w:id="34" w:name="lt_pId077"/>
      <w:r w:rsidRPr="00066CCB">
        <w:rPr>
          <w:lang w:val="fr-CH"/>
        </w:rPr>
        <w:t>•</w:t>
      </w:r>
      <w:r w:rsidRPr="00066CCB">
        <w:rPr>
          <w:lang w:val="fr-CH"/>
        </w:rPr>
        <w:tab/>
      </w:r>
      <w:r w:rsidR="00EF5586" w:rsidRPr="00066CCB">
        <w:rPr>
          <w:lang w:val="fr-CH"/>
        </w:rPr>
        <w:t>première option: en parallèle d</w:t>
      </w:r>
      <w:r w:rsidR="003B0FB4" w:rsidRPr="00066CCB">
        <w:rPr>
          <w:lang w:val="fr-CH"/>
        </w:rPr>
        <w:t>'</w:t>
      </w:r>
      <w:r w:rsidR="00EF5586" w:rsidRPr="00066CCB">
        <w:rPr>
          <w:lang w:val="fr-CH"/>
        </w:rPr>
        <w:t>une réunion préparatoire organisée après la date limite de dépôt des candidatures;</w:t>
      </w:r>
      <w:bookmarkEnd w:id="34"/>
      <w:r w:rsidRPr="00066CCB">
        <w:rPr>
          <w:lang w:val="fr-CH"/>
        </w:rPr>
        <w:t xml:space="preserve"> </w:t>
      </w:r>
    </w:p>
    <w:p w14:paraId="4C2F5E3F" w14:textId="27DC197F" w:rsidR="008332CF" w:rsidRPr="00066CCB" w:rsidRDefault="008332CF" w:rsidP="00517BDB">
      <w:pPr>
        <w:pStyle w:val="enumlev1"/>
        <w:rPr>
          <w:lang w:val="fr-CH"/>
        </w:rPr>
      </w:pPr>
      <w:bookmarkStart w:id="35" w:name="lt_pId078"/>
      <w:r w:rsidRPr="00066CCB">
        <w:rPr>
          <w:lang w:val="fr-CH"/>
        </w:rPr>
        <w:t>•</w:t>
      </w:r>
      <w:r w:rsidRPr="00066CCB">
        <w:rPr>
          <w:lang w:val="fr-CH"/>
        </w:rPr>
        <w:tab/>
      </w:r>
      <w:r w:rsidR="00EF5586" w:rsidRPr="00066CCB">
        <w:rPr>
          <w:lang w:val="fr-CH"/>
        </w:rPr>
        <w:t xml:space="preserve">seconde </w:t>
      </w:r>
      <w:r w:rsidRPr="00066CCB">
        <w:rPr>
          <w:lang w:val="fr-CH"/>
        </w:rPr>
        <w:t>option</w:t>
      </w:r>
      <w:r w:rsidR="00EF5586" w:rsidRPr="00066CCB">
        <w:rPr>
          <w:lang w:val="fr-CH"/>
        </w:rPr>
        <w:t>: la veille de l</w:t>
      </w:r>
      <w:r w:rsidR="003B0FB4" w:rsidRPr="00066CCB">
        <w:rPr>
          <w:lang w:val="fr-CH"/>
        </w:rPr>
        <w:t>'</w:t>
      </w:r>
      <w:r w:rsidR="00EF5586" w:rsidRPr="00066CCB">
        <w:rPr>
          <w:lang w:val="fr-CH"/>
        </w:rPr>
        <w:t>ouverture de la PP</w:t>
      </w:r>
      <w:r w:rsidRPr="00066CCB">
        <w:rPr>
          <w:lang w:val="fr-CH"/>
        </w:rPr>
        <w:t>.</w:t>
      </w:r>
      <w:bookmarkEnd w:id="35"/>
    </w:p>
    <w:p w14:paraId="503F76A5" w14:textId="7A940A63" w:rsidR="008332CF" w:rsidRPr="00066CCB" w:rsidRDefault="00EF5586" w:rsidP="00483B91">
      <w:pPr>
        <w:rPr>
          <w:lang w:val="fr-CH"/>
        </w:rPr>
      </w:pPr>
      <w:r w:rsidRPr="00066CCB">
        <w:rPr>
          <w:lang w:val="fr-CH"/>
        </w:rPr>
        <w:t xml:space="preserve">Ces deux options peuvent entraîner des conflits </w:t>
      </w:r>
      <w:r w:rsidR="00292C9A" w:rsidRPr="00066CCB">
        <w:rPr>
          <w:lang w:val="fr-CH"/>
        </w:rPr>
        <w:t>en matière d'organisation</w:t>
      </w:r>
      <w:r w:rsidRPr="00066CCB">
        <w:rPr>
          <w:lang w:val="fr-CH"/>
        </w:rPr>
        <w:t xml:space="preserve">, au vu, dans </w:t>
      </w:r>
      <w:r w:rsidR="00292C9A" w:rsidRPr="00066CCB">
        <w:rPr>
          <w:lang w:val="fr-CH"/>
        </w:rPr>
        <w:t>le premier cas</w:t>
      </w:r>
      <w:r w:rsidRPr="00066CCB">
        <w:rPr>
          <w:lang w:val="fr-CH"/>
        </w:rPr>
        <w:t xml:space="preserve">, de la proximité avec la Conférence elle-même et, dans </w:t>
      </w:r>
      <w:r w:rsidR="00483B91" w:rsidRPr="00066CCB">
        <w:rPr>
          <w:lang w:val="fr-CH"/>
        </w:rPr>
        <w:t>le second cas</w:t>
      </w:r>
      <w:r w:rsidRPr="00066CCB">
        <w:rPr>
          <w:lang w:val="fr-CH"/>
        </w:rPr>
        <w:t>, des nombreuses réunions régionales et bilatérales qui sont organisées la veille de l</w:t>
      </w:r>
      <w:r w:rsidR="003B0FB4" w:rsidRPr="00066CCB">
        <w:rPr>
          <w:lang w:val="fr-CH"/>
        </w:rPr>
        <w:t>'</w:t>
      </w:r>
      <w:r w:rsidRPr="00066CCB">
        <w:rPr>
          <w:lang w:val="fr-CH"/>
        </w:rPr>
        <w:t>ouverture de la Conférence.</w:t>
      </w:r>
    </w:p>
    <w:p w14:paraId="2DB77707" w14:textId="369AB802" w:rsidR="008332CF" w:rsidRPr="00066CCB" w:rsidRDefault="008332CF" w:rsidP="00517BDB">
      <w:pPr>
        <w:rPr>
          <w:lang w:val="fr-CH"/>
        </w:rPr>
      </w:pPr>
      <w:r w:rsidRPr="00066CCB">
        <w:rPr>
          <w:lang w:val="fr-CH"/>
        </w:rPr>
        <w:t>10</w:t>
      </w:r>
      <w:r w:rsidRPr="00066CCB">
        <w:rPr>
          <w:lang w:val="fr-CH"/>
        </w:rPr>
        <w:tab/>
      </w:r>
      <w:bookmarkStart w:id="36" w:name="lt_pId081"/>
      <w:r w:rsidR="00EF5586" w:rsidRPr="00066CCB">
        <w:rPr>
          <w:lang w:val="fr-CH"/>
        </w:rPr>
        <w:t>Compte tenu des observations formulées par le</w:t>
      </w:r>
      <w:r w:rsidR="00483B91" w:rsidRPr="00066CCB">
        <w:rPr>
          <w:lang w:val="fr-CH"/>
        </w:rPr>
        <w:t xml:space="preserve"> GTC-FHR, qui figurent dans le D</w:t>
      </w:r>
      <w:r w:rsidR="00EF5586" w:rsidRPr="00066CCB">
        <w:rPr>
          <w:lang w:val="fr-CH"/>
        </w:rPr>
        <w:t>ocument</w:t>
      </w:r>
      <w:r w:rsidR="0017247D">
        <w:rPr>
          <w:lang w:val="fr-CH"/>
        </w:rPr>
        <w:t> </w:t>
      </w:r>
      <w:hyperlink r:id="rId42" w:history="1">
        <w:r w:rsidRPr="00066CCB">
          <w:rPr>
            <w:rStyle w:val="Hyperlink"/>
            <w:rFonts w:cs="Calibri"/>
            <w:szCs w:val="28"/>
            <w:lang w:val="fr-CH"/>
          </w:rPr>
          <w:t>C18/50</w:t>
        </w:r>
      </w:hyperlink>
      <w:r w:rsidRPr="00066CCB">
        <w:rPr>
          <w:rFonts w:cs="Calibri"/>
          <w:szCs w:val="28"/>
          <w:lang w:val="fr-CH"/>
        </w:rPr>
        <w:t xml:space="preserve">, </w:t>
      </w:r>
      <w:r w:rsidR="00EF5586" w:rsidRPr="00066CCB">
        <w:rPr>
          <w:rFonts w:cs="Calibri"/>
          <w:szCs w:val="28"/>
          <w:lang w:val="fr-CH"/>
        </w:rPr>
        <w:t>il est par conséquent suggéré au Conseil de faire suivre le présent document à la PP-18</w:t>
      </w:r>
      <w:r w:rsidR="00957446" w:rsidRPr="00066CCB">
        <w:rPr>
          <w:rFonts w:cs="Calibri"/>
          <w:szCs w:val="28"/>
          <w:lang w:val="fr-CH"/>
        </w:rPr>
        <w:t xml:space="preserve"> afin que les participants débattent des questions qui découlent de l</w:t>
      </w:r>
      <w:r w:rsidR="003B0FB4" w:rsidRPr="00066CCB">
        <w:rPr>
          <w:rFonts w:cs="Calibri"/>
          <w:szCs w:val="28"/>
          <w:lang w:val="fr-CH"/>
        </w:rPr>
        <w:t>'</w:t>
      </w:r>
      <w:r w:rsidR="00957446" w:rsidRPr="00066CCB">
        <w:rPr>
          <w:rFonts w:cs="Calibri"/>
          <w:szCs w:val="28"/>
          <w:lang w:val="fr-CH"/>
        </w:rPr>
        <w:t>examen de ce sujet.</w:t>
      </w:r>
      <w:bookmarkEnd w:id="36"/>
    </w:p>
    <w:p w14:paraId="49ACF2C7" w14:textId="77777777" w:rsidR="0017247D" w:rsidRDefault="0017247D">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725E0E46" w14:textId="421F6686" w:rsidR="008332CF" w:rsidRPr="00066CCB" w:rsidRDefault="008332CF" w:rsidP="00517BDB">
      <w:pPr>
        <w:rPr>
          <w:lang w:val="fr-CH"/>
        </w:rPr>
      </w:pPr>
      <w:r w:rsidRPr="00066CCB">
        <w:rPr>
          <w:lang w:val="fr-CH"/>
        </w:rPr>
        <w:lastRenderedPageBreak/>
        <w:t>11</w:t>
      </w:r>
      <w:r w:rsidRPr="00066CCB">
        <w:rPr>
          <w:lang w:val="fr-CH"/>
        </w:rPr>
        <w:tab/>
      </w:r>
      <w:r w:rsidR="00957446" w:rsidRPr="00066CCB">
        <w:rPr>
          <w:lang w:val="fr-CH"/>
        </w:rPr>
        <w:t xml:space="preserve">Pour finir, </w:t>
      </w:r>
      <w:r w:rsidR="003C7775" w:rsidRPr="00066CCB">
        <w:rPr>
          <w:bCs/>
          <w:szCs w:val="24"/>
          <w:lang w:val="fr-CH"/>
        </w:rPr>
        <w:t>le Conseil</w:t>
      </w:r>
      <w:r w:rsidR="00957446" w:rsidRPr="00066CCB">
        <w:rPr>
          <w:bCs/>
          <w:szCs w:val="24"/>
          <w:lang w:val="fr-CH"/>
        </w:rPr>
        <w:t>, à sa session de 2017, a</w:t>
      </w:r>
      <w:r w:rsidR="003C7775" w:rsidRPr="00066CCB">
        <w:rPr>
          <w:bCs/>
          <w:szCs w:val="24"/>
          <w:lang w:val="fr-CH"/>
        </w:rPr>
        <w:t xml:space="preserve"> invit</w:t>
      </w:r>
      <w:r w:rsidR="00957446" w:rsidRPr="00066CCB">
        <w:rPr>
          <w:bCs/>
          <w:szCs w:val="24"/>
          <w:lang w:val="fr-CH"/>
        </w:rPr>
        <w:t>é</w:t>
      </w:r>
      <w:r w:rsidR="003C7775" w:rsidRPr="00066CCB">
        <w:rPr>
          <w:bCs/>
          <w:szCs w:val="24"/>
          <w:lang w:val="fr-CH"/>
        </w:rPr>
        <w:t xml:space="preserve"> le Secrétaire général à élaborer, à l</w:t>
      </w:r>
      <w:r w:rsidR="003B0FB4" w:rsidRPr="00066CCB">
        <w:rPr>
          <w:bCs/>
          <w:szCs w:val="24"/>
          <w:lang w:val="fr-CH"/>
        </w:rPr>
        <w:t>'</w:t>
      </w:r>
      <w:r w:rsidR="003C7775" w:rsidRPr="00066CCB">
        <w:rPr>
          <w:bCs/>
          <w:szCs w:val="24"/>
          <w:lang w:val="fr-CH"/>
        </w:rPr>
        <w:t>intention des candidats en interne, des lignes directrices en matière d</w:t>
      </w:r>
      <w:r w:rsidR="003B0FB4" w:rsidRPr="00066CCB">
        <w:rPr>
          <w:bCs/>
          <w:szCs w:val="24"/>
          <w:lang w:val="fr-CH"/>
        </w:rPr>
        <w:t>'</w:t>
      </w:r>
      <w:r w:rsidR="003C7775" w:rsidRPr="00066CCB">
        <w:rPr>
          <w:bCs/>
          <w:szCs w:val="24"/>
          <w:lang w:val="fr-CH"/>
        </w:rPr>
        <w:t>éthique</w:t>
      </w:r>
      <w:r w:rsidR="00483B91" w:rsidRPr="00066CCB">
        <w:rPr>
          <w:bCs/>
          <w:szCs w:val="24"/>
          <w:lang w:val="fr-CH"/>
        </w:rPr>
        <w:t xml:space="preserve"> (voir le paragraphe 8 du D</w:t>
      </w:r>
      <w:r w:rsidR="00957446" w:rsidRPr="00066CCB">
        <w:rPr>
          <w:bCs/>
          <w:szCs w:val="24"/>
          <w:lang w:val="fr-CH"/>
        </w:rPr>
        <w:t xml:space="preserve">ocument </w:t>
      </w:r>
      <w:hyperlink r:id="rId43" w:history="1">
        <w:r w:rsidR="00957446" w:rsidRPr="00066CCB">
          <w:rPr>
            <w:rStyle w:val="Hyperlink"/>
            <w:rFonts w:asciiTheme="minorHAnsi" w:hAnsiTheme="minorHAnsi" w:cstheme="minorHAnsi"/>
            <w:szCs w:val="24"/>
            <w:lang w:val="fr-CH"/>
          </w:rPr>
          <w:t>C17/130</w:t>
        </w:r>
      </w:hyperlink>
      <w:r w:rsidR="00957446" w:rsidRPr="00066CCB">
        <w:rPr>
          <w:lang w:val="fr-CH"/>
        </w:rPr>
        <w:t>)</w:t>
      </w:r>
      <w:r w:rsidR="003C7775" w:rsidRPr="00066CCB">
        <w:rPr>
          <w:bCs/>
          <w:szCs w:val="24"/>
          <w:lang w:val="fr-CH"/>
        </w:rPr>
        <w:t xml:space="preserve">. </w:t>
      </w:r>
      <w:bookmarkStart w:id="37" w:name="lt_pId084"/>
      <w:r w:rsidR="00957446" w:rsidRPr="00066CCB">
        <w:rPr>
          <w:bCs/>
          <w:szCs w:val="24"/>
          <w:lang w:val="fr-CH"/>
        </w:rPr>
        <w:t>Ces lignes directrices ont été élaborées par le Bureau d</w:t>
      </w:r>
      <w:r w:rsidR="003B0FB4" w:rsidRPr="00066CCB">
        <w:rPr>
          <w:bCs/>
          <w:szCs w:val="24"/>
          <w:lang w:val="fr-CH"/>
        </w:rPr>
        <w:t>'</w:t>
      </w:r>
      <w:r w:rsidR="00957446" w:rsidRPr="00066CCB">
        <w:rPr>
          <w:bCs/>
          <w:szCs w:val="24"/>
          <w:lang w:val="fr-CH"/>
        </w:rPr>
        <w:t>éthique puis postées sur l</w:t>
      </w:r>
      <w:r w:rsidR="003B0FB4" w:rsidRPr="00066CCB">
        <w:rPr>
          <w:bCs/>
          <w:szCs w:val="24"/>
          <w:lang w:val="fr-CH"/>
        </w:rPr>
        <w:t>'</w:t>
      </w:r>
      <w:r w:rsidR="00957446" w:rsidRPr="00066CCB">
        <w:rPr>
          <w:bCs/>
          <w:szCs w:val="24"/>
          <w:lang w:val="fr-CH"/>
        </w:rPr>
        <w:t>intranet. Elles figurent en annexe du présent document. En réponse aux observations formulées au cours de la réunion du GTC-FHR, un paragraphe introductif a été ajouté afin de clarifier certain</w:t>
      </w:r>
      <w:r w:rsidR="00483B91" w:rsidRPr="00066CCB">
        <w:rPr>
          <w:bCs/>
          <w:szCs w:val="24"/>
          <w:lang w:val="fr-CH"/>
        </w:rPr>
        <w:t>s</w:t>
      </w:r>
      <w:r w:rsidR="00957446" w:rsidRPr="00066CCB">
        <w:rPr>
          <w:bCs/>
          <w:szCs w:val="24"/>
          <w:lang w:val="fr-CH"/>
        </w:rPr>
        <w:t xml:space="preserve"> points.</w:t>
      </w:r>
      <w:bookmarkEnd w:id="37"/>
    </w:p>
    <w:p w14:paraId="1D567F41" w14:textId="77777777" w:rsidR="008332CF" w:rsidRDefault="008332CF" w:rsidP="00517BDB">
      <w:pPr>
        <w:rPr>
          <w:lang w:val="fr-CH"/>
        </w:rPr>
      </w:pPr>
    </w:p>
    <w:p w14:paraId="6891F2E0" w14:textId="77777777" w:rsidR="0017247D" w:rsidRPr="00066CCB" w:rsidRDefault="0017247D" w:rsidP="00517BDB">
      <w:pPr>
        <w:rPr>
          <w:lang w:val="fr-CH"/>
        </w:rPr>
      </w:pPr>
    </w:p>
    <w:p w14:paraId="1A5CA2C7" w14:textId="77777777" w:rsidR="003C7775" w:rsidRPr="00066CCB" w:rsidRDefault="003C7775" w:rsidP="00517BDB">
      <w:pPr>
        <w:rPr>
          <w:lang w:val="fr-CH"/>
        </w:rPr>
      </w:pPr>
      <w:r w:rsidRPr="00066CCB">
        <w:rPr>
          <w:b/>
          <w:bCs/>
          <w:lang w:val="fr-CH"/>
        </w:rPr>
        <w:t>Annexe</w:t>
      </w:r>
      <w:r w:rsidRPr="00066CCB">
        <w:rPr>
          <w:lang w:val="fr-CH"/>
        </w:rPr>
        <w:t>: 1</w:t>
      </w:r>
    </w:p>
    <w:p w14:paraId="6EDD6EAD" w14:textId="77777777" w:rsidR="003C7775" w:rsidRPr="00066CCB" w:rsidRDefault="003C7775" w:rsidP="00517BDB">
      <w:pPr>
        <w:tabs>
          <w:tab w:val="clear" w:pos="567"/>
          <w:tab w:val="clear" w:pos="1134"/>
          <w:tab w:val="clear" w:pos="1701"/>
          <w:tab w:val="clear" w:pos="2268"/>
          <w:tab w:val="clear" w:pos="2835"/>
        </w:tabs>
        <w:overflowPunct/>
        <w:autoSpaceDE/>
        <w:autoSpaceDN/>
        <w:adjustRightInd/>
        <w:spacing w:before="0"/>
        <w:textAlignment w:val="auto"/>
        <w:rPr>
          <w:lang w:val="fr-CH"/>
        </w:rPr>
      </w:pPr>
      <w:r w:rsidRPr="00066CCB">
        <w:rPr>
          <w:lang w:val="fr-CH"/>
        </w:rPr>
        <w:br w:type="page"/>
      </w:r>
    </w:p>
    <w:p w14:paraId="3FEBE081" w14:textId="77777777" w:rsidR="003C7775" w:rsidRPr="00066CCB" w:rsidRDefault="003C7775" w:rsidP="00517BDB">
      <w:pPr>
        <w:pStyle w:val="AnnexNo"/>
        <w:spacing w:after="240"/>
        <w:rPr>
          <w:lang w:val="fr-CH"/>
        </w:rPr>
      </w:pPr>
      <w:r w:rsidRPr="00066CCB">
        <w:rPr>
          <w:lang w:val="fr-CH"/>
        </w:rPr>
        <w:lastRenderedPageBreak/>
        <w:t>ANNEXE 1</w:t>
      </w:r>
    </w:p>
    <w:tbl>
      <w:tblPr>
        <w:tblStyle w:val="TableGrid"/>
        <w:tblW w:w="0" w:type="auto"/>
        <w:tblLook w:val="04A0" w:firstRow="1" w:lastRow="0" w:firstColumn="1" w:lastColumn="0" w:noHBand="0" w:noVBand="1"/>
      </w:tblPr>
      <w:tblGrid>
        <w:gridCol w:w="9629"/>
      </w:tblGrid>
      <w:tr w:rsidR="003C7775" w:rsidRPr="00066CCB" w14:paraId="2F063AAC" w14:textId="77777777" w:rsidTr="005846DB">
        <w:tc>
          <w:tcPr>
            <w:tcW w:w="9629" w:type="dxa"/>
            <w:shd w:val="clear" w:color="auto" w:fill="BFBFBF" w:themeFill="background1" w:themeFillShade="BF"/>
          </w:tcPr>
          <w:p w14:paraId="57107FDE" w14:textId="192A544A" w:rsidR="003C7775" w:rsidRPr="00066CCB" w:rsidRDefault="003C7775" w:rsidP="00517BDB">
            <w:pPr>
              <w:pStyle w:val="Title4"/>
              <w:spacing w:before="120" w:after="120"/>
              <w:rPr>
                <w:smallCaps/>
                <w:lang w:val="fr-CH"/>
              </w:rPr>
            </w:pPr>
            <w:r w:rsidRPr="00066CCB">
              <w:rPr>
                <w:smallCaps/>
                <w:lang w:val="fr-CH"/>
              </w:rPr>
              <w:t>Lignes directrices</w:t>
            </w:r>
            <w:r w:rsidRPr="00066CCB">
              <w:rPr>
                <w:rFonts w:cs="Times New Roman Bold"/>
                <w:lang w:val="fr-CH"/>
              </w:rPr>
              <w:t>:</w:t>
            </w:r>
            <w:r w:rsidRPr="00066CCB">
              <w:rPr>
                <w:smallCaps/>
                <w:lang w:val="fr-CH"/>
              </w:rPr>
              <w:br/>
              <w:t>Aspects éthiques de certaines activités susceptibles d</w:t>
            </w:r>
            <w:r w:rsidR="003B0FB4" w:rsidRPr="00066CCB">
              <w:rPr>
                <w:smallCaps/>
                <w:lang w:val="fr-CH"/>
              </w:rPr>
              <w:t>'</w:t>
            </w:r>
            <w:r w:rsidRPr="00066CCB">
              <w:rPr>
                <w:smallCaps/>
                <w:lang w:val="fr-CH"/>
              </w:rPr>
              <w:t>être menées dans le cadre de la campagne électorale précédant la Conférence de plénipotentiaires de 2018</w:t>
            </w:r>
          </w:p>
        </w:tc>
      </w:tr>
    </w:tbl>
    <w:p w14:paraId="1D0595DA" w14:textId="7FC448B4" w:rsidR="008332CF" w:rsidRPr="00066CCB" w:rsidRDefault="003C7775" w:rsidP="00517BDB">
      <w:pPr>
        <w:rPr>
          <w:lang w:val="fr-CH"/>
        </w:rPr>
      </w:pPr>
      <w:r w:rsidRPr="00066CCB">
        <w:rPr>
          <w:lang w:val="fr-CH"/>
        </w:rPr>
        <w:t>Les orientations exposées dans le présent document sont fondées sur le cadre et les pratiques actuels</w:t>
      </w:r>
      <w:r w:rsidRPr="00066CCB">
        <w:rPr>
          <w:rStyle w:val="FootnoteReference"/>
          <w:lang w:val="fr-CH"/>
        </w:rPr>
        <w:footnoteReference w:id="1"/>
      </w:r>
      <w:r w:rsidRPr="00066CCB">
        <w:rPr>
          <w:lang w:val="fr-CH"/>
        </w:rPr>
        <w:t>. Elles s</w:t>
      </w:r>
      <w:r w:rsidR="003B0FB4" w:rsidRPr="00066CCB">
        <w:rPr>
          <w:lang w:val="fr-CH"/>
        </w:rPr>
        <w:t>'</w:t>
      </w:r>
      <w:r w:rsidRPr="00066CCB">
        <w:rPr>
          <w:lang w:val="fr-CH"/>
        </w:rPr>
        <w:t>adressent essentiellement aux candidats assumant actuellement un rôle au sein de l</w:t>
      </w:r>
      <w:r w:rsidR="003B0FB4" w:rsidRPr="00066CCB">
        <w:rPr>
          <w:lang w:val="fr-CH"/>
        </w:rPr>
        <w:t>'</w:t>
      </w:r>
      <w:r w:rsidRPr="00066CCB">
        <w:rPr>
          <w:lang w:val="fr-CH"/>
        </w:rPr>
        <w:t>Union, à savoir les fonctionnaires nommés et les fonctionnaires élus.</w:t>
      </w:r>
    </w:p>
    <w:p w14:paraId="7A529CF7" w14:textId="19B5D6AA" w:rsidR="003C7775" w:rsidRPr="00066CCB" w:rsidRDefault="003C7775" w:rsidP="00517BDB">
      <w:pPr>
        <w:keepNext/>
        <w:keepLines/>
        <w:rPr>
          <w:lang w:val="fr-CH"/>
        </w:rPr>
      </w:pPr>
      <w:r w:rsidRPr="00066CCB">
        <w:rPr>
          <w:lang w:val="fr-CH"/>
        </w:rPr>
        <w:t>Outre qu</w:t>
      </w:r>
      <w:r w:rsidR="003B0FB4" w:rsidRPr="00066CCB">
        <w:rPr>
          <w:lang w:val="fr-CH"/>
        </w:rPr>
        <w:t>'</w:t>
      </w:r>
      <w:r w:rsidRPr="00066CCB">
        <w:rPr>
          <w:lang w:val="fr-CH"/>
        </w:rPr>
        <w:t>ils doivent respecter les principes fondamentaux que sont la justice, l</w:t>
      </w:r>
      <w:r w:rsidR="003B0FB4" w:rsidRPr="00066CCB">
        <w:rPr>
          <w:lang w:val="fr-CH"/>
        </w:rPr>
        <w:t>'</w:t>
      </w:r>
      <w:r w:rsidRPr="00066CCB">
        <w:rPr>
          <w:lang w:val="fr-CH"/>
        </w:rPr>
        <w:t>équité, la transparence, la bonne foi, la dignité et le respect mutuel, les personnes qui doivent concilier l</w:t>
      </w:r>
      <w:r w:rsidR="003B0FB4" w:rsidRPr="00066CCB">
        <w:rPr>
          <w:lang w:val="fr-CH"/>
        </w:rPr>
        <w:t>'</w:t>
      </w:r>
      <w:r w:rsidRPr="00066CCB">
        <w:rPr>
          <w:lang w:val="fr-CH"/>
        </w:rPr>
        <w:t>exercice d</w:t>
      </w:r>
      <w:r w:rsidR="003B0FB4" w:rsidRPr="00066CCB">
        <w:rPr>
          <w:lang w:val="fr-CH"/>
        </w:rPr>
        <w:t>'</w:t>
      </w:r>
      <w:r w:rsidRPr="00066CCB">
        <w:rPr>
          <w:lang w:val="fr-CH"/>
        </w:rPr>
        <w:t>une fonction actuelle au sein de l</w:t>
      </w:r>
      <w:r w:rsidR="003B0FB4" w:rsidRPr="00066CCB">
        <w:rPr>
          <w:lang w:val="fr-CH"/>
        </w:rPr>
        <w:t>'</w:t>
      </w:r>
      <w:r w:rsidRPr="00066CCB">
        <w:rPr>
          <w:lang w:val="fr-CH"/>
        </w:rPr>
        <w:t>Union avec une candidature devraient être particulièrement attentives aux principes généraux à respecter dans trois domaines essentiels, décrits plus avant ci-dessous, à savoir: A) Utilisation des ressources de l</w:t>
      </w:r>
      <w:r w:rsidR="003B0FB4" w:rsidRPr="00066CCB">
        <w:rPr>
          <w:lang w:val="fr-CH"/>
        </w:rPr>
        <w:t>'</w:t>
      </w:r>
      <w:r w:rsidRPr="00066CCB">
        <w:rPr>
          <w:lang w:val="fr-CH"/>
        </w:rPr>
        <w:t>Union; B) Activités menées dans le cadre de campagnes électorales lors de manifestations de l</w:t>
      </w:r>
      <w:r w:rsidR="003B0FB4" w:rsidRPr="00066CCB">
        <w:rPr>
          <w:lang w:val="fr-CH"/>
        </w:rPr>
        <w:t>'</w:t>
      </w:r>
      <w:r w:rsidRPr="00066CCB">
        <w:rPr>
          <w:lang w:val="fr-CH"/>
        </w:rPr>
        <w:t>Union; et C) Rapports avec les représentants des Etats Membres.</w:t>
      </w:r>
    </w:p>
    <w:p w14:paraId="4E5CA897" w14:textId="3C7C01ED" w:rsidR="003C7775" w:rsidRPr="00066CCB" w:rsidRDefault="003C7775" w:rsidP="00517BDB">
      <w:pPr>
        <w:pStyle w:val="enumlev1"/>
        <w:rPr>
          <w:lang w:val="fr-CH"/>
        </w:rPr>
      </w:pPr>
      <w:r w:rsidRPr="00066CCB">
        <w:rPr>
          <w:lang w:val="fr-CH"/>
        </w:rPr>
        <w:t>A)</w:t>
      </w:r>
      <w:r w:rsidRPr="00066CCB">
        <w:rPr>
          <w:lang w:val="fr-CH"/>
        </w:rPr>
        <w:tab/>
        <w:t>Utilisation des ressources de l</w:t>
      </w:r>
      <w:r w:rsidR="003B0FB4" w:rsidRPr="00066CCB">
        <w:rPr>
          <w:lang w:val="fr-CH"/>
        </w:rPr>
        <w:t>'</w:t>
      </w:r>
      <w:r w:rsidRPr="00066CCB">
        <w:rPr>
          <w:lang w:val="fr-CH"/>
        </w:rPr>
        <w:t xml:space="preserve">Union </w:t>
      </w:r>
    </w:p>
    <w:p w14:paraId="53BC823E" w14:textId="77777777" w:rsidR="003C7775" w:rsidRPr="00066CCB" w:rsidRDefault="003C7775" w:rsidP="00517BDB">
      <w:pPr>
        <w:pStyle w:val="Headingb"/>
        <w:rPr>
          <w:lang w:val="fr-CH"/>
        </w:rPr>
      </w:pPr>
      <w:r w:rsidRPr="00066CCB">
        <w:rPr>
          <w:lang w:val="fr-CH"/>
        </w:rPr>
        <w:t>Principe général:</w:t>
      </w:r>
    </w:p>
    <w:p w14:paraId="01DD791E" w14:textId="4228D012" w:rsidR="003C7775" w:rsidRPr="00066CCB" w:rsidRDefault="003C7775" w:rsidP="00517BDB">
      <w:pPr>
        <w:pStyle w:val="enumlev1"/>
        <w:rPr>
          <w:b/>
          <w:bCs/>
          <w:lang w:val="fr-CH"/>
        </w:rPr>
      </w:pPr>
      <w:r w:rsidRPr="00066CCB">
        <w:rPr>
          <w:b/>
          <w:bCs/>
          <w:lang w:val="fr-CH"/>
        </w:rPr>
        <w:t>•</w:t>
      </w:r>
      <w:r w:rsidRPr="00066CCB">
        <w:rPr>
          <w:b/>
          <w:bCs/>
          <w:lang w:val="fr-CH"/>
        </w:rPr>
        <w:tab/>
        <w:t>Les ressources de l</w:t>
      </w:r>
      <w:r w:rsidR="003B0FB4" w:rsidRPr="00066CCB">
        <w:rPr>
          <w:b/>
          <w:bCs/>
          <w:lang w:val="fr-CH"/>
        </w:rPr>
        <w:t>'</w:t>
      </w:r>
      <w:r w:rsidRPr="00066CCB">
        <w:rPr>
          <w:b/>
          <w:bCs/>
          <w:lang w:val="fr-CH"/>
        </w:rPr>
        <w:t>Union ne peuvent être utilisées que pour permettre à l</w:t>
      </w:r>
      <w:r w:rsidR="003B0FB4" w:rsidRPr="00066CCB">
        <w:rPr>
          <w:b/>
          <w:bCs/>
          <w:lang w:val="fr-CH"/>
        </w:rPr>
        <w:t>'</w:t>
      </w:r>
      <w:r w:rsidRPr="00066CCB">
        <w:rPr>
          <w:b/>
          <w:bCs/>
          <w:lang w:val="fr-CH"/>
        </w:rPr>
        <w:t>organisation de s</w:t>
      </w:r>
      <w:r w:rsidR="003B0FB4" w:rsidRPr="00066CCB">
        <w:rPr>
          <w:b/>
          <w:bCs/>
          <w:lang w:val="fr-CH"/>
        </w:rPr>
        <w:t>'</w:t>
      </w:r>
      <w:r w:rsidRPr="00066CCB">
        <w:rPr>
          <w:b/>
          <w:bCs/>
          <w:lang w:val="fr-CH"/>
        </w:rPr>
        <w:t>acquitter de son mandat et servir au mieux ses intérêts</w:t>
      </w:r>
    </w:p>
    <w:p w14:paraId="287C194A" w14:textId="103918E5" w:rsidR="003C7775" w:rsidRPr="00066CCB" w:rsidRDefault="003C7775" w:rsidP="00517BDB">
      <w:pPr>
        <w:rPr>
          <w:lang w:val="fr-CH"/>
        </w:rPr>
      </w:pPr>
      <w:r w:rsidRPr="00066CCB">
        <w:rPr>
          <w:u w:val="single"/>
          <w:lang w:val="fr-CH"/>
        </w:rPr>
        <w:t>Application</w:t>
      </w:r>
      <w:r w:rsidRPr="00066CCB">
        <w:rPr>
          <w:lang w:val="fr-CH"/>
        </w:rPr>
        <w:t>: Les candidats devraient se garder d</w:t>
      </w:r>
      <w:r w:rsidR="003B0FB4" w:rsidRPr="00066CCB">
        <w:rPr>
          <w:lang w:val="fr-CH"/>
        </w:rPr>
        <w:t>'</w:t>
      </w:r>
      <w:r w:rsidRPr="00066CCB">
        <w:rPr>
          <w:lang w:val="fr-CH"/>
        </w:rPr>
        <w:t>utiliser les ressources de l</w:t>
      </w:r>
      <w:r w:rsidR="003B0FB4" w:rsidRPr="00066CCB">
        <w:rPr>
          <w:lang w:val="fr-CH"/>
        </w:rPr>
        <w:t>'</w:t>
      </w:r>
      <w:r w:rsidRPr="00066CCB">
        <w:rPr>
          <w:lang w:val="fr-CH"/>
        </w:rPr>
        <w:t>Union ou de se servir des fonctions qu</w:t>
      </w:r>
      <w:r w:rsidR="003B0FB4" w:rsidRPr="00066CCB">
        <w:rPr>
          <w:lang w:val="fr-CH"/>
        </w:rPr>
        <w:t>'</w:t>
      </w:r>
      <w:r w:rsidRPr="00066CCB">
        <w:rPr>
          <w:lang w:val="fr-CH"/>
        </w:rPr>
        <w:t>ils occupent – qu</w:t>
      </w:r>
      <w:r w:rsidR="003B0FB4" w:rsidRPr="00066CCB">
        <w:rPr>
          <w:lang w:val="fr-CH"/>
        </w:rPr>
        <w:t>'</w:t>
      </w:r>
      <w:r w:rsidRPr="00066CCB">
        <w:rPr>
          <w:lang w:val="fr-CH"/>
        </w:rPr>
        <w:t>il s</w:t>
      </w:r>
      <w:r w:rsidR="003B0FB4" w:rsidRPr="00066CCB">
        <w:rPr>
          <w:lang w:val="fr-CH"/>
        </w:rPr>
        <w:t>'</w:t>
      </w:r>
      <w:r w:rsidRPr="00066CCB">
        <w:rPr>
          <w:lang w:val="fr-CH"/>
        </w:rPr>
        <w:t>agisse de l</w:t>
      </w:r>
      <w:r w:rsidR="003B0FB4" w:rsidRPr="00066CCB">
        <w:rPr>
          <w:lang w:val="fr-CH"/>
        </w:rPr>
        <w:t>'</w:t>
      </w:r>
      <w:r w:rsidRPr="00066CCB">
        <w:rPr>
          <w:lang w:val="fr-CH"/>
        </w:rPr>
        <w:t>appui en personnel, de voyages en mission officielle et du remboursement des frais ou d</w:t>
      </w:r>
      <w:r w:rsidR="003B0FB4" w:rsidRPr="00066CCB">
        <w:rPr>
          <w:lang w:val="fr-CH"/>
        </w:rPr>
        <w:t>'</w:t>
      </w:r>
      <w:r w:rsidRPr="00066CCB">
        <w:rPr>
          <w:lang w:val="fr-CH"/>
        </w:rPr>
        <w:t>autres ressources administratives – pour promouvoir leur candidature. En agissant de la sorte, ceux qui ont accès à ces ressources pourraient bénéficier d</w:t>
      </w:r>
      <w:r w:rsidR="003B0FB4" w:rsidRPr="00066CCB">
        <w:rPr>
          <w:lang w:val="fr-CH"/>
        </w:rPr>
        <w:t>'</w:t>
      </w:r>
      <w:r w:rsidRPr="00066CCB">
        <w:rPr>
          <w:lang w:val="fr-CH"/>
        </w:rPr>
        <w:t>un avantage indu et retirer de manière abusive un avantage personnel de ressources réservées à un usage officiel.</w:t>
      </w:r>
    </w:p>
    <w:p w14:paraId="3BE2F7DD" w14:textId="77777777" w:rsidR="003C7775" w:rsidRPr="00066CCB" w:rsidRDefault="003C7775" w:rsidP="00517BDB">
      <w:pPr>
        <w:rPr>
          <w:i/>
          <w:iCs/>
          <w:lang w:val="fr-CH"/>
        </w:rPr>
      </w:pPr>
      <w:r w:rsidRPr="00066CCB">
        <w:rPr>
          <w:i/>
          <w:iCs/>
          <w:lang w:val="fr-CH"/>
        </w:rPr>
        <w:t>Exemple:</w:t>
      </w:r>
    </w:p>
    <w:p w14:paraId="0D4BAAD0" w14:textId="61F36585" w:rsidR="003C7775" w:rsidRPr="00066CCB" w:rsidRDefault="003C7775" w:rsidP="00517BDB">
      <w:pPr>
        <w:pStyle w:val="enumlev1"/>
        <w:rPr>
          <w:lang w:val="fr-CH"/>
        </w:rPr>
      </w:pPr>
      <w:r w:rsidRPr="00066CCB">
        <w:rPr>
          <w:lang w:val="fr-CH"/>
        </w:rPr>
        <w:t>•</w:t>
      </w:r>
      <w:r w:rsidRPr="00066CCB">
        <w:rPr>
          <w:lang w:val="fr-CH"/>
        </w:rPr>
        <w:tab/>
        <w:t xml:space="preserve">Un voyage officiel pour une mission ou une manifestation ne devrait </w:t>
      </w:r>
      <w:r w:rsidRPr="00066CCB">
        <w:rPr>
          <w:u w:val="single"/>
          <w:lang w:val="fr-CH"/>
        </w:rPr>
        <w:t>pas</w:t>
      </w:r>
      <w:r w:rsidRPr="00066CCB">
        <w:rPr>
          <w:lang w:val="fr-CH"/>
        </w:rPr>
        <w:t xml:space="preserve"> être effectué ou autorisé si la personne appelée à voyager n</w:t>
      </w:r>
      <w:r w:rsidR="003B0FB4" w:rsidRPr="00066CCB">
        <w:rPr>
          <w:lang w:val="fr-CH"/>
        </w:rPr>
        <w:t>'</w:t>
      </w:r>
      <w:r w:rsidRPr="00066CCB">
        <w:rPr>
          <w:lang w:val="fr-CH"/>
        </w:rPr>
        <w:t xml:space="preserve">est habituellement </w:t>
      </w:r>
      <w:r w:rsidRPr="00066CCB">
        <w:rPr>
          <w:u w:val="single"/>
          <w:lang w:val="fr-CH"/>
        </w:rPr>
        <w:t>pas</w:t>
      </w:r>
      <w:r w:rsidRPr="00066CCB">
        <w:rPr>
          <w:lang w:val="fr-CH"/>
        </w:rPr>
        <w:t xml:space="preserve"> amenée à participer à cette manifestation dans l</w:t>
      </w:r>
      <w:r w:rsidR="003B0FB4" w:rsidRPr="00066CCB">
        <w:rPr>
          <w:lang w:val="fr-CH"/>
        </w:rPr>
        <w:t>'</w:t>
      </w:r>
      <w:r w:rsidRPr="00066CCB">
        <w:rPr>
          <w:lang w:val="fr-CH"/>
        </w:rPr>
        <w:t>exercice normal de ses fonctions officielles pour l</w:t>
      </w:r>
      <w:r w:rsidR="003B0FB4" w:rsidRPr="00066CCB">
        <w:rPr>
          <w:lang w:val="fr-CH"/>
        </w:rPr>
        <w:t>'</w:t>
      </w:r>
      <w:r w:rsidRPr="00066CCB">
        <w:rPr>
          <w:lang w:val="fr-CH"/>
        </w:rPr>
        <w:t>UIT. A l</w:t>
      </w:r>
      <w:r w:rsidR="003B0FB4" w:rsidRPr="00066CCB">
        <w:rPr>
          <w:lang w:val="fr-CH"/>
        </w:rPr>
        <w:t>'</w:t>
      </w:r>
      <w:r w:rsidRPr="00066CCB">
        <w:rPr>
          <w:lang w:val="fr-CH"/>
        </w:rPr>
        <w:t>inverse, si un fonctionnaire en activité est habituellement amené à participer à cette manifestation dans l</w:t>
      </w:r>
      <w:r w:rsidR="003B0FB4" w:rsidRPr="00066CCB">
        <w:rPr>
          <w:lang w:val="fr-CH"/>
        </w:rPr>
        <w:t>'</w:t>
      </w:r>
      <w:r w:rsidRPr="00066CCB">
        <w:rPr>
          <w:lang w:val="fr-CH"/>
        </w:rPr>
        <w:t>exercice de ses fonctions officielles, sa candidature ne devrait pas l</w:t>
      </w:r>
      <w:r w:rsidR="003B0FB4" w:rsidRPr="00066CCB">
        <w:rPr>
          <w:lang w:val="fr-CH"/>
        </w:rPr>
        <w:t>'</w:t>
      </w:r>
      <w:r w:rsidRPr="00066CCB">
        <w:rPr>
          <w:lang w:val="fr-CH"/>
        </w:rPr>
        <w:t>empêcher de participer à la manifestation en question. On trouvera dans les lignes qui suivent des indications plus détaillées sur la conduite à tenir lors d</w:t>
      </w:r>
      <w:r w:rsidR="003B0FB4" w:rsidRPr="00066CCB">
        <w:rPr>
          <w:lang w:val="fr-CH"/>
        </w:rPr>
        <w:t>'</w:t>
      </w:r>
      <w:r w:rsidRPr="00066CCB">
        <w:rPr>
          <w:lang w:val="fr-CH"/>
        </w:rPr>
        <w:t>une manifestation officielle ou d</w:t>
      </w:r>
      <w:r w:rsidR="003B0FB4" w:rsidRPr="00066CCB">
        <w:rPr>
          <w:lang w:val="fr-CH"/>
        </w:rPr>
        <w:t>'</w:t>
      </w:r>
      <w:r w:rsidRPr="00066CCB">
        <w:rPr>
          <w:lang w:val="fr-CH"/>
        </w:rPr>
        <w:t>une mission.</w:t>
      </w:r>
    </w:p>
    <w:p w14:paraId="0BD08882" w14:textId="77777777" w:rsidR="0017247D" w:rsidRDefault="0017247D">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2AE492A7" w14:textId="2EA30978" w:rsidR="003C7775" w:rsidRPr="00066CCB" w:rsidRDefault="003C7775" w:rsidP="0017247D">
      <w:pPr>
        <w:pStyle w:val="enumlev1"/>
        <w:rPr>
          <w:lang w:val="fr-CH"/>
        </w:rPr>
      </w:pPr>
      <w:r w:rsidRPr="00066CCB">
        <w:rPr>
          <w:lang w:val="fr-CH"/>
        </w:rPr>
        <w:lastRenderedPageBreak/>
        <w:t>•</w:t>
      </w:r>
      <w:r w:rsidRPr="00066CCB">
        <w:rPr>
          <w:lang w:val="fr-CH"/>
        </w:rPr>
        <w:tab/>
        <w:t>Les symboles de l</w:t>
      </w:r>
      <w:r w:rsidR="003B0FB4" w:rsidRPr="00066CCB">
        <w:rPr>
          <w:lang w:val="fr-CH"/>
        </w:rPr>
        <w:t>'</w:t>
      </w:r>
      <w:r w:rsidRPr="00066CCB">
        <w:rPr>
          <w:lang w:val="fr-CH"/>
        </w:rPr>
        <w:t>Union (c</w:t>
      </w:r>
      <w:r w:rsidR="003B0FB4" w:rsidRPr="00066CCB">
        <w:rPr>
          <w:lang w:val="fr-CH"/>
        </w:rPr>
        <w:t>'</w:t>
      </w:r>
      <w:r w:rsidRPr="00066CCB">
        <w:rPr>
          <w:lang w:val="fr-CH"/>
        </w:rPr>
        <w:t>est-à-dire le drapeau et/ou l</w:t>
      </w:r>
      <w:r w:rsidR="003B0FB4" w:rsidRPr="00066CCB">
        <w:rPr>
          <w:lang w:val="fr-CH"/>
        </w:rPr>
        <w:t>'</w:t>
      </w:r>
      <w:r w:rsidRPr="00066CCB">
        <w:rPr>
          <w:lang w:val="fr-CH"/>
        </w:rPr>
        <w:t>emblème de l</w:t>
      </w:r>
      <w:r w:rsidR="003B0FB4" w:rsidRPr="00066CCB">
        <w:rPr>
          <w:lang w:val="fr-CH"/>
        </w:rPr>
        <w:t>'</w:t>
      </w:r>
      <w:r w:rsidRPr="00066CCB">
        <w:rPr>
          <w:lang w:val="fr-CH"/>
        </w:rPr>
        <w:t>UIT, ou encore les logos utilisés pour certaines conférences organisées par l</w:t>
      </w:r>
      <w:r w:rsidR="003B0FB4" w:rsidRPr="00066CCB">
        <w:rPr>
          <w:lang w:val="fr-CH"/>
        </w:rPr>
        <w:t>'</w:t>
      </w:r>
      <w:r w:rsidRPr="00066CCB">
        <w:rPr>
          <w:lang w:val="fr-CH"/>
        </w:rPr>
        <w:t>UIT) ne devraient pas être utilisés dans les matériels de promotion d</w:t>
      </w:r>
      <w:r w:rsidR="003B0FB4" w:rsidRPr="00066CCB">
        <w:rPr>
          <w:lang w:val="fr-CH"/>
        </w:rPr>
        <w:t>'</w:t>
      </w:r>
      <w:r w:rsidRPr="00066CCB">
        <w:rPr>
          <w:lang w:val="fr-CH"/>
        </w:rPr>
        <w:t>une candidature, afin de ne pas donner à penser à tort qu</w:t>
      </w:r>
      <w:r w:rsidR="003B0FB4" w:rsidRPr="00066CCB">
        <w:rPr>
          <w:lang w:val="fr-CH"/>
        </w:rPr>
        <w:t>'</w:t>
      </w:r>
      <w:r w:rsidRPr="00066CCB">
        <w:rPr>
          <w:lang w:val="fr-CH"/>
        </w:rPr>
        <w:t>un candidat bénéficie d</w:t>
      </w:r>
      <w:r w:rsidR="003B0FB4" w:rsidRPr="00066CCB">
        <w:rPr>
          <w:lang w:val="fr-CH"/>
        </w:rPr>
        <w:t>'</w:t>
      </w:r>
      <w:r w:rsidRPr="00066CCB">
        <w:rPr>
          <w:lang w:val="fr-CH"/>
        </w:rPr>
        <w:t xml:space="preserve">un soutien officiel. </w:t>
      </w:r>
      <w:r w:rsidR="0017247D">
        <w:rPr>
          <w:lang w:val="fr-CH"/>
        </w:rPr>
        <w:t xml:space="preserve">Le </w:t>
      </w:r>
      <w:r w:rsidR="0017247D">
        <w:t>Bureau de l'éthique</w:t>
      </w:r>
      <w:r w:rsidRPr="00066CCB">
        <w:rPr>
          <w:lang w:val="fr-CH"/>
        </w:rPr>
        <w:t xml:space="preserve"> est prêt à examiner les projets de matériels et à prodiguer des avis sur des cas précis.</w:t>
      </w:r>
    </w:p>
    <w:p w14:paraId="1DDAE723" w14:textId="070D7376" w:rsidR="003C7775" w:rsidRPr="00066CCB" w:rsidRDefault="003C7775" w:rsidP="00517BDB">
      <w:pPr>
        <w:pStyle w:val="enumlev1"/>
        <w:rPr>
          <w:lang w:val="fr-CH"/>
        </w:rPr>
      </w:pPr>
      <w:r w:rsidRPr="00066CCB">
        <w:rPr>
          <w:lang w:val="fr-CH"/>
        </w:rPr>
        <w:t>•</w:t>
      </w:r>
      <w:r w:rsidRPr="00066CCB">
        <w:rPr>
          <w:lang w:val="fr-CH"/>
        </w:rPr>
        <w:tab/>
        <w:t>Les ordinateurs, les imprimantes, les moyens de communication – y compris les comptes de l</w:t>
      </w:r>
      <w:r w:rsidR="003B0FB4" w:rsidRPr="00066CCB">
        <w:rPr>
          <w:lang w:val="fr-CH"/>
        </w:rPr>
        <w:t>'</w:t>
      </w:r>
      <w:r w:rsidRPr="00066CCB">
        <w:rPr>
          <w:lang w:val="fr-CH"/>
        </w:rPr>
        <w:t>UIT sur les réseaux sociaux – et l</w:t>
      </w:r>
      <w:r w:rsidR="003B0FB4" w:rsidRPr="00066CCB">
        <w:rPr>
          <w:lang w:val="fr-CH"/>
        </w:rPr>
        <w:t>'</w:t>
      </w:r>
      <w:r w:rsidRPr="00066CCB">
        <w:rPr>
          <w:lang w:val="fr-CH"/>
        </w:rPr>
        <w:t>en-tête de lettre de l</w:t>
      </w:r>
      <w:r w:rsidR="003B0FB4" w:rsidRPr="00066CCB">
        <w:rPr>
          <w:lang w:val="fr-CH"/>
        </w:rPr>
        <w:t>'</w:t>
      </w:r>
      <w:r w:rsidRPr="00066CCB">
        <w:rPr>
          <w:lang w:val="fr-CH"/>
        </w:rPr>
        <w:t>UIT ne devraient pas être utilisés pour les activités susceptibles d</w:t>
      </w:r>
      <w:r w:rsidR="003B0FB4" w:rsidRPr="00066CCB">
        <w:rPr>
          <w:lang w:val="fr-CH"/>
        </w:rPr>
        <w:t>'</w:t>
      </w:r>
      <w:r w:rsidRPr="00066CCB">
        <w:rPr>
          <w:lang w:val="fr-CH"/>
        </w:rPr>
        <w:t>être menées dans le cadre de la campagne électorale. Il y a lieu d</w:t>
      </w:r>
      <w:r w:rsidR="003B0FB4" w:rsidRPr="00066CCB">
        <w:rPr>
          <w:lang w:val="fr-CH"/>
        </w:rPr>
        <w:t>'</w:t>
      </w:r>
      <w:r w:rsidRPr="00066CCB">
        <w:rPr>
          <w:lang w:val="fr-CH"/>
        </w:rPr>
        <w:t>utiliser un compte de courrier électronique privé (ne figurant pas dans le système de l</w:t>
      </w:r>
      <w:r w:rsidR="003B0FB4" w:rsidRPr="00066CCB">
        <w:rPr>
          <w:lang w:val="fr-CH"/>
        </w:rPr>
        <w:t>'</w:t>
      </w:r>
      <w:r w:rsidRPr="00066CCB">
        <w:rPr>
          <w:lang w:val="fr-CH"/>
        </w:rPr>
        <w:t>UIT) pour la correspondance relative aux activités liées à la campagne électorale. Lorsqu</w:t>
      </w:r>
      <w:r w:rsidR="003B0FB4" w:rsidRPr="00066CCB">
        <w:rPr>
          <w:lang w:val="fr-CH"/>
        </w:rPr>
        <w:t>'</w:t>
      </w:r>
      <w:r w:rsidRPr="00066CCB">
        <w:rPr>
          <w:lang w:val="fr-CH"/>
        </w:rPr>
        <w:t>un fonctionnaire est contacté sur son compte UIT à propos de sa candidature, la correspondance doit être envoyée sur son compte privé et toute correspondance ultérieure doit être acheminée par ce moyen.</w:t>
      </w:r>
    </w:p>
    <w:p w14:paraId="71E1F4B7" w14:textId="45D6D6EF" w:rsidR="003C7775" w:rsidRPr="00066CCB" w:rsidRDefault="003C7775" w:rsidP="00517BDB">
      <w:pPr>
        <w:pStyle w:val="enumlev1"/>
        <w:rPr>
          <w:lang w:val="fr-CH"/>
        </w:rPr>
      </w:pPr>
      <w:r w:rsidRPr="00066CCB">
        <w:rPr>
          <w:lang w:val="fr-CH"/>
        </w:rPr>
        <w:t>•</w:t>
      </w:r>
      <w:r w:rsidRPr="00066CCB">
        <w:rPr>
          <w:lang w:val="fr-CH"/>
        </w:rPr>
        <w:tab/>
        <w:t>Les candidats ne devraient pas demander aux fonctionnaires de l</w:t>
      </w:r>
      <w:r w:rsidR="003B0FB4" w:rsidRPr="00066CCB">
        <w:rPr>
          <w:lang w:val="fr-CH"/>
        </w:rPr>
        <w:t>'</w:t>
      </w:r>
      <w:r w:rsidRPr="00066CCB">
        <w:rPr>
          <w:lang w:val="fr-CH"/>
        </w:rPr>
        <w:t>UIT responsables des activités de communication de l</w:t>
      </w:r>
      <w:r w:rsidR="003B0FB4" w:rsidRPr="00066CCB">
        <w:rPr>
          <w:lang w:val="fr-CH"/>
        </w:rPr>
        <w:t>'</w:t>
      </w:r>
      <w:r w:rsidRPr="00066CCB">
        <w:rPr>
          <w:lang w:val="fr-CH"/>
        </w:rPr>
        <w:t>Union (ou à tout autre fonctionnaire de l</w:t>
      </w:r>
      <w:r w:rsidR="003B0FB4" w:rsidRPr="00066CCB">
        <w:rPr>
          <w:lang w:val="fr-CH"/>
        </w:rPr>
        <w:t>'</w:t>
      </w:r>
      <w:r w:rsidRPr="00066CCB">
        <w:rPr>
          <w:lang w:val="fr-CH"/>
        </w:rPr>
        <w:t>UIT) de leur prêter assistance pour la préparation des matériels de promotion destinés à leur candidature. Il peut s</w:t>
      </w:r>
      <w:r w:rsidR="003B0FB4" w:rsidRPr="00066CCB">
        <w:rPr>
          <w:lang w:val="fr-CH"/>
        </w:rPr>
        <w:t>'</w:t>
      </w:r>
      <w:r w:rsidRPr="00066CCB">
        <w:rPr>
          <w:lang w:val="fr-CH"/>
        </w:rPr>
        <w:t>agir notamment de demande d</w:t>
      </w:r>
      <w:r w:rsidR="003B0FB4" w:rsidRPr="00066CCB">
        <w:rPr>
          <w:lang w:val="fr-CH"/>
        </w:rPr>
        <w:t>'</w:t>
      </w:r>
      <w:r w:rsidRPr="00066CCB">
        <w:rPr>
          <w:lang w:val="fr-CH"/>
        </w:rPr>
        <w:t>avis, de photos, d</w:t>
      </w:r>
      <w:r w:rsidR="003B0FB4" w:rsidRPr="00066CCB">
        <w:rPr>
          <w:lang w:val="fr-CH"/>
        </w:rPr>
        <w:t>'</w:t>
      </w:r>
      <w:r w:rsidRPr="00066CCB">
        <w:rPr>
          <w:lang w:val="fr-CH"/>
        </w:rPr>
        <w:t>assistance ou de commentaires concernant des matériels de promotion.</w:t>
      </w:r>
    </w:p>
    <w:p w14:paraId="047609DE" w14:textId="198BF424" w:rsidR="003C7775" w:rsidRPr="00066CCB" w:rsidRDefault="003C7775" w:rsidP="00517BDB">
      <w:pPr>
        <w:pStyle w:val="enumlev1"/>
        <w:keepNext/>
        <w:keepLines/>
        <w:rPr>
          <w:lang w:val="fr-CH"/>
        </w:rPr>
      </w:pPr>
      <w:r w:rsidRPr="00066CCB">
        <w:rPr>
          <w:lang w:val="fr-CH"/>
        </w:rPr>
        <w:t>B)</w:t>
      </w:r>
      <w:r w:rsidRPr="00066CCB">
        <w:rPr>
          <w:lang w:val="fr-CH"/>
        </w:rPr>
        <w:tab/>
        <w:t>Activités susceptibles d</w:t>
      </w:r>
      <w:r w:rsidR="003B0FB4" w:rsidRPr="00066CCB">
        <w:rPr>
          <w:lang w:val="fr-CH"/>
        </w:rPr>
        <w:t>'</w:t>
      </w:r>
      <w:r w:rsidRPr="00066CCB">
        <w:rPr>
          <w:lang w:val="fr-CH"/>
        </w:rPr>
        <w:t>être menées dans le cadre de la campagne électorale lors de manifestations de l</w:t>
      </w:r>
      <w:r w:rsidR="003B0FB4" w:rsidRPr="00066CCB">
        <w:rPr>
          <w:lang w:val="fr-CH"/>
        </w:rPr>
        <w:t>'</w:t>
      </w:r>
      <w:r w:rsidRPr="00066CCB">
        <w:rPr>
          <w:lang w:val="fr-CH"/>
        </w:rPr>
        <w:t>Union</w:t>
      </w:r>
    </w:p>
    <w:p w14:paraId="3F654704" w14:textId="77777777" w:rsidR="003C7775" w:rsidRPr="00066CCB" w:rsidRDefault="003C7775" w:rsidP="00517BDB">
      <w:pPr>
        <w:pStyle w:val="Headingb"/>
        <w:rPr>
          <w:lang w:val="fr-CH"/>
        </w:rPr>
      </w:pPr>
      <w:r w:rsidRPr="00066CCB">
        <w:rPr>
          <w:lang w:val="fr-CH"/>
        </w:rPr>
        <w:t>Principe général:</w:t>
      </w:r>
    </w:p>
    <w:p w14:paraId="2B62353A" w14:textId="0F39FA87" w:rsidR="003C7775" w:rsidRPr="00066CCB" w:rsidRDefault="003C7775" w:rsidP="00517BDB">
      <w:pPr>
        <w:pStyle w:val="enumlev1"/>
        <w:keepNext/>
        <w:keepLines/>
        <w:rPr>
          <w:b/>
          <w:bCs/>
          <w:lang w:val="fr-CH"/>
        </w:rPr>
      </w:pPr>
      <w:r w:rsidRPr="00066CCB">
        <w:rPr>
          <w:b/>
          <w:bCs/>
          <w:lang w:val="fr-CH"/>
        </w:rPr>
        <w:t>•</w:t>
      </w:r>
      <w:r w:rsidRPr="00066CCB">
        <w:rPr>
          <w:b/>
          <w:bCs/>
          <w:lang w:val="fr-CH"/>
        </w:rPr>
        <w:tab/>
        <w:t>Les activités liées à la campagne électorale ne devraient pas nuire à la conduite des affaires de l</w:t>
      </w:r>
      <w:r w:rsidR="003B0FB4" w:rsidRPr="00066CCB">
        <w:rPr>
          <w:b/>
          <w:bCs/>
          <w:lang w:val="fr-CH"/>
        </w:rPr>
        <w:t>'</w:t>
      </w:r>
      <w:r w:rsidRPr="00066CCB">
        <w:rPr>
          <w:b/>
          <w:bCs/>
          <w:lang w:val="fr-CH"/>
        </w:rPr>
        <w:t xml:space="preserve">Union lors de manifestations officielles </w:t>
      </w:r>
    </w:p>
    <w:p w14:paraId="71A0C490" w14:textId="1758B201" w:rsidR="003C7775" w:rsidRPr="00066CCB" w:rsidRDefault="003C7775" w:rsidP="00517BDB">
      <w:pPr>
        <w:rPr>
          <w:lang w:val="fr-CH"/>
        </w:rPr>
      </w:pPr>
      <w:r w:rsidRPr="00066CCB">
        <w:rPr>
          <w:u w:val="single"/>
          <w:lang w:val="fr-CH"/>
        </w:rPr>
        <w:t>Application</w:t>
      </w:r>
      <w:r w:rsidRPr="00066CCB">
        <w:rPr>
          <w:lang w:val="fr-CH"/>
        </w:rPr>
        <w:t>: Les manifestations de l</w:t>
      </w:r>
      <w:r w:rsidR="003B0FB4" w:rsidRPr="00066CCB">
        <w:rPr>
          <w:lang w:val="fr-CH"/>
        </w:rPr>
        <w:t>'</w:t>
      </w:r>
      <w:r w:rsidRPr="00066CCB">
        <w:rPr>
          <w:lang w:val="fr-CH"/>
        </w:rPr>
        <w:t>Union – ainsi que les manifestations informelles et les activités sociales qui sont organisées à ces occasions – offrent la possibilité d</w:t>
      </w:r>
      <w:r w:rsidR="003B0FB4" w:rsidRPr="00066CCB">
        <w:rPr>
          <w:lang w:val="fr-CH"/>
        </w:rPr>
        <w:t>'</w:t>
      </w:r>
      <w:r w:rsidRPr="00066CCB">
        <w:rPr>
          <w:lang w:val="fr-CH"/>
        </w:rPr>
        <w:t>établir des liens avec les représentants des Etats Membres. Il se peut que certains candidats participent à ces manifestations en raison de leurs responsabilités officielles vis-à-vis de l</w:t>
      </w:r>
      <w:r w:rsidR="003B0FB4" w:rsidRPr="00066CCB">
        <w:rPr>
          <w:lang w:val="fr-CH"/>
        </w:rPr>
        <w:t>'</w:t>
      </w:r>
      <w:r w:rsidRPr="00066CCB">
        <w:rPr>
          <w:lang w:val="fr-CH"/>
        </w:rPr>
        <w:t>UIT, et que d</w:t>
      </w:r>
      <w:r w:rsidR="003B0FB4" w:rsidRPr="00066CCB">
        <w:rPr>
          <w:lang w:val="fr-CH"/>
        </w:rPr>
        <w:t>'</w:t>
      </w:r>
      <w:r w:rsidRPr="00066CCB">
        <w:rPr>
          <w:lang w:val="fr-CH"/>
        </w:rPr>
        <w:t>autres participent à de telles manifestations en tant que membre de la délégation d</w:t>
      </w:r>
      <w:r w:rsidR="003B0FB4" w:rsidRPr="00066CCB">
        <w:rPr>
          <w:lang w:val="fr-CH"/>
        </w:rPr>
        <w:t>'</w:t>
      </w:r>
      <w:r w:rsidRPr="00066CCB">
        <w:rPr>
          <w:lang w:val="fr-CH"/>
        </w:rPr>
        <w:t>un Etat Membre. Il se peut aussi que d</w:t>
      </w:r>
      <w:r w:rsidR="003B0FB4" w:rsidRPr="00066CCB">
        <w:rPr>
          <w:lang w:val="fr-CH"/>
        </w:rPr>
        <w:t>'</w:t>
      </w:r>
      <w:r w:rsidRPr="00066CCB">
        <w:rPr>
          <w:lang w:val="fr-CH"/>
        </w:rPr>
        <w:t>autres n</w:t>
      </w:r>
      <w:r w:rsidR="003B0FB4" w:rsidRPr="00066CCB">
        <w:rPr>
          <w:lang w:val="fr-CH"/>
        </w:rPr>
        <w:t>'</w:t>
      </w:r>
      <w:r w:rsidRPr="00066CCB">
        <w:rPr>
          <w:lang w:val="fr-CH"/>
        </w:rPr>
        <w:t>aient pas de raison officielle de participer à la manifestation, mais souhaitent tirer parti du fait que les parties prenantes concernées sont réunies en un même lieu.</w:t>
      </w:r>
    </w:p>
    <w:p w14:paraId="3FA1C7FE" w14:textId="293455B5" w:rsidR="003C7775" w:rsidRPr="00066CCB" w:rsidRDefault="003C7775" w:rsidP="00517BDB">
      <w:pPr>
        <w:rPr>
          <w:lang w:val="fr-CH"/>
        </w:rPr>
      </w:pPr>
      <w:r w:rsidRPr="00066CCB">
        <w:rPr>
          <w:lang w:val="fr-CH"/>
        </w:rPr>
        <w:t>Conformément aux principes fondamentaux que sont la justice et l</w:t>
      </w:r>
      <w:r w:rsidR="003B0FB4" w:rsidRPr="00066CCB">
        <w:rPr>
          <w:lang w:val="fr-CH"/>
        </w:rPr>
        <w:t>'</w:t>
      </w:r>
      <w:r w:rsidRPr="00066CCB">
        <w:rPr>
          <w:lang w:val="fr-CH"/>
        </w:rPr>
        <w:t>équité, les candidats devraient bénéficier de possibilités égales de nouer des contacts avec les représentants des Etats Membres lorsqu</w:t>
      </w:r>
      <w:r w:rsidR="003B0FB4" w:rsidRPr="00066CCB">
        <w:rPr>
          <w:lang w:val="fr-CH"/>
        </w:rPr>
        <w:t>'</w:t>
      </w:r>
      <w:r w:rsidRPr="00066CCB">
        <w:rPr>
          <w:lang w:val="fr-CH"/>
        </w:rPr>
        <w:t>ils se réunissent pour ces manifestations. Parallèlement, il convient de noter que ces manifestations ont pour but de mieux faire connaître les travaux menés par l</w:t>
      </w:r>
      <w:r w:rsidR="003B0FB4" w:rsidRPr="00066CCB">
        <w:rPr>
          <w:lang w:val="fr-CH"/>
        </w:rPr>
        <w:t>'</w:t>
      </w:r>
      <w:r w:rsidRPr="00066CCB">
        <w:rPr>
          <w:lang w:val="fr-CH"/>
        </w:rPr>
        <w:t>Union dans un domaine particulier, et non pas de servir de cadre pour faire campagne. En conséquence, les personnes devraient s</w:t>
      </w:r>
      <w:r w:rsidR="003B0FB4" w:rsidRPr="00066CCB">
        <w:rPr>
          <w:lang w:val="fr-CH"/>
        </w:rPr>
        <w:t>'</w:t>
      </w:r>
      <w:r w:rsidRPr="00066CCB">
        <w:rPr>
          <w:lang w:val="fr-CH"/>
        </w:rPr>
        <w:t>abstenir de nouer des contacts avec les représentants d</w:t>
      </w:r>
      <w:r w:rsidR="003B0FB4" w:rsidRPr="00066CCB">
        <w:rPr>
          <w:lang w:val="fr-CH"/>
        </w:rPr>
        <w:t>'</w:t>
      </w:r>
      <w:r w:rsidRPr="00066CCB">
        <w:rPr>
          <w:lang w:val="fr-CH"/>
        </w:rPr>
        <w:t>Etats Membres en vue de promouvoir leur candidature au cours d</w:t>
      </w:r>
      <w:r w:rsidR="003B0FB4" w:rsidRPr="00066CCB">
        <w:rPr>
          <w:lang w:val="fr-CH"/>
        </w:rPr>
        <w:t>'</w:t>
      </w:r>
      <w:r w:rsidRPr="00066CCB">
        <w:rPr>
          <w:lang w:val="fr-CH"/>
        </w:rPr>
        <w:t>une manifestation de l</w:t>
      </w:r>
      <w:r w:rsidR="003B0FB4" w:rsidRPr="00066CCB">
        <w:rPr>
          <w:lang w:val="fr-CH"/>
        </w:rPr>
        <w:t>'</w:t>
      </w:r>
      <w:r w:rsidRPr="00066CCB">
        <w:rPr>
          <w:lang w:val="fr-CH"/>
        </w:rPr>
        <w:t>Union. Les manifestations informelles ou les activités sociales organisées dans le cadre de ces manifestations peuvent être utilisées par les candidats pour les activités liées à leur campagne électorale, mais pas sur le site même de la manifestation. D</w:t>
      </w:r>
      <w:r w:rsidR="003B0FB4" w:rsidRPr="00066CCB">
        <w:rPr>
          <w:lang w:val="fr-CH"/>
        </w:rPr>
        <w:t>'</w:t>
      </w:r>
      <w:r w:rsidRPr="00066CCB">
        <w:rPr>
          <w:lang w:val="fr-CH"/>
        </w:rPr>
        <w:t>une manière générale, les candidats devraient s</w:t>
      </w:r>
      <w:r w:rsidR="003B0FB4" w:rsidRPr="00066CCB">
        <w:rPr>
          <w:lang w:val="fr-CH"/>
        </w:rPr>
        <w:t>'</w:t>
      </w:r>
      <w:r w:rsidRPr="00066CCB">
        <w:rPr>
          <w:lang w:val="fr-CH"/>
        </w:rPr>
        <w:t>abstenir de tout comportement donnant à penser que le plus grand soin qui doit être accordé aux affaires de l</w:t>
      </w:r>
      <w:r w:rsidR="003B0FB4" w:rsidRPr="00066CCB">
        <w:rPr>
          <w:lang w:val="fr-CH"/>
        </w:rPr>
        <w:t>'</w:t>
      </w:r>
      <w:r w:rsidRPr="00066CCB">
        <w:rPr>
          <w:lang w:val="fr-CH"/>
        </w:rPr>
        <w:t>Union est détourné par l</w:t>
      </w:r>
      <w:r w:rsidR="003B0FB4" w:rsidRPr="00066CCB">
        <w:rPr>
          <w:lang w:val="fr-CH"/>
        </w:rPr>
        <w:t>'</w:t>
      </w:r>
      <w:r w:rsidRPr="00066CCB">
        <w:rPr>
          <w:lang w:val="fr-CH"/>
        </w:rPr>
        <w:t>attention prêtée aux activités liées à la campagne électorale.</w:t>
      </w:r>
    </w:p>
    <w:p w14:paraId="3C822288" w14:textId="77777777" w:rsidR="003C7775" w:rsidRPr="00066CCB" w:rsidRDefault="003C7775" w:rsidP="0017247D">
      <w:pPr>
        <w:keepNext/>
        <w:keepLines/>
        <w:rPr>
          <w:i/>
          <w:iCs/>
          <w:lang w:val="fr-CH"/>
        </w:rPr>
      </w:pPr>
      <w:r w:rsidRPr="00066CCB">
        <w:rPr>
          <w:i/>
          <w:iCs/>
          <w:lang w:val="fr-CH"/>
        </w:rPr>
        <w:lastRenderedPageBreak/>
        <w:t>Exemple:</w:t>
      </w:r>
    </w:p>
    <w:p w14:paraId="67738B47" w14:textId="5F715A53" w:rsidR="003C7775" w:rsidRPr="00066CCB" w:rsidRDefault="003C7775" w:rsidP="00517BDB">
      <w:pPr>
        <w:pStyle w:val="enumlev1"/>
        <w:rPr>
          <w:lang w:val="fr-CH"/>
        </w:rPr>
      </w:pPr>
      <w:r w:rsidRPr="00066CCB">
        <w:rPr>
          <w:lang w:val="fr-CH"/>
        </w:rPr>
        <w:t>•</w:t>
      </w:r>
      <w:r w:rsidRPr="00066CCB">
        <w:rPr>
          <w:lang w:val="fr-CH"/>
        </w:rPr>
        <w:tab/>
        <w:t>Associer activement les représentants d</w:t>
      </w:r>
      <w:r w:rsidR="003B0FB4" w:rsidRPr="00066CCB">
        <w:rPr>
          <w:lang w:val="fr-CH"/>
        </w:rPr>
        <w:t>'</w:t>
      </w:r>
      <w:r w:rsidRPr="00066CCB">
        <w:rPr>
          <w:lang w:val="fr-CH"/>
        </w:rPr>
        <w:t>Etats Membres à l</w:t>
      </w:r>
      <w:r w:rsidR="003B0FB4" w:rsidRPr="00066CCB">
        <w:rPr>
          <w:lang w:val="fr-CH"/>
        </w:rPr>
        <w:t>'</w:t>
      </w:r>
      <w:r w:rsidRPr="00066CCB">
        <w:rPr>
          <w:lang w:val="fr-CH"/>
        </w:rPr>
        <w:t>examen d</w:t>
      </w:r>
      <w:r w:rsidR="003B0FB4" w:rsidRPr="00066CCB">
        <w:rPr>
          <w:lang w:val="fr-CH"/>
        </w:rPr>
        <w:t>'</w:t>
      </w:r>
      <w:r w:rsidRPr="00066CCB">
        <w:rPr>
          <w:lang w:val="fr-CH"/>
        </w:rPr>
        <w:t>une candidature pendant les travaux officiels risque de nuire à la capacité de parvenir à des conclusions sur les questions officielles pendant cette manifestation. En conséquence, il vaudrait mieux éviter d</w:t>
      </w:r>
      <w:r w:rsidR="003B0FB4" w:rsidRPr="00066CCB">
        <w:rPr>
          <w:lang w:val="fr-CH"/>
        </w:rPr>
        <w:t>'</w:t>
      </w:r>
      <w:r w:rsidRPr="00066CCB">
        <w:rPr>
          <w:lang w:val="fr-CH"/>
        </w:rPr>
        <w:t>associer activement les représentants d</w:t>
      </w:r>
      <w:r w:rsidR="003B0FB4" w:rsidRPr="00066CCB">
        <w:rPr>
          <w:lang w:val="fr-CH"/>
        </w:rPr>
        <w:t>'</w:t>
      </w:r>
      <w:r w:rsidRPr="00066CCB">
        <w:rPr>
          <w:lang w:val="fr-CH"/>
        </w:rPr>
        <w:t>Etats Membres aux questions relatives aux élections pendant une manifestation organisée par l</w:t>
      </w:r>
      <w:r w:rsidR="003B0FB4" w:rsidRPr="00066CCB">
        <w:rPr>
          <w:lang w:val="fr-CH"/>
        </w:rPr>
        <w:t>'</w:t>
      </w:r>
      <w:r w:rsidRPr="00066CCB">
        <w:rPr>
          <w:lang w:val="fr-CH"/>
        </w:rPr>
        <w:t>Union. Les candidats qui sont contactés pendant une manifestation organisée par l</w:t>
      </w:r>
      <w:r w:rsidR="003B0FB4" w:rsidRPr="00066CCB">
        <w:rPr>
          <w:lang w:val="fr-CH"/>
        </w:rPr>
        <w:t>'</w:t>
      </w:r>
      <w:r w:rsidRPr="00066CCB">
        <w:rPr>
          <w:lang w:val="fr-CH"/>
        </w:rPr>
        <w:t>Union pour examiner leur candidature devraient envisager d</w:t>
      </w:r>
      <w:r w:rsidR="003B0FB4" w:rsidRPr="00066CCB">
        <w:rPr>
          <w:lang w:val="fr-CH"/>
        </w:rPr>
        <w:t>'</w:t>
      </w:r>
      <w:r w:rsidRPr="00066CCB">
        <w:rPr>
          <w:lang w:val="fr-CH"/>
        </w:rPr>
        <w:t>inviter la partie concernée à poursuivre cet examen en dehors des réunions officielles, de préférence lors d</w:t>
      </w:r>
      <w:r w:rsidR="003B0FB4" w:rsidRPr="00066CCB">
        <w:rPr>
          <w:lang w:val="fr-CH"/>
        </w:rPr>
        <w:t>'</w:t>
      </w:r>
      <w:r w:rsidRPr="00066CCB">
        <w:rPr>
          <w:lang w:val="fr-CH"/>
        </w:rPr>
        <w:t xml:space="preserve">une réunion programmée après la fin des travaux de la journée, et non pas pendant une </w:t>
      </w:r>
      <w:r w:rsidR="00066CCB" w:rsidRPr="00066CCB">
        <w:rPr>
          <w:lang w:val="fr-CH"/>
        </w:rPr>
        <w:t>pause-café</w:t>
      </w:r>
      <w:r w:rsidRPr="00066CCB">
        <w:rPr>
          <w:lang w:val="fr-CH"/>
        </w:rPr>
        <w:t xml:space="preserve"> ou déjeuner (ces pauses sont par ailleurs fréquemment utilisées pour poursuivre les discussions sur des questions officielles).</w:t>
      </w:r>
    </w:p>
    <w:p w14:paraId="56B314C2" w14:textId="0CEBEA43" w:rsidR="003C7775" w:rsidRPr="00066CCB" w:rsidRDefault="003C7775" w:rsidP="00517BDB">
      <w:pPr>
        <w:pStyle w:val="enumlev1"/>
        <w:rPr>
          <w:lang w:val="fr-CH"/>
        </w:rPr>
      </w:pPr>
      <w:r w:rsidRPr="00066CCB">
        <w:rPr>
          <w:lang w:val="fr-CH"/>
        </w:rPr>
        <w:t>•</w:t>
      </w:r>
      <w:r w:rsidRPr="00066CCB">
        <w:rPr>
          <w:lang w:val="fr-CH"/>
        </w:rPr>
        <w:tab/>
        <w:t>Pendant les manifestations organisées par l</w:t>
      </w:r>
      <w:r w:rsidR="003B0FB4" w:rsidRPr="00066CCB">
        <w:rPr>
          <w:lang w:val="fr-CH"/>
        </w:rPr>
        <w:t>'</w:t>
      </w:r>
      <w:r w:rsidRPr="00066CCB">
        <w:rPr>
          <w:lang w:val="fr-CH"/>
        </w:rPr>
        <w:t>UIT, il est recommandé aux candidats de s</w:t>
      </w:r>
      <w:r w:rsidR="003B0FB4" w:rsidRPr="00066CCB">
        <w:rPr>
          <w:lang w:val="fr-CH"/>
        </w:rPr>
        <w:t>'</w:t>
      </w:r>
      <w:r w:rsidRPr="00066CCB">
        <w:rPr>
          <w:lang w:val="fr-CH"/>
        </w:rPr>
        <w:t>abstenir d</w:t>
      </w:r>
      <w:r w:rsidR="003B0FB4" w:rsidRPr="00066CCB">
        <w:rPr>
          <w:lang w:val="fr-CH"/>
        </w:rPr>
        <w:t>'</w:t>
      </w:r>
      <w:r w:rsidRPr="00066CCB">
        <w:rPr>
          <w:lang w:val="fr-CH"/>
        </w:rPr>
        <w:t>utiliser le site de la manifestation pour des activités liées à leur campagne électorale. Les candidats devront notamment s</w:t>
      </w:r>
      <w:r w:rsidR="003B0FB4" w:rsidRPr="00066CCB">
        <w:rPr>
          <w:lang w:val="fr-CH"/>
        </w:rPr>
        <w:t>'</w:t>
      </w:r>
      <w:r w:rsidRPr="00066CCB">
        <w:rPr>
          <w:lang w:val="fr-CH"/>
        </w:rPr>
        <w:t>abstenir de prononcer des déclarations pour leur campagne électorale pendant les pauses entre les séances sponsorisées par les Etats Membres pour faire connaître leur candidature. Comme nous l</w:t>
      </w:r>
      <w:r w:rsidR="003B0FB4" w:rsidRPr="00066CCB">
        <w:rPr>
          <w:lang w:val="fr-CH"/>
        </w:rPr>
        <w:t>'</w:t>
      </w:r>
      <w:r w:rsidRPr="00066CCB">
        <w:rPr>
          <w:lang w:val="fr-CH"/>
        </w:rPr>
        <w:t>avons indiqué ci</w:t>
      </w:r>
      <w:r w:rsidRPr="00066CCB">
        <w:rPr>
          <w:lang w:val="fr-CH"/>
        </w:rPr>
        <w:noBreakHyphen/>
        <w:t>dessus, les candidats peuvent participer à des activités liées à leur campagne électorale lors de manifestations informelles ou d</w:t>
      </w:r>
      <w:r w:rsidR="003B0FB4" w:rsidRPr="00066CCB">
        <w:rPr>
          <w:lang w:val="fr-CH"/>
        </w:rPr>
        <w:t>'</w:t>
      </w:r>
      <w:r w:rsidRPr="00066CCB">
        <w:rPr>
          <w:lang w:val="fr-CH"/>
        </w:rPr>
        <w:t>activités sociales (par exemple à l</w:t>
      </w:r>
      <w:r w:rsidR="003B0FB4" w:rsidRPr="00066CCB">
        <w:rPr>
          <w:lang w:val="fr-CH"/>
        </w:rPr>
        <w:t>'</w:t>
      </w:r>
      <w:r w:rsidRPr="00066CCB">
        <w:rPr>
          <w:lang w:val="fr-CH"/>
        </w:rPr>
        <w:t>occasion des réceptions organisées par les Etats Membres) en dehors du site de la manifestation organisée par l</w:t>
      </w:r>
      <w:r w:rsidR="003B0FB4" w:rsidRPr="00066CCB">
        <w:rPr>
          <w:lang w:val="fr-CH"/>
        </w:rPr>
        <w:t>'</w:t>
      </w:r>
      <w:r w:rsidRPr="00066CCB">
        <w:rPr>
          <w:lang w:val="fr-CH"/>
        </w:rPr>
        <w:t>UIT.</w:t>
      </w:r>
    </w:p>
    <w:p w14:paraId="2F303AE2" w14:textId="52D91166" w:rsidR="003C7775" w:rsidRPr="00066CCB" w:rsidRDefault="003C7775" w:rsidP="00EE32A1">
      <w:pPr>
        <w:pStyle w:val="enumlev1"/>
        <w:rPr>
          <w:lang w:val="fr-CH"/>
        </w:rPr>
      </w:pPr>
      <w:r w:rsidRPr="00066CCB">
        <w:rPr>
          <w:lang w:val="fr-CH"/>
        </w:rPr>
        <w:t>•</w:t>
      </w:r>
      <w:r w:rsidRPr="00066CCB">
        <w:rPr>
          <w:lang w:val="fr-CH"/>
        </w:rPr>
        <w:tab/>
        <w:t>Les personnes qui se rendent sur le site d</w:t>
      </w:r>
      <w:r w:rsidR="003B0FB4" w:rsidRPr="00066CCB">
        <w:rPr>
          <w:lang w:val="fr-CH"/>
        </w:rPr>
        <w:t>'</w:t>
      </w:r>
      <w:r w:rsidRPr="00066CCB">
        <w:rPr>
          <w:lang w:val="fr-CH"/>
        </w:rPr>
        <w:t>une manifestation pour promouvoir leur candidature – et qui n</w:t>
      </w:r>
      <w:r w:rsidR="003B0FB4" w:rsidRPr="00066CCB">
        <w:rPr>
          <w:lang w:val="fr-CH"/>
        </w:rPr>
        <w:t>'</w:t>
      </w:r>
      <w:r w:rsidRPr="00066CCB">
        <w:rPr>
          <w:lang w:val="fr-CH"/>
        </w:rPr>
        <w:t>auraient en principe pas participé à la manifestation en question dans l</w:t>
      </w:r>
      <w:r w:rsidR="003B0FB4" w:rsidRPr="00066CCB">
        <w:rPr>
          <w:lang w:val="fr-CH"/>
        </w:rPr>
        <w:t>'</w:t>
      </w:r>
      <w:r w:rsidRPr="00066CCB">
        <w:rPr>
          <w:lang w:val="fr-CH"/>
        </w:rPr>
        <w:t>exercice normal de leurs fonctions officielles – devraient à cette fin se mettre en congé de l</w:t>
      </w:r>
      <w:r w:rsidR="003B0FB4" w:rsidRPr="00066CCB">
        <w:rPr>
          <w:lang w:val="fr-CH"/>
        </w:rPr>
        <w:t>'</w:t>
      </w:r>
      <w:r w:rsidRPr="00066CCB">
        <w:rPr>
          <w:lang w:val="fr-CH"/>
        </w:rPr>
        <w:t>Union. De surcroît, comme indiqué ci-dessus, les frais afférents à la participation de ces personnes à une manifestation ne devraient pas être à la charge de l</w:t>
      </w:r>
      <w:r w:rsidR="003B0FB4" w:rsidRPr="00066CCB">
        <w:rPr>
          <w:lang w:val="fr-CH"/>
        </w:rPr>
        <w:t>'</w:t>
      </w:r>
      <w:r w:rsidRPr="00066CCB">
        <w:rPr>
          <w:lang w:val="fr-CH"/>
        </w:rPr>
        <w:t>Union. Il est vivement recommandé aux personnes qui ont l</w:t>
      </w:r>
      <w:r w:rsidR="003B0FB4" w:rsidRPr="00066CCB">
        <w:rPr>
          <w:lang w:val="fr-CH"/>
        </w:rPr>
        <w:t>'</w:t>
      </w:r>
      <w:r w:rsidRPr="00066CCB">
        <w:rPr>
          <w:lang w:val="fr-CH"/>
        </w:rPr>
        <w:t>intention de participer à titre privé à une manifestation de l</w:t>
      </w:r>
      <w:r w:rsidR="003B0FB4" w:rsidRPr="00066CCB">
        <w:rPr>
          <w:lang w:val="fr-CH"/>
        </w:rPr>
        <w:t>'</w:t>
      </w:r>
      <w:r w:rsidRPr="00066CCB">
        <w:rPr>
          <w:lang w:val="fr-CH"/>
        </w:rPr>
        <w:t>UIT d</w:t>
      </w:r>
      <w:r w:rsidR="003B0FB4" w:rsidRPr="00066CCB">
        <w:rPr>
          <w:lang w:val="fr-CH"/>
        </w:rPr>
        <w:t>'</w:t>
      </w:r>
      <w:r w:rsidRPr="00066CCB">
        <w:rPr>
          <w:lang w:val="fr-CH"/>
        </w:rPr>
        <w:t xml:space="preserve">en informer </w:t>
      </w:r>
      <w:r w:rsidR="00EE32A1">
        <w:t>le Bureau de l'éthique</w:t>
      </w:r>
      <w:r w:rsidRPr="00066CCB">
        <w:rPr>
          <w:lang w:val="fr-CH"/>
        </w:rPr>
        <w:t xml:space="preserve">, afin que les aspects particuliers des activités relatives à la campagne électorale puissent être examinés. </w:t>
      </w:r>
    </w:p>
    <w:p w14:paraId="684FB2DC" w14:textId="77777777" w:rsidR="003C7775" w:rsidRPr="00066CCB" w:rsidRDefault="003C7775" w:rsidP="00517BDB">
      <w:pPr>
        <w:pStyle w:val="enumlev1"/>
        <w:rPr>
          <w:lang w:val="fr-CH"/>
        </w:rPr>
      </w:pPr>
      <w:r w:rsidRPr="00066CCB">
        <w:rPr>
          <w:lang w:val="fr-CH"/>
        </w:rPr>
        <w:t>C)</w:t>
      </w:r>
      <w:r w:rsidRPr="00066CCB">
        <w:rPr>
          <w:lang w:val="fr-CH"/>
        </w:rPr>
        <w:tab/>
        <w:t>Rapports avec les Etats Membres</w:t>
      </w:r>
    </w:p>
    <w:p w14:paraId="548D9C0E" w14:textId="77777777" w:rsidR="003C7775" w:rsidRPr="00066CCB" w:rsidRDefault="003C7775" w:rsidP="00517BDB">
      <w:pPr>
        <w:pStyle w:val="Headingb"/>
        <w:rPr>
          <w:lang w:val="fr-CH"/>
        </w:rPr>
      </w:pPr>
      <w:r w:rsidRPr="00066CCB">
        <w:rPr>
          <w:lang w:val="fr-CH"/>
        </w:rPr>
        <w:t>Principe général:</w:t>
      </w:r>
    </w:p>
    <w:p w14:paraId="57A8A1C5" w14:textId="7B0F03C5" w:rsidR="003C7775" w:rsidRPr="00066CCB" w:rsidRDefault="003C7775" w:rsidP="00517BDB">
      <w:pPr>
        <w:pStyle w:val="enumlev1"/>
        <w:rPr>
          <w:b/>
          <w:bCs/>
          <w:lang w:val="fr-CH"/>
        </w:rPr>
      </w:pPr>
      <w:r w:rsidRPr="00066CCB">
        <w:rPr>
          <w:b/>
          <w:bCs/>
          <w:lang w:val="fr-CH"/>
        </w:rPr>
        <w:t>•</w:t>
      </w:r>
      <w:r w:rsidRPr="00066CCB">
        <w:rPr>
          <w:b/>
          <w:bCs/>
          <w:lang w:val="fr-CH"/>
        </w:rPr>
        <w:tab/>
        <w:t>Les valeurs fondamentales que sont l</w:t>
      </w:r>
      <w:r w:rsidR="003B0FB4" w:rsidRPr="00066CCB">
        <w:rPr>
          <w:b/>
          <w:bCs/>
          <w:lang w:val="fr-CH"/>
        </w:rPr>
        <w:t>'</w:t>
      </w:r>
      <w:r w:rsidRPr="00066CCB">
        <w:rPr>
          <w:b/>
          <w:bCs/>
          <w:lang w:val="fr-CH"/>
        </w:rPr>
        <w:t>indépendance, la loyauté à l</w:t>
      </w:r>
      <w:r w:rsidR="003B0FB4" w:rsidRPr="00066CCB">
        <w:rPr>
          <w:b/>
          <w:bCs/>
          <w:lang w:val="fr-CH"/>
        </w:rPr>
        <w:t>'</w:t>
      </w:r>
      <w:r w:rsidRPr="00066CCB">
        <w:rPr>
          <w:b/>
          <w:bCs/>
          <w:lang w:val="fr-CH"/>
        </w:rPr>
        <w:t>égard de l</w:t>
      </w:r>
      <w:r w:rsidR="003B0FB4" w:rsidRPr="00066CCB">
        <w:rPr>
          <w:b/>
          <w:bCs/>
          <w:lang w:val="fr-CH"/>
        </w:rPr>
        <w:t>'</w:t>
      </w:r>
      <w:r w:rsidRPr="00066CCB">
        <w:rPr>
          <w:b/>
          <w:bCs/>
          <w:lang w:val="fr-CH"/>
        </w:rPr>
        <w:t>Union et l</w:t>
      </w:r>
      <w:r w:rsidR="003B0FB4" w:rsidRPr="00066CCB">
        <w:rPr>
          <w:b/>
          <w:bCs/>
          <w:lang w:val="fr-CH"/>
        </w:rPr>
        <w:t>'</w:t>
      </w:r>
      <w:r w:rsidRPr="00066CCB">
        <w:rPr>
          <w:b/>
          <w:bCs/>
          <w:lang w:val="fr-CH"/>
        </w:rPr>
        <w:t>impartialité devraient être respectées, même lors de la coordination d</w:t>
      </w:r>
      <w:r w:rsidR="003B0FB4" w:rsidRPr="00066CCB">
        <w:rPr>
          <w:b/>
          <w:bCs/>
          <w:lang w:val="fr-CH"/>
        </w:rPr>
        <w:t>'</w:t>
      </w:r>
      <w:r w:rsidRPr="00066CCB">
        <w:rPr>
          <w:b/>
          <w:bCs/>
          <w:lang w:val="fr-CH"/>
        </w:rPr>
        <w:t>une candidature avec un Etat Membre</w:t>
      </w:r>
    </w:p>
    <w:p w14:paraId="7B52F6DA" w14:textId="3CF9F4A9" w:rsidR="003C7775" w:rsidRPr="00066CCB" w:rsidRDefault="003C7775" w:rsidP="00517BDB">
      <w:pPr>
        <w:rPr>
          <w:lang w:val="fr-CH"/>
        </w:rPr>
      </w:pPr>
      <w:r w:rsidRPr="00066CCB">
        <w:rPr>
          <w:u w:val="single"/>
          <w:lang w:val="fr-CH"/>
        </w:rPr>
        <w:t>Application</w:t>
      </w:r>
      <w:r w:rsidRPr="00066CCB">
        <w:rPr>
          <w:lang w:val="fr-CH"/>
        </w:rPr>
        <w:t>: Une candidature supposera inévitablement une certaine coordination avec un Etat Membre. Ce type de coordination avec un Etat Membre ne devrait pas compromettre l</w:t>
      </w:r>
      <w:r w:rsidR="003B0FB4" w:rsidRPr="00066CCB">
        <w:rPr>
          <w:lang w:val="fr-CH"/>
        </w:rPr>
        <w:t>'</w:t>
      </w:r>
      <w:r w:rsidRPr="00066CCB">
        <w:rPr>
          <w:lang w:val="fr-CH"/>
        </w:rPr>
        <w:t>indépendance et l</w:t>
      </w:r>
      <w:r w:rsidR="003B0FB4" w:rsidRPr="00066CCB">
        <w:rPr>
          <w:lang w:val="fr-CH"/>
        </w:rPr>
        <w:t>'</w:t>
      </w:r>
      <w:r w:rsidRPr="00066CCB">
        <w:rPr>
          <w:lang w:val="fr-CH"/>
        </w:rPr>
        <w:t>impartialité de la personne en sa qualité de fonctionnaire international, ni sa loyauté envers l</w:t>
      </w:r>
      <w:r w:rsidR="003B0FB4" w:rsidRPr="00066CCB">
        <w:rPr>
          <w:lang w:val="fr-CH"/>
        </w:rPr>
        <w:t>'</w:t>
      </w:r>
      <w:r w:rsidRPr="00066CCB">
        <w:rPr>
          <w:lang w:val="fr-CH"/>
        </w:rPr>
        <w:t>Union. Le respect de ces principes exige que la plus grande attention soit accordée au fait que le comportement d</w:t>
      </w:r>
      <w:r w:rsidR="003B0FB4" w:rsidRPr="00066CCB">
        <w:rPr>
          <w:lang w:val="fr-CH"/>
        </w:rPr>
        <w:t>'</w:t>
      </w:r>
      <w:r w:rsidRPr="00066CCB">
        <w:rPr>
          <w:lang w:val="fr-CH"/>
        </w:rPr>
        <w:t>un fonctionnaire dans le cadre de ses attributions officielles risque d</w:t>
      </w:r>
      <w:r w:rsidR="003B0FB4" w:rsidRPr="00066CCB">
        <w:rPr>
          <w:lang w:val="fr-CH"/>
        </w:rPr>
        <w:t>'</w:t>
      </w:r>
      <w:r w:rsidRPr="00066CCB">
        <w:rPr>
          <w:lang w:val="fr-CH"/>
        </w:rPr>
        <w:t>être perçu comme allant dans le sens des intérêts d</w:t>
      </w:r>
      <w:r w:rsidR="003B0FB4" w:rsidRPr="00066CCB">
        <w:rPr>
          <w:lang w:val="fr-CH"/>
        </w:rPr>
        <w:t>'</w:t>
      </w:r>
      <w:r w:rsidRPr="00066CCB">
        <w:rPr>
          <w:lang w:val="fr-CH"/>
        </w:rPr>
        <w:t>un Etat Membre donné et/ou comme visant essentiellement à promouvoir sa candidature, au lieu de servir les intérêts de l</w:t>
      </w:r>
      <w:r w:rsidR="003B0FB4" w:rsidRPr="00066CCB">
        <w:rPr>
          <w:lang w:val="fr-CH"/>
        </w:rPr>
        <w:t>'</w:t>
      </w:r>
      <w:r w:rsidRPr="00066CCB">
        <w:rPr>
          <w:lang w:val="fr-CH"/>
        </w:rPr>
        <w:t>Union. Il convient d</w:t>
      </w:r>
      <w:r w:rsidR="003B0FB4" w:rsidRPr="00066CCB">
        <w:rPr>
          <w:lang w:val="fr-CH"/>
        </w:rPr>
        <w:t>'</w:t>
      </w:r>
      <w:r w:rsidRPr="00066CCB">
        <w:rPr>
          <w:lang w:val="fr-CH"/>
        </w:rPr>
        <w:t>éviter de laisser entendre qu</w:t>
      </w:r>
      <w:r w:rsidR="003B0FB4" w:rsidRPr="00066CCB">
        <w:rPr>
          <w:lang w:val="fr-CH"/>
        </w:rPr>
        <w:t>'</w:t>
      </w:r>
      <w:r w:rsidRPr="00066CCB">
        <w:rPr>
          <w:lang w:val="fr-CH"/>
        </w:rPr>
        <w:t>une action officielle – actuelle ou future – menée au nom de l</w:t>
      </w:r>
      <w:r w:rsidR="003B0FB4" w:rsidRPr="00066CCB">
        <w:rPr>
          <w:lang w:val="fr-CH"/>
        </w:rPr>
        <w:t>'</w:t>
      </w:r>
      <w:r w:rsidRPr="00066CCB">
        <w:rPr>
          <w:lang w:val="fr-CH"/>
        </w:rPr>
        <w:t>Union est ou sera indûment influencée en contrepartie du soutien apporté à une candidature.</w:t>
      </w:r>
    </w:p>
    <w:p w14:paraId="38D505CD" w14:textId="77777777" w:rsidR="003C7775" w:rsidRPr="00066CCB" w:rsidRDefault="003C7775" w:rsidP="008479E2">
      <w:pPr>
        <w:keepNext/>
        <w:keepLines/>
        <w:rPr>
          <w:i/>
          <w:iCs/>
          <w:lang w:val="fr-CH"/>
        </w:rPr>
      </w:pPr>
      <w:r w:rsidRPr="00066CCB">
        <w:rPr>
          <w:i/>
          <w:iCs/>
          <w:lang w:val="fr-CH"/>
        </w:rPr>
        <w:lastRenderedPageBreak/>
        <w:t>Exemple:</w:t>
      </w:r>
    </w:p>
    <w:p w14:paraId="5F4C6602" w14:textId="0C0EBA05" w:rsidR="003C7775" w:rsidRPr="00066CCB" w:rsidRDefault="003C7775" w:rsidP="00517BDB">
      <w:pPr>
        <w:pStyle w:val="enumlev1"/>
        <w:rPr>
          <w:lang w:val="fr-CH"/>
        </w:rPr>
      </w:pPr>
      <w:r w:rsidRPr="00066CCB">
        <w:rPr>
          <w:lang w:val="fr-CH"/>
        </w:rPr>
        <w:t>•</w:t>
      </w:r>
      <w:r w:rsidRPr="00066CCB">
        <w:rPr>
          <w:lang w:val="fr-CH"/>
        </w:rPr>
        <w:tab/>
        <w:t>La coordination d</w:t>
      </w:r>
      <w:r w:rsidR="003B0FB4" w:rsidRPr="00066CCB">
        <w:rPr>
          <w:lang w:val="fr-CH"/>
        </w:rPr>
        <w:t>'</w:t>
      </w:r>
      <w:r w:rsidRPr="00066CCB">
        <w:rPr>
          <w:lang w:val="fr-CH"/>
        </w:rPr>
        <w:t>une candidature ne devrait pas consister à échanger avec l</w:t>
      </w:r>
      <w:r w:rsidR="003B0FB4" w:rsidRPr="00066CCB">
        <w:rPr>
          <w:lang w:val="fr-CH"/>
        </w:rPr>
        <w:t>'</w:t>
      </w:r>
      <w:r w:rsidRPr="00066CCB">
        <w:rPr>
          <w:lang w:val="fr-CH"/>
        </w:rPr>
        <w:t>Etat Membre qui soutient la candidature des informations qui ne sont par ailleurs pas accessibles à tous les Etats Membres, ou qui ne se prêtent pas à une divulgation au public. Il s</w:t>
      </w:r>
      <w:r w:rsidR="003B0FB4" w:rsidRPr="00066CCB">
        <w:rPr>
          <w:lang w:val="fr-CH"/>
        </w:rPr>
        <w:t>'</w:t>
      </w:r>
      <w:r w:rsidRPr="00066CCB">
        <w:rPr>
          <w:lang w:val="fr-CH"/>
        </w:rPr>
        <w:t>agit notamment des informations relatives au comportement professionnel des autres candidats.</w:t>
      </w:r>
    </w:p>
    <w:p w14:paraId="10F24115" w14:textId="6BEEA0B6" w:rsidR="003C7775" w:rsidRPr="00066CCB" w:rsidRDefault="003C7775" w:rsidP="008479E2">
      <w:pPr>
        <w:pStyle w:val="enumlev1"/>
        <w:rPr>
          <w:lang w:val="fr-CH"/>
        </w:rPr>
      </w:pPr>
      <w:r w:rsidRPr="00066CCB">
        <w:rPr>
          <w:lang w:val="fr-CH"/>
        </w:rPr>
        <w:t>•</w:t>
      </w:r>
      <w:r w:rsidRPr="00066CCB">
        <w:rPr>
          <w:lang w:val="fr-CH"/>
        </w:rPr>
        <w:tab/>
        <w:t>Il se peut que les manifestations organisées par des Etats Membres pour promouvoir la candidature d</w:t>
      </w:r>
      <w:r w:rsidR="003B0FB4" w:rsidRPr="00066CCB">
        <w:rPr>
          <w:lang w:val="fr-CH"/>
        </w:rPr>
        <w:t>'</w:t>
      </w:r>
      <w:r w:rsidRPr="00066CCB">
        <w:rPr>
          <w:lang w:val="fr-CH"/>
        </w:rPr>
        <w:t>une personne comprennent une allocution publique du candidat, visant à exposer sa vision de l</w:t>
      </w:r>
      <w:r w:rsidR="003B0FB4" w:rsidRPr="00066CCB">
        <w:rPr>
          <w:lang w:val="fr-CH"/>
        </w:rPr>
        <w:t>'</w:t>
      </w:r>
      <w:r w:rsidRPr="00066CCB">
        <w:rPr>
          <w:lang w:val="fr-CH"/>
        </w:rPr>
        <w:t>Union. Il se peut aussi qu</w:t>
      </w:r>
      <w:r w:rsidR="003B0FB4" w:rsidRPr="00066CCB">
        <w:rPr>
          <w:lang w:val="fr-CH"/>
        </w:rPr>
        <w:t>'</w:t>
      </w:r>
      <w:r w:rsidRPr="00066CCB">
        <w:rPr>
          <w:lang w:val="fr-CH"/>
        </w:rPr>
        <w:t>une documentation écrite soit élaborée à cet égard. Les personnes qui exercent déjà des fonctions au service de l</w:t>
      </w:r>
      <w:r w:rsidR="003B0FB4" w:rsidRPr="00066CCB">
        <w:rPr>
          <w:lang w:val="fr-CH"/>
        </w:rPr>
        <w:t>'</w:t>
      </w:r>
      <w:r w:rsidRPr="00066CCB">
        <w:rPr>
          <w:lang w:val="fr-CH"/>
        </w:rPr>
        <w:t>Union devraient s</w:t>
      </w:r>
      <w:r w:rsidR="003B0FB4" w:rsidRPr="00066CCB">
        <w:rPr>
          <w:lang w:val="fr-CH"/>
        </w:rPr>
        <w:t>'</w:t>
      </w:r>
      <w:r w:rsidRPr="00066CCB">
        <w:rPr>
          <w:lang w:val="fr-CH"/>
        </w:rPr>
        <w:t>efforcer d</w:t>
      </w:r>
      <w:r w:rsidR="003B0FB4" w:rsidRPr="00066CCB">
        <w:rPr>
          <w:lang w:val="fr-CH"/>
        </w:rPr>
        <w:t>'</w:t>
      </w:r>
      <w:r w:rsidRPr="00066CCB">
        <w:rPr>
          <w:lang w:val="fr-CH"/>
        </w:rPr>
        <w:t>exprimer exclusivement des opinions d</w:t>
      </w:r>
      <w:r w:rsidR="003B0FB4" w:rsidRPr="00066CCB">
        <w:rPr>
          <w:lang w:val="fr-CH"/>
        </w:rPr>
        <w:t>'</w:t>
      </w:r>
      <w:r w:rsidRPr="00066CCB">
        <w:rPr>
          <w:lang w:val="fr-CH"/>
        </w:rPr>
        <w:t>ordre personnel en tant que candidat, sans remettre en question leur indépendance à l</w:t>
      </w:r>
      <w:r w:rsidR="003B0FB4" w:rsidRPr="00066CCB">
        <w:rPr>
          <w:lang w:val="fr-CH"/>
        </w:rPr>
        <w:t>'</w:t>
      </w:r>
      <w:r w:rsidRPr="00066CCB">
        <w:rPr>
          <w:lang w:val="fr-CH"/>
        </w:rPr>
        <w:t>égard des Etats Membres, leur impartialité et leur loyauté envers l</w:t>
      </w:r>
      <w:r w:rsidR="003B0FB4" w:rsidRPr="00066CCB">
        <w:rPr>
          <w:lang w:val="fr-CH"/>
        </w:rPr>
        <w:t>'</w:t>
      </w:r>
      <w:r w:rsidRPr="00066CCB">
        <w:rPr>
          <w:lang w:val="fr-CH"/>
        </w:rPr>
        <w:t>Union. Un message dont on peut raisonnablement penser qu</w:t>
      </w:r>
      <w:r w:rsidR="003B0FB4" w:rsidRPr="00066CCB">
        <w:rPr>
          <w:lang w:val="fr-CH"/>
        </w:rPr>
        <w:t>'</w:t>
      </w:r>
      <w:r w:rsidRPr="00066CCB">
        <w:rPr>
          <w:lang w:val="fr-CH"/>
        </w:rPr>
        <w:t>il vise essentiellement à critiquer l</w:t>
      </w:r>
      <w:r w:rsidR="003B0FB4" w:rsidRPr="00066CCB">
        <w:rPr>
          <w:lang w:val="fr-CH"/>
        </w:rPr>
        <w:t>'</w:t>
      </w:r>
      <w:r w:rsidRPr="00066CCB">
        <w:rPr>
          <w:lang w:val="fr-CH"/>
        </w:rPr>
        <w:t>Union et/ou d</w:t>
      </w:r>
      <w:r w:rsidR="003B0FB4" w:rsidRPr="00066CCB">
        <w:rPr>
          <w:lang w:val="fr-CH"/>
        </w:rPr>
        <w:t>'</w:t>
      </w:r>
      <w:r w:rsidRPr="00066CCB">
        <w:rPr>
          <w:lang w:val="fr-CH"/>
        </w:rPr>
        <w:t>autres candidats, au lieu de présenter une vision positive, irait à l</w:t>
      </w:r>
      <w:r w:rsidR="003B0FB4" w:rsidRPr="00066CCB">
        <w:rPr>
          <w:lang w:val="fr-CH"/>
        </w:rPr>
        <w:t>'</w:t>
      </w:r>
      <w:r w:rsidRPr="00066CCB">
        <w:rPr>
          <w:lang w:val="fr-CH"/>
        </w:rPr>
        <w:t>encontre des principes fondamentaux que sont la bonne foi, la dignité et le respect mutuel, et pourrait être contraire aux obligations incombant aux fonctionnaires internationaux, qui doivent demeurer loyaux à l</w:t>
      </w:r>
      <w:r w:rsidR="003B0FB4" w:rsidRPr="00066CCB">
        <w:rPr>
          <w:lang w:val="fr-CH"/>
        </w:rPr>
        <w:t>'</w:t>
      </w:r>
      <w:r w:rsidRPr="00066CCB">
        <w:rPr>
          <w:lang w:val="fr-CH"/>
        </w:rPr>
        <w:t>égard de l</w:t>
      </w:r>
      <w:r w:rsidR="003B0FB4" w:rsidRPr="00066CCB">
        <w:rPr>
          <w:lang w:val="fr-CH"/>
        </w:rPr>
        <w:t>'</w:t>
      </w:r>
      <w:r w:rsidRPr="00066CCB">
        <w:rPr>
          <w:lang w:val="fr-CH"/>
        </w:rPr>
        <w:t>Union et s</w:t>
      </w:r>
      <w:r w:rsidR="003B0FB4" w:rsidRPr="00066CCB">
        <w:rPr>
          <w:lang w:val="fr-CH"/>
        </w:rPr>
        <w:t>'</w:t>
      </w:r>
      <w:r w:rsidRPr="00066CCB">
        <w:rPr>
          <w:lang w:val="fr-CH"/>
        </w:rPr>
        <w:t>abstenir d</w:t>
      </w:r>
      <w:r w:rsidR="003B0FB4" w:rsidRPr="00066CCB">
        <w:rPr>
          <w:lang w:val="fr-CH"/>
        </w:rPr>
        <w:t>'</w:t>
      </w:r>
      <w:r w:rsidRPr="00066CCB">
        <w:rPr>
          <w:lang w:val="fr-CH"/>
        </w:rPr>
        <w:t>émettre en public des griefs. Compte tenu également des dispositions du cadre juridique régissant les activités extérieures (notamment les déclarations à la presse et la soumission de documents destinés à la publication, qui se rapportent à l</w:t>
      </w:r>
      <w:r w:rsidR="003B0FB4" w:rsidRPr="00066CCB">
        <w:rPr>
          <w:lang w:val="fr-CH"/>
        </w:rPr>
        <w:t>'</w:t>
      </w:r>
      <w:r w:rsidRPr="00066CCB">
        <w:rPr>
          <w:lang w:val="fr-CH"/>
        </w:rPr>
        <w:t>objet, aux activités ou aux intérêts de l</w:t>
      </w:r>
      <w:r w:rsidR="003B0FB4" w:rsidRPr="00066CCB">
        <w:rPr>
          <w:lang w:val="fr-CH"/>
        </w:rPr>
        <w:t>'</w:t>
      </w:r>
      <w:r w:rsidRPr="00066CCB">
        <w:rPr>
          <w:lang w:val="fr-CH"/>
        </w:rPr>
        <w:t xml:space="preserve">Union), </w:t>
      </w:r>
      <w:r w:rsidR="008479E2">
        <w:t>le Bureau de l'éthique</w:t>
      </w:r>
      <w:r w:rsidR="008479E2" w:rsidRPr="00066CCB">
        <w:rPr>
          <w:lang w:val="fr-CH"/>
        </w:rPr>
        <w:t xml:space="preserve"> </w:t>
      </w:r>
      <w:r w:rsidRPr="00066CCB">
        <w:rPr>
          <w:lang w:val="fr-CH"/>
        </w:rPr>
        <w:t>se tient prêt, à titre confidentiel, à examiner à l</w:t>
      </w:r>
      <w:r w:rsidR="003B0FB4" w:rsidRPr="00066CCB">
        <w:rPr>
          <w:lang w:val="fr-CH"/>
        </w:rPr>
        <w:t>'</w:t>
      </w:r>
      <w:r w:rsidRPr="00066CCB">
        <w:rPr>
          <w:lang w:val="fr-CH"/>
        </w:rPr>
        <w:t>avance toute observation publique ou tout document destiné à la publication et à prodiguer des avis à cet égard.</w:t>
      </w:r>
    </w:p>
    <w:p w14:paraId="38B77AC0" w14:textId="77777777" w:rsidR="003C7775" w:rsidRPr="00066CCB" w:rsidRDefault="003C7775" w:rsidP="00517BDB">
      <w:pPr>
        <w:rPr>
          <w:lang w:val="fr-CH"/>
        </w:rPr>
      </w:pPr>
    </w:p>
    <w:p w14:paraId="71ECF376" w14:textId="77777777" w:rsidR="003C7775" w:rsidRPr="00066CCB" w:rsidRDefault="003C7775" w:rsidP="00517BDB">
      <w:pPr>
        <w:pStyle w:val="Reasons"/>
        <w:rPr>
          <w:lang w:val="fr-CH"/>
        </w:rPr>
      </w:pPr>
    </w:p>
    <w:p w14:paraId="2A44DC4C" w14:textId="77777777" w:rsidR="003C7775" w:rsidRPr="00066CCB" w:rsidRDefault="003C7775" w:rsidP="00517BDB">
      <w:pPr>
        <w:jc w:val="center"/>
        <w:rPr>
          <w:lang w:val="fr-CH"/>
        </w:rPr>
      </w:pPr>
      <w:r w:rsidRPr="00066CCB">
        <w:rPr>
          <w:lang w:val="fr-CH"/>
        </w:rPr>
        <w:t>______________</w:t>
      </w:r>
    </w:p>
    <w:p w14:paraId="228F2D5D" w14:textId="77777777" w:rsidR="003C7775" w:rsidRPr="00066CCB" w:rsidRDefault="003C7775" w:rsidP="00517BDB">
      <w:pPr>
        <w:rPr>
          <w:lang w:val="fr-CH"/>
        </w:rPr>
      </w:pPr>
    </w:p>
    <w:sectPr w:rsidR="003C7775" w:rsidRPr="00066CCB" w:rsidSect="005C3890">
      <w:headerReference w:type="even" r:id="rId44"/>
      <w:headerReference w:type="default" r:id="rId45"/>
      <w:footerReference w:type="even" r:id="rId46"/>
      <w:footerReference w:type="default" r:id="rId47"/>
      <w:footerReference w:type="first" r:id="rId4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2F7C7" w14:textId="77777777" w:rsidR="00F3535D" w:rsidRDefault="00F3535D">
      <w:r>
        <w:separator/>
      </w:r>
    </w:p>
  </w:endnote>
  <w:endnote w:type="continuationSeparator" w:id="0">
    <w:p w14:paraId="530BB270" w14:textId="77777777" w:rsidR="00F3535D" w:rsidRDefault="00F3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570E" w14:textId="77777777" w:rsidR="00732045" w:rsidRDefault="00122738">
    <w:pPr>
      <w:pStyle w:val="Footer"/>
    </w:pPr>
    <w:fldSimple w:instr=" FILENAME \p \* MERGEFORMAT ">
      <w:r w:rsidR="006A680F">
        <w:t>P:\FRA\SG\CONSEIL\C18\000\005F.docx</w:t>
      </w:r>
    </w:fldSimple>
    <w:r w:rsidR="00732045">
      <w:tab/>
    </w:r>
    <w:r w:rsidR="002F1B76">
      <w:fldChar w:fldCharType="begin"/>
    </w:r>
    <w:r w:rsidR="00732045">
      <w:instrText xml:space="preserve"> savedate \@ dd.MM.yy </w:instrText>
    </w:r>
    <w:r w:rsidR="002F1B76">
      <w:fldChar w:fldCharType="separate"/>
    </w:r>
    <w:r w:rsidR="004A44DD">
      <w:t>16.04.18</w:t>
    </w:r>
    <w:r w:rsidR="002F1B76">
      <w:fldChar w:fldCharType="end"/>
    </w:r>
    <w:r w:rsidR="00732045">
      <w:tab/>
    </w:r>
    <w:r w:rsidR="002F1B76">
      <w:fldChar w:fldCharType="begin"/>
    </w:r>
    <w:r w:rsidR="00732045">
      <w:instrText xml:space="preserve"> printdate \@ dd.MM.yy </w:instrText>
    </w:r>
    <w:r w:rsidR="002F1B76">
      <w:fldChar w:fldCharType="separate"/>
    </w:r>
    <w:r w:rsidR="006A680F">
      <w:t>12.03.18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5C492" w14:textId="77777777" w:rsidR="00732045" w:rsidRPr="008332CF" w:rsidRDefault="00122738" w:rsidP="008332CF">
    <w:pPr>
      <w:pStyle w:val="Footer"/>
    </w:pPr>
    <w:fldSimple w:instr=" FILENAME \p  \* MERGEFORMAT ">
      <w:r w:rsidR="006A680F">
        <w:t>P:\FRA\SG\CONSEIL\C18\000\005F.docx</w:t>
      </w:r>
    </w:fldSimple>
    <w:r w:rsidR="008332CF">
      <w:t xml:space="preserve"> (425067)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5D4E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B92B3" w14:textId="77777777" w:rsidR="00F3535D" w:rsidRDefault="00F3535D">
      <w:r>
        <w:t>____________________</w:t>
      </w:r>
    </w:p>
  </w:footnote>
  <w:footnote w:type="continuationSeparator" w:id="0">
    <w:p w14:paraId="34B2398D" w14:textId="77777777" w:rsidR="00F3535D" w:rsidRDefault="00F3535D">
      <w:r>
        <w:continuationSeparator/>
      </w:r>
    </w:p>
  </w:footnote>
  <w:footnote w:id="1">
    <w:p w14:paraId="3EAA3FA3" w14:textId="025DC3D1" w:rsidR="003C7775" w:rsidRPr="003C7775" w:rsidRDefault="003C7775">
      <w:pPr>
        <w:pStyle w:val="FootnoteText"/>
        <w:rPr>
          <w:lang w:val="fr-CH"/>
        </w:rPr>
      </w:pPr>
      <w:r>
        <w:rPr>
          <w:rStyle w:val="FootnoteReference"/>
        </w:rPr>
        <w:footnoteRef/>
      </w:r>
      <w:r w:rsidR="0017247D">
        <w:tab/>
        <w:t>En principe, le Bureau de l'éthique</w:t>
      </w:r>
      <w:r>
        <w:t xml:space="preserve"> considère que les activités menées par les candidats dans le cadre de leur campagne devraient être limitées tant que les mesures visant à officialiser leur candidature n'ont pas été prises.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E07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C9DF3D"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A615E" w14:textId="77777777" w:rsidR="00732045" w:rsidRDefault="00C27A7C" w:rsidP="00475FB3">
    <w:pPr>
      <w:pStyle w:val="Header"/>
    </w:pPr>
    <w:r>
      <w:fldChar w:fldCharType="begin"/>
    </w:r>
    <w:r>
      <w:instrText>PAGE</w:instrText>
    </w:r>
    <w:r>
      <w:fldChar w:fldCharType="separate"/>
    </w:r>
    <w:r w:rsidR="004A44DD">
      <w:rPr>
        <w:noProof/>
      </w:rPr>
      <w:t>4</w:t>
    </w:r>
    <w:r>
      <w:rPr>
        <w:noProof/>
      </w:rPr>
      <w:fldChar w:fldCharType="end"/>
    </w:r>
  </w:p>
  <w:p w14:paraId="30F630BC" w14:textId="77777777" w:rsidR="00732045" w:rsidRDefault="00732045" w:rsidP="003C3FAE">
    <w:pPr>
      <w:pStyle w:val="Header"/>
    </w:pPr>
    <w:r>
      <w:t>C1</w:t>
    </w:r>
    <w:r w:rsidR="003C3FAE">
      <w:t>8</w:t>
    </w:r>
    <w:r w:rsidR="008332CF">
      <w:t>/5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B32F1"/>
    <w:multiLevelType w:val="hybridMultilevel"/>
    <w:tmpl w:val="3704F956"/>
    <w:lvl w:ilvl="0" w:tplc="C602AE10">
      <w:start w:val="1"/>
      <w:numFmt w:val="bullet"/>
      <w:lvlText w:val=""/>
      <w:lvlJc w:val="left"/>
      <w:pPr>
        <w:ind w:left="770" w:hanging="360"/>
      </w:pPr>
      <w:rPr>
        <w:rFonts w:ascii="Symbol" w:hAnsi="Symbol" w:hint="default"/>
      </w:rPr>
    </w:lvl>
    <w:lvl w:ilvl="1" w:tplc="42AA07DA" w:tentative="1">
      <w:start w:val="1"/>
      <w:numFmt w:val="bullet"/>
      <w:lvlText w:val="o"/>
      <w:lvlJc w:val="left"/>
      <w:pPr>
        <w:ind w:left="1490" w:hanging="360"/>
      </w:pPr>
      <w:rPr>
        <w:rFonts w:ascii="Courier New" w:hAnsi="Courier New" w:cs="Courier New" w:hint="default"/>
      </w:rPr>
    </w:lvl>
    <w:lvl w:ilvl="2" w:tplc="70D2C2FE" w:tentative="1">
      <w:start w:val="1"/>
      <w:numFmt w:val="bullet"/>
      <w:lvlText w:val=""/>
      <w:lvlJc w:val="left"/>
      <w:pPr>
        <w:ind w:left="2210" w:hanging="360"/>
      </w:pPr>
      <w:rPr>
        <w:rFonts w:ascii="Wingdings" w:hAnsi="Wingdings" w:hint="default"/>
      </w:rPr>
    </w:lvl>
    <w:lvl w:ilvl="3" w:tplc="03622048" w:tentative="1">
      <w:start w:val="1"/>
      <w:numFmt w:val="bullet"/>
      <w:lvlText w:val=""/>
      <w:lvlJc w:val="left"/>
      <w:pPr>
        <w:ind w:left="2930" w:hanging="360"/>
      </w:pPr>
      <w:rPr>
        <w:rFonts w:ascii="Symbol" w:hAnsi="Symbol" w:hint="default"/>
      </w:rPr>
    </w:lvl>
    <w:lvl w:ilvl="4" w:tplc="CC6A8FA8" w:tentative="1">
      <w:start w:val="1"/>
      <w:numFmt w:val="bullet"/>
      <w:lvlText w:val="o"/>
      <w:lvlJc w:val="left"/>
      <w:pPr>
        <w:ind w:left="3650" w:hanging="360"/>
      </w:pPr>
      <w:rPr>
        <w:rFonts w:ascii="Courier New" w:hAnsi="Courier New" w:cs="Courier New" w:hint="default"/>
      </w:rPr>
    </w:lvl>
    <w:lvl w:ilvl="5" w:tplc="8C24B284" w:tentative="1">
      <w:start w:val="1"/>
      <w:numFmt w:val="bullet"/>
      <w:lvlText w:val=""/>
      <w:lvlJc w:val="left"/>
      <w:pPr>
        <w:ind w:left="4370" w:hanging="360"/>
      </w:pPr>
      <w:rPr>
        <w:rFonts w:ascii="Wingdings" w:hAnsi="Wingdings" w:hint="default"/>
      </w:rPr>
    </w:lvl>
    <w:lvl w:ilvl="6" w:tplc="DF7898F2" w:tentative="1">
      <w:start w:val="1"/>
      <w:numFmt w:val="bullet"/>
      <w:lvlText w:val=""/>
      <w:lvlJc w:val="left"/>
      <w:pPr>
        <w:ind w:left="5090" w:hanging="360"/>
      </w:pPr>
      <w:rPr>
        <w:rFonts w:ascii="Symbol" w:hAnsi="Symbol" w:hint="default"/>
      </w:rPr>
    </w:lvl>
    <w:lvl w:ilvl="7" w:tplc="F4F88B3C" w:tentative="1">
      <w:start w:val="1"/>
      <w:numFmt w:val="bullet"/>
      <w:lvlText w:val="o"/>
      <w:lvlJc w:val="left"/>
      <w:pPr>
        <w:ind w:left="5810" w:hanging="360"/>
      </w:pPr>
      <w:rPr>
        <w:rFonts w:ascii="Courier New" w:hAnsi="Courier New" w:cs="Courier New" w:hint="default"/>
      </w:rPr>
    </w:lvl>
    <w:lvl w:ilvl="8" w:tplc="16424BCC" w:tentative="1">
      <w:start w:val="1"/>
      <w:numFmt w:val="bullet"/>
      <w:lvlText w:val=""/>
      <w:lvlJc w:val="left"/>
      <w:pPr>
        <w:ind w:left="6530" w:hanging="360"/>
      </w:pPr>
      <w:rPr>
        <w:rFonts w:ascii="Wingdings" w:hAnsi="Wingdings" w:hint="default"/>
      </w:rPr>
    </w:lvl>
  </w:abstractNum>
  <w:abstractNum w:abstractNumId="1" w15:restartNumberingAfterBreak="0">
    <w:nsid w:val="3A5D42F4"/>
    <w:multiLevelType w:val="hybridMultilevel"/>
    <w:tmpl w:val="B5061C9C"/>
    <w:lvl w:ilvl="0" w:tplc="95E4D55A">
      <w:start w:val="1"/>
      <w:numFmt w:val="bullet"/>
      <w:lvlText w:val=""/>
      <w:lvlJc w:val="left"/>
      <w:pPr>
        <w:ind w:left="720" w:hanging="360"/>
      </w:pPr>
      <w:rPr>
        <w:rFonts w:ascii="Symbol" w:hAnsi="Symbol" w:hint="default"/>
      </w:rPr>
    </w:lvl>
    <w:lvl w:ilvl="1" w:tplc="56009648">
      <w:start w:val="1"/>
      <w:numFmt w:val="bullet"/>
      <w:lvlText w:val="o"/>
      <w:lvlJc w:val="left"/>
      <w:pPr>
        <w:ind w:left="1440" w:hanging="360"/>
      </w:pPr>
      <w:rPr>
        <w:rFonts w:ascii="Courier New" w:hAnsi="Courier New" w:cs="Courier New" w:hint="default"/>
      </w:rPr>
    </w:lvl>
    <w:lvl w:ilvl="2" w:tplc="C21E83E8">
      <w:start w:val="1"/>
      <w:numFmt w:val="bullet"/>
      <w:lvlText w:val=""/>
      <w:lvlJc w:val="left"/>
      <w:pPr>
        <w:ind w:left="2160" w:hanging="360"/>
      </w:pPr>
      <w:rPr>
        <w:rFonts w:ascii="Wingdings" w:hAnsi="Wingdings" w:hint="default"/>
      </w:rPr>
    </w:lvl>
    <w:lvl w:ilvl="3" w:tplc="BE101444" w:tentative="1">
      <w:start w:val="1"/>
      <w:numFmt w:val="bullet"/>
      <w:lvlText w:val=""/>
      <w:lvlJc w:val="left"/>
      <w:pPr>
        <w:ind w:left="2880" w:hanging="360"/>
      </w:pPr>
      <w:rPr>
        <w:rFonts w:ascii="Symbol" w:hAnsi="Symbol" w:hint="default"/>
      </w:rPr>
    </w:lvl>
    <w:lvl w:ilvl="4" w:tplc="E05CE6E4" w:tentative="1">
      <w:start w:val="1"/>
      <w:numFmt w:val="bullet"/>
      <w:lvlText w:val="o"/>
      <w:lvlJc w:val="left"/>
      <w:pPr>
        <w:ind w:left="3600" w:hanging="360"/>
      </w:pPr>
      <w:rPr>
        <w:rFonts w:ascii="Courier New" w:hAnsi="Courier New" w:cs="Courier New" w:hint="default"/>
      </w:rPr>
    </w:lvl>
    <w:lvl w:ilvl="5" w:tplc="4E6CECBE" w:tentative="1">
      <w:start w:val="1"/>
      <w:numFmt w:val="bullet"/>
      <w:lvlText w:val=""/>
      <w:lvlJc w:val="left"/>
      <w:pPr>
        <w:ind w:left="4320" w:hanging="360"/>
      </w:pPr>
      <w:rPr>
        <w:rFonts w:ascii="Wingdings" w:hAnsi="Wingdings" w:hint="default"/>
      </w:rPr>
    </w:lvl>
    <w:lvl w:ilvl="6" w:tplc="EA8A36F4" w:tentative="1">
      <w:start w:val="1"/>
      <w:numFmt w:val="bullet"/>
      <w:lvlText w:val=""/>
      <w:lvlJc w:val="left"/>
      <w:pPr>
        <w:ind w:left="5040" w:hanging="360"/>
      </w:pPr>
      <w:rPr>
        <w:rFonts w:ascii="Symbol" w:hAnsi="Symbol" w:hint="default"/>
      </w:rPr>
    </w:lvl>
    <w:lvl w:ilvl="7" w:tplc="97C0488C" w:tentative="1">
      <w:start w:val="1"/>
      <w:numFmt w:val="bullet"/>
      <w:lvlText w:val="o"/>
      <w:lvlJc w:val="left"/>
      <w:pPr>
        <w:ind w:left="5760" w:hanging="360"/>
      </w:pPr>
      <w:rPr>
        <w:rFonts w:ascii="Courier New" w:hAnsi="Courier New" w:cs="Courier New" w:hint="default"/>
      </w:rPr>
    </w:lvl>
    <w:lvl w:ilvl="8" w:tplc="81C0450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8D"/>
    <w:rsid w:val="00066CCB"/>
    <w:rsid w:val="000D0D0A"/>
    <w:rsid w:val="00103163"/>
    <w:rsid w:val="00115D93"/>
    <w:rsid w:val="00122738"/>
    <w:rsid w:val="001247A8"/>
    <w:rsid w:val="001378C0"/>
    <w:rsid w:val="0016060B"/>
    <w:rsid w:val="0017247D"/>
    <w:rsid w:val="0018694A"/>
    <w:rsid w:val="001A3287"/>
    <w:rsid w:val="001A6508"/>
    <w:rsid w:val="001B07E2"/>
    <w:rsid w:val="001D4C31"/>
    <w:rsid w:val="001E4D21"/>
    <w:rsid w:val="001E5723"/>
    <w:rsid w:val="00207CD1"/>
    <w:rsid w:val="002477A2"/>
    <w:rsid w:val="00263A51"/>
    <w:rsid w:val="00267E02"/>
    <w:rsid w:val="00292C9A"/>
    <w:rsid w:val="002A5D44"/>
    <w:rsid w:val="002E0BC4"/>
    <w:rsid w:val="002F1B76"/>
    <w:rsid w:val="00332B47"/>
    <w:rsid w:val="0033568E"/>
    <w:rsid w:val="00355FF5"/>
    <w:rsid w:val="00361350"/>
    <w:rsid w:val="00382DBE"/>
    <w:rsid w:val="003B0FB4"/>
    <w:rsid w:val="003C3FAE"/>
    <w:rsid w:val="003C7775"/>
    <w:rsid w:val="004038CB"/>
    <w:rsid w:val="0040546F"/>
    <w:rsid w:val="0042404A"/>
    <w:rsid w:val="004258B9"/>
    <w:rsid w:val="00433771"/>
    <w:rsid w:val="0044618F"/>
    <w:rsid w:val="0046769A"/>
    <w:rsid w:val="00471144"/>
    <w:rsid w:val="00475FB3"/>
    <w:rsid w:val="00483B91"/>
    <w:rsid w:val="00491555"/>
    <w:rsid w:val="004A44DD"/>
    <w:rsid w:val="004C37A9"/>
    <w:rsid w:val="004D43DA"/>
    <w:rsid w:val="004F259E"/>
    <w:rsid w:val="004F3403"/>
    <w:rsid w:val="00511F1D"/>
    <w:rsid w:val="00517BDB"/>
    <w:rsid w:val="00520F36"/>
    <w:rsid w:val="00540615"/>
    <w:rsid w:val="00540A6D"/>
    <w:rsid w:val="00571EEA"/>
    <w:rsid w:val="00575417"/>
    <w:rsid w:val="005768E1"/>
    <w:rsid w:val="005B1938"/>
    <w:rsid w:val="005C3890"/>
    <w:rsid w:val="005F7BFE"/>
    <w:rsid w:val="00600017"/>
    <w:rsid w:val="006235CA"/>
    <w:rsid w:val="006643AB"/>
    <w:rsid w:val="006837C4"/>
    <w:rsid w:val="006A680F"/>
    <w:rsid w:val="006B17F8"/>
    <w:rsid w:val="006B34A1"/>
    <w:rsid w:val="007210CD"/>
    <w:rsid w:val="00732045"/>
    <w:rsid w:val="007369DB"/>
    <w:rsid w:val="007956C2"/>
    <w:rsid w:val="007A187E"/>
    <w:rsid w:val="007C72C2"/>
    <w:rsid w:val="007D4436"/>
    <w:rsid w:val="007F257A"/>
    <w:rsid w:val="007F3665"/>
    <w:rsid w:val="00800037"/>
    <w:rsid w:val="008332CF"/>
    <w:rsid w:val="008479E2"/>
    <w:rsid w:val="00861D73"/>
    <w:rsid w:val="00862A46"/>
    <w:rsid w:val="0087126A"/>
    <w:rsid w:val="008A4E87"/>
    <w:rsid w:val="008D76E6"/>
    <w:rsid w:val="009154EB"/>
    <w:rsid w:val="0092392D"/>
    <w:rsid w:val="00931E8D"/>
    <w:rsid w:val="0093234A"/>
    <w:rsid w:val="009467DF"/>
    <w:rsid w:val="00957446"/>
    <w:rsid w:val="009B73CD"/>
    <w:rsid w:val="009C307F"/>
    <w:rsid w:val="00A153B0"/>
    <w:rsid w:val="00A161A5"/>
    <w:rsid w:val="00A2113E"/>
    <w:rsid w:val="00A23A51"/>
    <w:rsid w:val="00A24607"/>
    <w:rsid w:val="00A25CD3"/>
    <w:rsid w:val="00A519AF"/>
    <w:rsid w:val="00A72ECD"/>
    <w:rsid w:val="00A82767"/>
    <w:rsid w:val="00A859EC"/>
    <w:rsid w:val="00AA332F"/>
    <w:rsid w:val="00AA7BBB"/>
    <w:rsid w:val="00AB64A8"/>
    <w:rsid w:val="00AC0266"/>
    <w:rsid w:val="00AD24EC"/>
    <w:rsid w:val="00AE0A0B"/>
    <w:rsid w:val="00B309F9"/>
    <w:rsid w:val="00B32B60"/>
    <w:rsid w:val="00B3393A"/>
    <w:rsid w:val="00B61619"/>
    <w:rsid w:val="00B83679"/>
    <w:rsid w:val="00BB4545"/>
    <w:rsid w:val="00BB4E4F"/>
    <w:rsid w:val="00BD5873"/>
    <w:rsid w:val="00C035E0"/>
    <w:rsid w:val="00C04BE3"/>
    <w:rsid w:val="00C25D29"/>
    <w:rsid w:val="00C27A7C"/>
    <w:rsid w:val="00C51A97"/>
    <w:rsid w:val="00C74867"/>
    <w:rsid w:val="00CA08ED"/>
    <w:rsid w:val="00CF183B"/>
    <w:rsid w:val="00D375CD"/>
    <w:rsid w:val="00D50019"/>
    <w:rsid w:val="00D553A2"/>
    <w:rsid w:val="00D774D3"/>
    <w:rsid w:val="00D904E8"/>
    <w:rsid w:val="00DA08C3"/>
    <w:rsid w:val="00DB5A3E"/>
    <w:rsid w:val="00DC22AA"/>
    <w:rsid w:val="00DF6EF8"/>
    <w:rsid w:val="00DF74DD"/>
    <w:rsid w:val="00E25AD0"/>
    <w:rsid w:val="00E46C8F"/>
    <w:rsid w:val="00EB6350"/>
    <w:rsid w:val="00EB64CB"/>
    <w:rsid w:val="00EE32A1"/>
    <w:rsid w:val="00EF5586"/>
    <w:rsid w:val="00F15B57"/>
    <w:rsid w:val="00F3535D"/>
    <w:rsid w:val="00F427DB"/>
    <w:rsid w:val="00F6047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05FB3"/>
  <w15:docId w15:val="{17BF3868-2F38-486F-9F86-2B29333B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332B47"/>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table" w:styleId="TableGrid">
    <w:name w:val="Table Grid"/>
    <w:basedOn w:val="TableNormal"/>
    <w:rsid w:val="003C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ComplexHeadingsCSTimesNewRoman">
    <w:name w:val="Footnote Text + (Complex) +Headings CS (Times New Roman)"/>
    <w:basedOn w:val="FootnoteText"/>
    <w:rsid w:val="003C7775"/>
    <w:pPr>
      <w:tabs>
        <w:tab w:val="clear" w:pos="256"/>
        <w:tab w:val="clear" w:pos="567"/>
        <w:tab w:val="clear" w:pos="1134"/>
        <w:tab w:val="clear" w:pos="1701"/>
        <w:tab w:val="clear" w:pos="2268"/>
        <w:tab w:val="clear" w:pos="2835"/>
        <w:tab w:val="left" w:pos="255"/>
        <w:tab w:val="left" w:pos="794"/>
        <w:tab w:val="left" w:pos="1191"/>
        <w:tab w:val="left" w:pos="1588"/>
        <w:tab w:val="left" w:pos="1985"/>
      </w:tabs>
      <w:spacing w:before="80"/>
      <w:ind w:left="255" w:hanging="255"/>
      <w:jc w:val="both"/>
    </w:pPr>
    <w:rPr>
      <w:rFonts w:asciiTheme="minorHAnsi" w:hAnsiTheme="minorHAnsi" w:cstheme="majorBidi"/>
    </w:rPr>
  </w:style>
  <w:style w:type="character" w:styleId="CommentReference">
    <w:name w:val="annotation reference"/>
    <w:basedOn w:val="DefaultParagraphFont"/>
    <w:semiHidden/>
    <w:unhideWhenUsed/>
    <w:rsid w:val="004258B9"/>
    <w:rPr>
      <w:sz w:val="16"/>
      <w:szCs w:val="16"/>
    </w:rPr>
  </w:style>
  <w:style w:type="paragraph" w:styleId="CommentText">
    <w:name w:val="annotation text"/>
    <w:basedOn w:val="Normal"/>
    <w:link w:val="CommentTextChar"/>
    <w:semiHidden/>
    <w:unhideWhenUsed/>
    <w:rsid w:val="004258B9"/>
    <w:rPr>
      <w:sz w:val="20"/>
    </w:rPr>
  </w:style>
  <w:style w:type="character" w:customStyle="1" w:styleId="CommentTextChar">
    <w:name w:val="Comment Text Char"/>
    <w:basedOn w:val="DefaultParagraphFont"/>
    <w:link w:val="CommentText"/>
    <w:semiHidden/>
    <w:rsid w:val="004258B9"/>
    <w:rPr>
      <w:rFonts w:ascii="Calibri" w:hAnsi="Calibri"/>
      <w:lang w:val="fr-FR" w:eastAsia="en-US"/>
    </w:rPr>
  </w:style>
  <w:style w:type="paragraph" w:styleId="CommentSubject">
    <w:name w:val="annotation subject"/>
    <w:basedOn w:val="CommentText"/>
    <w:next w:val="CommentText"/>
    <w:link w:val="CommentSubjectChar"/>
    <w:semiHidden/>
    <w:unhideWhenUsed/>
    <w:rsid w:val="004258B9"/>
    <w:rPr>
      <w:b/>
      <w:bCs/>
    </w:rPr>
  </w:style>
  <w:style w:type="character" w:customStyle="1" w:styleId="CommentSubjectChar">
    <w:name w:val="Comment Subject Char"/>
    <w:basedOn w:val="CommentTextChar"/>
    <w:link w:val="CommentSubject"/>
    <w:semiHidden/>
    <w:rsid w:val="004258B9"/>
    <w:rPr>
      <w:rFonts w:ascii="Calibri" w:hAnsi="Calibri"/>
      <w:b/>
      <w:bCs/>
      <w:lang w:val="fr-FR" w:eastAsia="en-US"/>
    </w:rPr>
  </w:style>
  <w:style w:type="paragraph" w:styleId="Revision">
    <w:name w:val="Revision"/>
    <w:hidden/>
    <w:uiPriority w:val="99"/>
    <w:semiHidden/>
    <w:rsid w:val="004258B9"/>
    <w:rPr>
      <w:rFonts w:ascii="Calibri" w:hAnsi="Calibri"/>
      <w:sz w:val="24"/>
      <w:lang w:val="fr-FR" w:eastAsia="en-US"/>
    </w:rPr>
  </w:style>
  <w:style w:type="paragraph" w:styleId="BalloonText">
    <w:name w:val="Balloon Text"/>
    <w:basedOn w:val="Normal"/>
    <w:link w:val="BalloonTextChar"/>
    <w:semiHidden/>
    <w:unhideWhenUsed/>
    <w:rsid w:val="004258B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258B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4-PP-141020-TD-0066/fr" TargetMode="External"/><Relationship Id="rId18" Type="http://schemas.openxmlformats.org/officeDocument/2006/relationships/hyperlink" Target="http://www.itu.int/md/S17-CL-C-0004/fr" TargetMode="External"/><Relationship Id="rId26" Type="http://schemas.openxmlformats.org/officeDocument/2006/relationships/hyperlink" Target="https://www.itu.int/md/S16-SG-CIR-0048/fr" TargetMode="External"/><Relationship Id="rId39" Type="http://schemas.openxmlformats.org/officeDocument/2006/relationships/hyperlink" Target="https://www.unjiu.org/sites/www.unjiu.org/files/jiu_document_files/products/en/reports-notes/JIU%20Products/JIU_REP_2009_8_English.pdf" TargetMode="External"/><Relationship Id="rId3" Type="http://schemas.openxmlformats.org/officeDocument/2006/relationships/styles" Target="styles.xml"/><Relationship Id="rId21" Type="http://schemas.openxmlformats.org/officeDocument/2006/relationships/hyperlink" Target="http://www.itu.int/md/S17-CL-C-0130/fr" TargetMode="External"/><Relationship Id="rId34" Type="http://schemas.openxmlformats.org/officeDocument/2006/relationships/hyperlink" Target="http://www.itu.int/md/S17-CL-C-0096/fr" TargetMode="External"/><Relationship Id="rId42" Type="http://schemas.openxmlformats.org/officeDocument/2006/relationships/hyperlink" Target="http://www.itu.int/md/S18-CL-C-0050/fr"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fr" TargetMode="External"/><Relationship Id="rId17" Type="http://schemas.openxmlformats.org/officeDocument/2006/relationships/hyperlink" Target="http://www.itu.int/md/S16-CL-C-0100/fr" TargetMode="External"/><Relationship Id="rId25" Type="http://schemas.openxmlformats.org/officeDocument/2006/relationships/hyperlink" Target="https://www.itu.int/md/S17-CLCWGFHRM7-C-0010/fr" TargetMode="External"/><Relationship Id="rId33" Type="http://schemas.openxmlformats.org/officeDocument/2006/relationships/hyperlink" Target="http://www.itu.int/md/S17-CL-C-0076/fr" TargetMode="External"/><Relationship Id="rId38" Type="http://schemas.openxmlformats.org/officeDocument/2006/relationships/hyperlink" Target="http://www.ilo.org/gb/about-governing-body/appointment-of-director-general/lang--fr/index.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6-CL-C-0004/fr" TargetMode="External"/><Relationship Id="rId20" Type="http://schemas.openxmlformats.org/officeDocument/2006/relationships/hyperlink" Target="http://www.itu.int/md/S17-CL-C-0096/fr" TargetMode="External"/><Relationship Id="rId29" Type="http://schemas.openxmlformats.org/officeDocument/2006/relationships/hyperlink" Target="https://www.itu.int/md/S16-SG-CIR-0048/fr" TargetMode="External"/><Relationship Id="rId41" Type="http://schemas.openxmlformats.org/officeDocument/2006/relationships/hyperlink" Target="http://www.itu.int/md/S17-CL-C-0096/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fr" TargetMode="External"/><Relationship Id="rId24" Type="http://schemas.openxmlformats.org/officeDocument/2006/relationships/hyperlink" Target="http://www.itu.int/md/S18-CL-C-0050/fr" TargetMode="External"/><Relationship Id="rId32" Type="http://schemas.openxmlformats.org/officeDocument/2006/relationships/hyperlink" Target="http://www.itu.int/md/S17-CL-C-0004/fr" TargetMode="External"/><Relationship Id="rId37" Type="http://schemas.openxmlformats.org/officeDocument/2006/relationships/hyperlink" Target="http://who.int/dg/election/candidates-forum/fr/" TargetMode="External"/><Relationship Id="rId40" Type="http://schemas.openxmlformats.org/officeDocument/2006/relationships/hyperlink" Target="http://www.itu.int/md/S17-CL-C-0076/f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S15-CL-C-0099/fr" TargetMode="External"/><Relationship Id="rId23" Type="http://schemas.openxmlformats.org/officeDocument/2006/relationships/hyperlink" Target="https://www.itu.int/md/S17-CL-170515-DL-0008/fr" TargetMode="External"/><Relationship Id="rId28" Type="http://schemas.openxmlformats.org/officeDocument/2006/relationships/hyperlink" Target="http://www.itu.int/md/S16-CL-C-0004/fr" TargetMode="External"/><Relationship Id="rId36" Type="http://schemas.openxmlformats.org/officeDocument/2006/relationships/hyperlink" Target="https://www.itu.int/md/S17-CL-INF-0006/fr" TargetMode="External"/><Relationship Id="rId49" Type="http://schemas.openxmlformats.org/officeDocument/2006/relationships/fontTable" Target="fontTable.xml"/><Relationship Id="rId10" Type="http://schemas.openxmlformats.org/officeDocument/2006/relationships/hyperlink" Target="http://www.itu.int/pub/S-CONF-PLEN-2015/fr" TargetMode="External"/><Relationship Id="rId19" Type="http://schemas.openxmlformats.org/officeDocument/2006/relationships/hyperlink" Target="http://www.itu.int/md/S17-CL-C-0076/fr" TargetMode="External"/><Relationship Id="rId31" Type="http://schemas.openxmlformats.org/officeDocument/2006/relationships/hyperlink" Target="https://www.itu.int/md/S17-CL-INF-0006/f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8-CL-C-0050/fr" TargetMode="External"/><Relationship Id="rId14" Type="http://schemas.openxmlformats.org/officeDocument/2006/relationships/hyperlink" Target="http://www.itu.int/md/S14-PP-C-0175/fr" TargetMode="External"/><Relationship Id="rId22" Type="http://schemas.openxmlformats.org/officeDocument/2006/relationships/hyperlink" Target="https://www.itu.int/md/S17-CL-INF-0006/fr" TargetMode="External"/><Relationship Id="rId27" Type="http://schemas.openxmlformats.org/officeDocument/2006/relationships/hyperlink" Target="https://www.itu.int/md/S17-SG-CIR-0007/fr" TargetMode="External"/><Relationship Id="rId30" Type="http://schemas.openxmlformats.org/officeDocument/2006/relationships/hyperlink" Target="https://www.itu.int/md/S17-SG-CIR-0007/fr" TargetMode="External"/><Relationship Id="rId35" Type="http://schemas.openxmlformats.org/officeDocument/2006/relationships/hyperlink" Target="https://www.itu.int/md/S17-CL-170515-DL-0008/fr" TargetMode="External"/><Relationship Id="rId43" Type="http://schemas.openxmlformats.org/officeDocument/2006/relationships/hyperlink" Target="http://www.itu.int/md/S17-CL-C-0130/fr" TargetMode="External"/><Relationship Id="rId48" Type="http://schemas.openxmlformats.org/officeDocument/2006/relationships/footer" Target="footer3.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C705-DC7C-4E53-95EC-4E4BDA5B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0</TotalTime>
  <Pages>9</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25608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Janin</cp:lastModifiedBy>
  <cp:revision>2</cp:revision>
  <cp:lastPrinted>2018-03-12T09:56:00Z</cp:lastPrinted>
  <dcterms:created xsi:type="dcterms:W3CDTF">2018-04-17T07:09:00Z</dcterms:created>
  <dcterms:modified xsi:type="dcterms:W3CDTF">2018-04-17T07:09:00Z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