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F4DD7">
        <w:trPr>
          <w:cantSplit/>
        </w:trPr>
        <w:tc>
          <w:tcPr>
            <w:tcW w:w="6912" w:type="dxa"/>
          </w:tcPr>
          <w:p w:rsidR="00520F36" w:rsidRPr="002F4DD7" w:rsidRDefault="00520F36" w:rsidP="003C3FAE">
            <w:pPr>
              <w:spacing w:before="360"/>
              <w:rPr>
                <w:lang w:val="fr-CH"/>
              </w:rPr>
            </w:pPr>
            <w:bookmarkStart w:id="0" w:name="dc06"/>
            <w:bookmarkEnd w:id="0"/>
            <w:r w:rsidRPr="002F4DD7">
              <w:rPr>
                <w:b/>
                <w:bCs/>
                <w:sz w:val="30"/>
                <w:szCs w:val="30"/>
                <w:lang w:val="fr-CH"/>
              </w:rPr>
              <w:t>Conseil 201</w:t>
            </w:r>
            <w:r w:rsidR="003C3FAE" w:rsidRPr="002F4DD7">
              <w:rPr>
                <w:b/>
                <w:bCs/>
                <w:sz w:val="30"/>
                <w:szCs w:val="30"/>
                <w:lang w:val="fr-CH"/>
              </w:rPr>
              <w:t>8</w:t>
            </w:r>
            <w:r w:rsidRPr="002F4DD7">
              <w:rPr>
                <w:rFonts w:ascii="Verdana" w:hAnsi="Verdana"/>
                <w:b/>
                <w:bCs/>
                <w:sz w:val="26"/>
                <w:szCs w:val="26"/>
                <w:lang w:val="fr-CH"/>
              </w:rPr>
              <w:br/>
            </w:r>
            <w:r w:rsidRPr="002F4DD7">
              <w:rPr>
                <w:b/>
                <w:bCs/>
                <w:szCs w:val="24"/>
                <w:lang w:val="fr-CH"/>
              </w:rPr>
              <w:t>Gen</w:t>
            </w:r>
            <w:r w:rsidRPr="002F4DD7">
              <w:rPr>
                <w:b/>
                <w:bCs/>
                <w:szCs w:val="24"/>
                <w:lang w:val="en-US"/>
              </w:rPr>
              <w:t>ève</w:t>
            </w:r>
            <w:r w:rsidRPr="002F4DD7">
              <w:rPr>
                <w:b/>
                <w:bCs/>
                <w:szCs w:val="24"/>
                <w:lang w:val="fr-CH"/>
              </w:rPr>
              <w:t>, 1</w:t>
            </w:r>
            <w:r w:rsidR="003C3FAE" w:rsidRPr="002F4DD7">
              <w:rPr>
                <w:b/>
                <w:bCs/>
                <w:szCs w:val="24"/>
                <w:lang w:val="fr-CH"/>
              </w:rPr>
              <w:t>7</w:t>
            </w:r>
            <w:r w:rsidRPr="002F4DD7">
              <w:rPr>
                <w:b/>
                <w:bCs/>
                <w:szCs w:val="24"/>
                <w:lang w:val="fr-CH"/>
              </w:rPr>
              <w:t>-2</w:t>
            </w:r>
            <w:r w:rsidR="003C3FAE" w:rsidRPr="002F4DD7">
              <w:rPr>
                <w:b/>
                <w:bCs/>
                <w:szCs w:val="24"/>
                <w:lang w:val="fr-CH"/>
              </w:rPr>
              <w:t>7</w:t>
            </w:r>
            <w:r w:rsidRPr="002F4DD7">
              <w:rPr>
                <w:b/>
                <w:bCs/>
                <w:szCs w:val="24"/>
                <w:lang w:val="fr-CH"/>
              </w:rPr>
              <w:t xml:space="preserve"> </w:t>
            </w:r>
            <w:r w:rsidR="003C3FAE" w:rsidRPr="002F4DD7">
              <w:rPr>
                <w:b/>
                <w:bCs/>
                <w:szCs w:val="24"/>
                <w:lang w:val="fr-CH"/>
              </w:rPr>
              <w:t>avril</w:t>
            </w:r>
            <w:r w:rsidRPr="002F4DD7">
              <w:rPr>
                <w:b/>
                <w:bCs/>
                <w:szCs w:val="24"/>
                <w:lang w:val="fr-CH"/>
              </w:rPr>
              <w:t xml:space="preserve"> 201</w:t>
            </w:r>
            <w:r w:rsidR="003C3FAE" w:rsidRPr="002F4DD7">
              <w:rPr>
                <w:b/>
                <w:bCs/>
                <w:szCs w:val="24"/>
                <w:lang w:val="fr-CH"/>
              </w:rPr>
              <w:t>8</w:t>
            </w:r>
          </w:p>
        </w:tc>
        <w:tc>
          <w:tcPr>
            <w:tcW w:w="3261" w:type="dxa"/>
          </w:tcPr>
          <w:p w:rsidR="00520F36" w:rsidRPr="002F4DD7" w:rsidRDefault="00520F36" w:rsidP="00520F36">
            <w:pPr>
              <w:spacing w:before="0"/>
              <w:jc w:val="right"/>
              <w:rPr>
                <w:lang w:val="fr-CH"/>
              </w:rPr>
            </w:pPr>
            <w:bookmarkStart w:id="1" w:name="ditulogo"/>
            <w:bookmarkEnd w:id="1"/>
            <w:r w:rsidRPr="002F4DD7">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2F4DD7" w:rsidTr="00EF41DD">
        <w:trPr>
          <w:cantSplit/>
          <w:trHeight w:val="20"/>
        </w:trPr>
        <w:tc>
          <w:tcPr>
            <w:tcW w:w="6912" w:type="dxa"/>
            <w:tcBorders>
              <w:bottom w:val="single" w:sz="12" w:space="0" w:color="auto"/>
            </w:tcBorders>
            <w:vAlign w:val="center"/>
          </w:tcPr>
          <w:p w:rsidR="00520F36" w:rsidRPr="002F4DD7" w:rsidRDefault="00520F36" w:rsidP="004C37A9">
            <w:pPr>
              <w:spacing w:before="0"/>
              <w:rPr>
                <w:b/>
                <w:bCs/>
                <w:sz w:val="26"/>
                <w:szCs w:val="26"/>
                <w:lang w:val="fr-CH"/>
              </w:rPr>
            </w:pPr>
          </w:p>
        </w:tc>
        <w:tc>
          <w:tcPr>
            <w:tcW w:w="3261" w:type="dxa"/>
            <w:tcBorders>
              <w:bottom w:val="single" w:sz="12" w:space="0" w:color="auto"/>
            </w:tcBorders>
          </w:tcPr>
          <w:p w:rsidR="00520F36" w:rsidRPr="002F4DD7" w:rsidRDefault="00520F36" w:rsidP="00DF74DD">
            <w:pPr>
              <w:spacing w:before="0"/>
              <w:rPr>
                <w:b/>
                <w:bCs/>
              </w:rPr>
            </w:pPr>
          </w:p>
        </w:tc>
      </w:tr>
      <w:tr w:rsidR="00520F36" w:rsidRPr="002F4DD7">
        <w:trPr>
          <w:cantSplit/>
          <w:trHeight w:val="20"/>
        </w:trPr>
        <w:tc>
          <w:tcPr>
            <w:tcW w:w="6912" w:type="dxa"/>
            <w:tcBorders>
              <w:top w:val="single" w:sz="12" w:space="0" w:color="auto"/>
            </w:tcBorders>
          </w:tcPr>
          <w:p w:rsidR="00520F36" w:rsidRPr="002F4DD7" w:rsidRDefault="00520F36" w:rsidP="00DF74DD">
            <w:pPr>
              <w:spacing w:before="0"/>
              <w:rPr>
                <w:smallCaps/>
                <w:sz w:val="22"/>
                <w:lang w:val="fr-CH"/>
              </w:rPr>
            </w:pPr>
          </w:p>
        </w:tc>
        <w:tc>
          <w:tcPr>
            <w:tcW w:w="3261" w:type="dxa"/>
            <w:tcBorders>
              <w:top w:val="single" w:sz="12" w:space="0" w:color="auto"/>
            </w:tcBorders>
          </w:tcPr>
          <w:p w:rsidR="00520F36" w:rsidRPr="002F4DD7" w:rsidRDefault="00520F36" w:rsidP="00DF74DD">
            <w:pPr>
              <w:spacing w:before="0"/>
              <w:rPr>
                <w:b/>
                <w:bCs/>
              </w:rPr>
            </w:pPr>
          </w:p>
        </w:tc>
      </w:tr>
      <w:tr w:rsidR="00520F36" w:rsidRPr="002F4DD7">
        <w:trPr>
          <w:cantSplit/>
          <w:trHeight w:val="20"/>
        </w:trPr>
        <w:tc>
          <w:tcPr>
            <w:tcW w:w="6912" w:type="dxa"/>
            <w:vMerge w:val="restart"/>
          </w:tcPr>
          <w:p w:rsidR="00520F36" w:rsidRPr="002F4DD7" w:rsidRDefault="00D5763E" w:rsidP="00DF74DD">
            <w:pPr>
              <w:spacing w:before="0"/>
              <w:rPr>
                <w:rFonts w:cs="Times"/>
                <w:b/>
                <w:bCs/>
                <w:szCs w:val="24"/>
                <w:lang w:val="fr-CH"/>
              </w:rPr>
            </w:pPr>
            <w:bookmarkStart w:id="2" w:name="dnum" w:colFirst="1" w:colLast="1"/>
            <w:bookmarkStart w:id="3" w:name="dmeeting" w:colFirst="0" w:colLast="0"/>
            <w:r w:rsidRPr="002F4DD7">
              <w:rPr>
                <w:rFonts w:cs="Times"/>
                <w:b/>
                <w:bCs/>
                <w:szCs w:val="24"/>
              </w:rPr>
              <w:t>Point de l'ordre du jour: PL 2.4</w:t>
            </w:r>
          </w:p>
        </w:tc>
        <w:tc>
          <w:tcPr>
            <w:tcW w:w="3261" w:type="dxa"/>
          </w:tcPr>
          <w:p w:rsidR="00520F36" w:rsidRPr="002F4DD7" w:rsidRDefault="00520F36" w:rsidP="003C3FAE">
            <w:pPr>
              <w:spacing w:before="0"/>
              <w:rPr>
                <w:b/>
                <w:bCs/>
              </w:rPr>
            </w:pPr>
            <w:r w:rsidRPr="002F4DD7">
              <w:rPr>
                <w:b/>
                <w:bCs/>
              </w:rPr>
              <w:t>Document C1</w:t>
            </w:r>
            <w:r w:rsidR="003C3FAE" w:rsidRPr="002F4DD7">
              <w:rPr>
                <w:b/>
                <w:bCs/>
              </w:rPr>
              <w:t>8</w:t>
            </w:r>
            <w:r w:rsidRPr="002F4DD7">
              <w:rPr>
                <w:b/>
                <w:bCs/>
              </w:rPr>
              <w:t>/</w:t>
            </w:r>
            <w:r w:rsidR="00D5763E" w:rsidRPr="002F4DD7">
              <w:rPr>
                <w:b/>
                <w:bCs/>
              </w:rPr>
              <w:t>4</w:t>
            </w:r>
            <w:r w:rsidRPr="002F4DD7">
              <w:rPr>
                <w:b/>
                <w:bCs/>
              </w:rPr>
              <w:t>-F</w:t>
            </w:r>
          </w:p>
        </w:tc>
      </w:tr>
      <w:tr w:rsidR="00520F36" w:rsidRPr="002F4DD7">
        <w:trPr>
          <w:cantSplit/>
          <w:trHeight w:val="20"/>
        </w:trPr>
        <w:tc>
          <w:tcPr>
            <w:tcW w:w="6912" w:type="dxa"/>
            <w:vMerge/>
          </w:tcPr>
          <w:p w:rsidR="00520F36" w:rsidRPr="002F4DD7"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2F4DD7" w:rsidRDefault="00D5763E" w:rsidP="003C3FAE">
            <w:pPr>
              <w:spacing w:before="0"/>
              <w:rPr>
                <w:b/>
                <w:bCs/>
              </w:rPr>
            </w:pPr>
            <w:r w:rsidRPr="002F4DD7">
              <w:rPr>
                <w:b/>
                <w:bCs/>
              </w:rPr>
              <w:t>27 mars</w:t>
            </w:r>
            <w:r w:rsidR="00520F36" w:rsidRPr="002F4DD7">
              <w:rPr>
                <w:b/>
                <w:bCs/>
              </w:rPr>
              <w:t xml:space="preserve"> 201</w:t>
            </w:r>
            <w:r w:rsidR="003C3FAE" w:rsidRPr="002F4DD7">
              <w:rPr>
                <w:b/>
                <w:bCs/>
              </w:rPr>
              <w:t>8</w:t>
            </w:r>
          </w:p>
        </w:tc>
      </w:tr>
      <w:tr w:rsidR="00520F36" w:rsidRPr="002F4DD7">
        <w:trPr>
          <w:cantSplit/>
          <w:trHeight w:val="20"/>
        </w:trPr>
        <w:tc>
          <w:tcPr>
            <w:tcW w:w="6912" w:type="dxa"/>
            <w:vMerge/>
          </w:tcPr>
          <w:p w:rsidR="00520F36" w:rsidRPr="002F4DD7"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2F4DD7" w:rsidRDefault="00520F36" w:rsidP="00520F36">
            <w:pPr>
              <w:spacing w:before="0"/>
              <w:rPr>
                <w:b/>
                <w:bCs/>
              </w:rPr>
            </w:pPr>
            <w:r w:rsidRPr="002F4DD7">
              <w:rPr>
                <w:b/>
                <w:bCs/>
              </w:rPr>
              <w:t>Original: anglais</w:t>
            </w:r>
          </w:p>
        </w:tc>
      </w:tr>
      <w:tr w:rsidR="00520F36" w:rsidRPr="002F4DD7">
        <w:trPr>
          <w:cantSplit/>
        </w:trPr>
        <w:tc>
          <w:tcPr>
            <w:tcW w:w="10173" w:type="dxa"/>
            <w:gridSpan w:val="2"/>
          </w:tcPr>
          <w:p w:rsidR="00520F36" w:rsidRPr="002F4DD7" w:rsidRDefault="00D5763E" w:rsidP="00DF74DD">
            <w:pPr>
              <w:pStyle w:val="Source"/>
            </w:pPr>
            <w:bookmarkStart w:id="6" w:name="dsource" w:colFirst="0" w:colLast="0"/>
            <w:bookmarkEnd w:id="5"/>
            <w:r w:rsidRPr="002F4DD7">
              <w:t>Rapport du Secrétaire général</w:t>
            </w:r>
          </w:p>
        </w:tc>
      </w:tr>
      <w:tr w:rsidR="00520F36" w:rsidRPr="002F4DD7">
        <w:trPr>
          <w:cantSplit/>
        </w:trPr>
        <w:tc>
          <w:tcPr>
            <w:tcW w:w="10173" w:type="dxa"/>
            <w:gridSpan w:val="2"/>
          </w:tcPr>
          <w:p w:rsidR="00520F36" w:rsidRPr="002F4DD7" w:rsidRDefault="00D5763E" w:rsidP="00DF74DD">
            <w:pPr>
              <w:pStyle w:val="Title1"/>
            </w:pPr>
            <w:bookmarkStart w:id="7" w:name="dtitle1" w:colFirst="0" w:colLast="0"/>
            <w:bookmarkEnd w:id="6"/>
            <w:r w:rsidRPr="002F4DD7">
              <w:t xml:space="preserve">Travaux préparatoires en vue DE LA CONFÉRENCE </w:t>
            </w:r>
            <w:r w:rsidRPr="002F4DD7">
              <w:br/>
              <w:t>DE PLÉNIPOTENTIAIRES DE 2018</w:t>
            </w:r>
          </w:p>
        </w:tc>
      </w:tr>
      <w:bookmarkEnd w:id="7"/>
    </w:tbl>
    <w:p w:rsidR="00520F36" w:rsidRPr="002F4DD7"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F4DD7">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2F4DD7" w:rsidRDefault="00520F36">
            <w:pPr>
              <w:pStyle w:val="Headingb"/>
              <w:rPr>
                <w:lang w:val="fr-CH"/>
              </w:rPr>
            </w:pPr>
            <w:r w:rsidRPr="002F4DD7">
              <w:rPr>
                <w:lang w:val="fr-CH"/>
              </w:rPr>
              <w:t>Résumé</w:t>
            </w:r>
          </w:p>
          <w:p w:rsidR="00520F36" w:rsidRPr="002F4DD7" w:rsidRDefault="00D5763E" w:rsidP="00D5763E">
            <w:pPr>
              <w:rPr>
                <w:lang w:val="fr-CH"/>
              </w:rPr>
            </w:pPr>
            <w:r w:rsidRPr="002F4DD7">
              <w:rPr>
                <w:lang w:val="fr-CH"/>
              </w:rPr>
              <w:t>Le présent document a pour objet de présenter au Conseil un point sur l'état d'avancement des travaux préparatoires en vue de la prochaine Conférence de plénipotentiaires (PP-18).</w:t>
            </w:r>
          </w:p>
          <w:p w:rsidR="00520F36" w:rsidRPr="002F4DD7" w:rsidRDefault="00520F36">
            <w:pPr>
              <w:pStyle w:val="Headingb"/>
              <w:rPr>
                <w:lang w:val="fr-CH"/>
              </w:rPr>
            </w:pPr>
            <w:r w:rsidRPr="002F4DD7">
              <w:rPr>
                <w:lang w:val="fr-CH"/>
              </w:rPr>
              <w:t>Suite à donner</w:t>
            </w:r>
          </w:p>
          <w:p w:rsidR="00520F36" w:rsidRPr="002F4DD7" w:rsidRDefault="00D5763E">
            <w:pPr>
              <w:rPr>
                <w:lang w:val="fr-CH"/>
              </w:rPr>
            </w:pPr>
            <w:r w:rsidRPr="002F4DD7">
              <w:rPr>
                <w:color w:val="000000"/>
              </w:rPr>
              <w:t xml:space="preserve">Le Conseil est invité à </w:t>
            </w:r>
            <w:r w:rsidRPr="002F4DD7">
              <w:rPr>
                <w:b/>
                <w:bCs/>
                <w:color w:val="000000"/>
              </w:rPr>
              <w:t>prendre note</w:t>
            </w:r>
            <w:r w:rsidRPr="002F4DD7">
              <w:rPr>
                <w:color w:val="000000"/>
              </w:rPr>
              <w:t xml:space="preserve"> de l'état d'avancement des travaux préparatoires en vue de la PP-18.</w:t>
            </w:r>
          </w:p>
          <w:p w:rsidR="00520F36" w:rsidRPr="002F4DD7" w:rsidRDefault="00520F36">
            <w:pPr>
              <w:pStyle w:val="Table"/>
              <w:keepNext w:val="0"/>
              <w:spacing w:before="0" w:after="0"/>
              <w:rPr>
                <w:rFonts w:ascii="Calibri" w:hAnsi="Calibri"/>
                <w:caps w:val="0"/>
                <w:sz w:val="22"/>
                <w:lang w:val="fr-CH"/>
              </w:rPr>
            </w:pPr>
            <w:r w:rsidRPr="002F4DD7">
              <w:rPr>
                <w:rFonts w:ascii="Calibri" w:hAnsi="Calibri"/>
                <w:caps w:val="0"/>
                <w:sz w:val="22"/>
                <w:lang w:val="fr-CH"/>
              </w:rPr>
              <w:t>____________</w:t>
            </w:r>
          </w:p>
          <w:p w:rsidR="00520F36" w:rsidRPr="002F4DD7" w:rsidRDefault="00520F36">
            <w:pPr>
              <w:pStyle w:val="Headingb"/>
              <w:rPr>
                <w:lang w:val="fr-CH"/>
              </w:rPr>
            </w:pPr>
            <w:r w:rsidRPr="002F4DD7">
              <w:rPr>
                <w:lang w:val="fr-CH"/>
              </w:rPr>
              <w:t>Références</w:t>
            </w:r>
          </w:p>
          <w:bookmarkStart w:id="8" w:name="lt_pId018"/>
          <w:p w:rsidR="00520F36" w:rsidRPr="002F4DD7" w:rsidRDefault="009B52DD" w:rsidP="00D5763E">
            <w:pPr>
              <w:spacing w:after="120"/>
              <w:rPr>
                <w:i/>
                <w:iCs/>
                <w:lang w:val="fr-CH"/>
              </w:rPr>
            </w:pPr>
            <w:r w:rsidRPr="002F4DD7">
              <w:rPr>
                <w:rFonts w:asciiTheme="minorHAnsi" w:hAnsiTheme="minorHAnsi" w:cstheme="minorHAnsi"/>
                <w:i/>
                <w:iCs/>
              </w:rPr>
              <w:fldChar w:fldCharType="begin"/>
            </w:r>
            <w:r w:rsidRPr="002F4DD7">
              <w:rPr>
                <w:rFonts w:asciiTheme="minorHAnsi" w:hAnsiTheme="minorHAnsi" w:cstheme="minorHAnsi"/>
                <w:i/>
                <w:iCs/>
              </w:rPr>
              <w:instrText xml:space="preserve"> HYPERLINK "https://www.itu.int/pub/S-CONF-PLEN-2015/fr" </w:instrText>
            </w:r>
            <w:r w:rsidRPr="002F4DD7">
              <w:rPr>
                <w:rFonts w:asciiTheme="minorHAnsi" w:hAnsiTheme="minorHAnsi" w:cstheme="minorHAnsi"/>
                <w:i/>
                <w:iCs/>
              </w:rPr>
              <w:fldChar w:fldCharType="separate"/>
            </w:r>
            <w:r w:rsidR="00D5763E" w:rsidRPr="002F4DD7">
              <w:rPr>
                <w:rStyle w:val="Hyperlink"/>
                <w:rFonts w:asciiTheme="minorHAnsi" w:hAnsiTheme="minorHAnsi" w:cstheme="minorHAnsi"/>
                <w:i/>
                <w:iCs/>
              </w:rPr>
              <w:t>Numéro 2 de la Convention</w:t>
            </w:r>
            <w:r w:rsidRPr="002F4DD7">
              <w:rPr>
                <w:rFonts w:asciiTheme="minorHAnsi" w:hAnsiTheme="minorHAnsi" w:cstheme="minorHAnsi"/>
                <w:i/>
                <w:iCs/>
              </w:rPr>
              <w:fldChar w:fldCharType="end"/>
            </w:r>
            <w:r w:rsidR="00D5763E" w:rsidRPr="002F4DD7">
              <w:rPr>
                <w:i/>
                <w:iCs/>
              </w:rPr>
              <w:t xml:space="preserve">; </w:t>
            </w:r>
            <w:hyperlink r:id="rId8" w:history="1">
              <w:r w:rsidR="00D5763E" w:rsidRPr="002F4DD7">
                <w:rPr>
                  <w:rStyle w:val="Hyperlink"/>
                  <w:i/>
                  <w:iCs/>
                </w:rPr>
                <w:t xml:space="preserve">Résolution 77 (Rév. </w:t>
              </w:r>
              <w:r w:rsidR="003E4C20">
                <w:rPr>
                  <w:rStyle w:val="Hyperlink"/>
                  <w:i/>
                  <w:iCs/>
                  <w:lang w:val="fr-CH"/>
                </w:rPr>
                <w:t>Busan, 2014) de la C</w:t>
              </w:r>
              <w:r w:rsidR="00D5763E" w:rsidRPr="002F4DD7">
                <w:rPr>
                  <w:rStyle w:val="Hyperlink"/>
                  <w:i/>
                  <w:iCs/>
                  <w:lang w:val="fr-CH"/>
                </w:rPr>
                <w:t>onférence de plénipotentiaires</w:t>
              </w:r>
            </w:hyperlink>
            <w:hyperlink r:id="rId9" w:history="1"/>
            <w:r w:rsidR="00D5763E" w:rsidRPr="002F4DD7">
              <w:rPr>
                <w:i/>
                <w:iCs/>
                <w:lang w:val="fr-CH"/>
              </w:rPr>
              <w:t>;</w:t>
            </w:r>
            <w:r w:rsidR="00D5763E" w:rsidRPr="002F4DD7">
              <w:rPr>
                <w:rFonts w:cstheme="minorHAnsi"/>
                <w:i/>
                <w:iCs/>
                <w:szCs w:val="24"/>
                <w:lang w:val="fr-CH"/>
              </w:rPr>
              <w:t xml:space="preserve"> </w:t>
            </w:r>
            <w:hyperlink r:id="rId10" w:history="1">
              <w:r w:rsidR="00D5763E" w:rsidRPr="002F4DD7">
                <w:rPr>
                  <w:rStyle w:val="Hyperlink"/>
                  <w:rFonts w:cstheme="minorHAnsi"/>
                  <w:i/>
                  <w:iCs/>
                  <w:szCs w:val="24"/>
                  <w:lang w:val="fr-CH"/>
                </w:rPr>
                <w:t xml:space="preserve">Documents </w:t>
              </w:r>
              <w:bookmarkEnd w:id="8"/>
              <w:r w:rsidR="00D5763E" w:rsidRPr="002F4DD7">
                <w:rPr>
                  <w:rStyle w:val="Hyperlink"/>
                  <w:rFonts w:asciiTheme="minorHAnsi" w:hAnsiTheme="minorHAnsi"/>
                  <w:i/>
                  <w:iCs/>
                  <w:szCs w:val="24"/>
                  <w:lang w:val="fr-CH"/>
                </w:rPr>
                <w:t>PP-14/178</w:t>
              </w:r>
              <w:r w:rsidR="00D5763E" w:rsidRPr="002F4DD7">
                <w:rPr>
                  <w:lang w:val="fr-CH"/>
                </w:rPr>
                <w:t>,</w:t>
              </w:r>
            </w:hyperlink>
            <w:r w:rsidR="00D5763E" w:rsidRPr="002F4DD7">
              <w:rPr>
                <w:rFonts w:asciiTheme="minorHAnsi" w:hAnsiTheme="minorHAnsi"/>
                <w:i/>
                <w:iCs/>
                <w:szCs w:val="24"/>
                <w:lang w:val="fr-CH"/>
              </w:rPr>
              <w:t xml:space="preserve"> </w:t>
            </w:r>
            <w:hyperlink r:id="rId11" w:history="1">
              <w:r w:rsidR="00D5763E" w:rsidRPr="002F4DD7">
                <w:rPr>
                  <w:rStyle w:val="Hyperlink"/>
                  <w:rFonts w:asciiTheme="minorHAnsi" w:hAnsiTheme="minorHAnsi"/>
                  <w:i/>
                  <w:iCs/>
                  <w:szCs w:val="24"/>
                  <w:lang w:val="fr-CH" w:eastAsia="zh-CN"/>
                </w:rPr>
                <w:t>C16/110</w:t>
              </w:r>
            </w:hyperlink>
            <w:r w:rsidR="00D5763E" w:rsidRPr="002F4DD7">
              <w:t>,</w:t>
            </w:r>
            <w:r w:rsidR="00D5763E" w:rsidRPr="002F4DD7">
              <w:rPr>
                <w:rStyle w:val="Hyperlink"/>
                <w:rFonts w:asciiTheme="minorHAnsi" w:hAnsiTheme="minorHAnsi"/>
                <w:i/>
                <w:iCs/>
                <w:szCs w:val="24"/>
                <w:lang w:val="fr-CH" w:eastAsia="zh-CN"/>
              </w:rPr>
              <w:t xml:space="preserve"> </w:t>
            </w:r>
            <w:hyperlink r:id="rId12" w:history="1">
              <w:r w:rsidR="00D5763E" w:rsidRPr="002F4DD7">
                <w:rPr>
                  <w:rStyle w:val="Hyperlink"/>
                  <w:rFonts w:asciiTheme="minorHAnsi" w:hAnsiTheme="minorHAnsi"/>
                  <w:i/>
                  <w:iCs/>
                  <w:szCs w:val="24"/>
                  <w:lang w:val="fr-CH" w:eastAsia="zh-CN"/>
                </w:rPr>
                <w:t>C17/5</w:t>
              </w:r>
            </w:hyperlink>
            <w:r w:rsidR="00D5763E" w:rsidRPr="002F4DD7">
              <w:t>,</w:t>
            </w:r>
            <w:r w:rsidR="00D5763E" w:rsidRPr="002F4DD7">
              <w:rPr>
                <w:rStyle w:val="Hyperlink"/>
                <w:rFonts w:asciiTheme="minorHAnsi" w:hAnsiTheme="minorHAnsi"/>
                <w:i/>
                <w:iCs/>
                <w:szCs w:val="24"/>
                <w:lang w:val="fr-CH" w:eastAsia="zh-CN"/>
              </w:rPr>
              <w:t xml:space="preserve"> </w:t>
            </w:r>
            <w:hyperlink r:id="rId13" w:history="1">
              <w:r w:rsidR="00D5763E" w:rsidRPr="002F4DD7">
                <w:rPr>
                  <w:rStyle w:val="Hyperlink"/>
                  <w:rFonts w:asciiTheme="minorHAnsi" w:hAnsiTheme="minorHAnsi"/>
                  <w:i/>
                  <w:iCs/>
                  <w:szCs w:val="24"/>
                  <w:lang w:val="fr-CH" w:eastAsia="zh-CN"/>
                </w:rPr>
                <w:t>C17/DL/8</w:t>
              </w:r>
            </w:hyperlink>
            <w:r w:rsidR="00D5763E" w:rsidRPr="002F4DD7">
              <w:t xml:space="preserve">, et </w:t>
            </w:r>
            <w:hyperlink r:id="rId14" w:history="1">
              <w:r w:rsidR="00D5763E" w:rsidRPr="002F4DD7">
                <w:rPr>
                  <w:rStyle w:val="Hyperlink"/>
                  <w:rFonts w:asciiTheme="minorHAnsi" w:hAnsiTheme="minorHAnsi"/>
                  <w:i/>
                  <w:iCs/>
                  <w:szCs w:val="24"/>
                  <w:lang w:val="fr-CH" w:eastAsia="zh-CN"/>
                </w:rPr>
                <w:t>C17/130(Rév.1)</w:t>
              </w:r>
            </w:hyperlink>
          </w:p>
        </w:tc>
      </w:tr>
    </w:tbl>
    <w:p w:rsidR="00D5763E" w:rsidRPr="002F4DD7" w:rsidRDefault="009B52DD" w:rsidP="009B52DD">
      <w:pPr>
        <w:pStyle w:val="Heading1"/>
      </w:pPr>
      <w:r w:rsidRPr="002F4DD7">
        <w:t>1</w:t>
      </w:r>
      <w:r w:rsidR="00D5763E" w:rsidRPr="002F4DD7">
        <w:tab/>
        <w:t>Introduction</w:t>
      </w:r>
    </w:p>
    <w:p w:rsidR="00D5763E" w:rsidRPr="002F4DD7" w:rsidRDefault="00D5763E" w:rsidP="009B52DD">
      <w:pPr>
        <w:rPr>
          <w:rFonts w:asciiTheme="minorHAnsi" w:hAnsiTheme="minorHAnsi" w:cstheme="minorHAnsi"/>
          <w:bCs/>
          <w:lang w:val="fr-CH"/>
        </w:rPr>
      </w:pPr>
      <w:r w:rsidRPr="002F4DD7">
        <w:rPr>
          <w:rFonts w:asciiTheme="minorHAnsi" w:eastAsia="SimSun" w:hAnsiTheme="minorHAnsi" w:cstheme="minorHAnsi"/>
          <w:bCs/>
          <w:lang w:val="fr-CH" w:eastAsia="zh-CN"/>
        </w:rPr>
        <w:t>1.1</w:t>
      </w:r>
      <w:r w:rsidRPr="002F4DD7">
        <w:rPr>
          <w:rFonts w:asciiTheme="minorHAnsi" w:eastAsia="SimSun" w:hAnsiTheme="minorHAnsi" w:cstheme="minorHAnsi"/>
          <w:bCs/>
          <w:lang w:val="fr-CH" w:eastAsia="zh-CN"/>
        </w:rPr>
        <w:tab/>
      </w:r>
      <w:bookmarkStart w:id="9" w:name="lt_pId025"/>
      <w:r w:rsidRPr="002F4DD7">
        <w:t xml:space="preserve">Le présent document fait le point sur l'état d'avancement des travaux préparatoires en vue de la Conférence de plénipotentiaires de </w:t>
      </w:r>
      <w:r w:rsidRPr="002F4DD7">
        <w:rPr>
          <w:rFonts w:asciiTheme="minorHAnsi" w:hAnsiTheme="minorHAnsi" w:cstheme="minorHAnsi"/>
          <w:bCs/>
        </w:rPr>
        <w:t>2018 (PP-18).</w:t>
      </w:r>
      <w:bookmarkEnd w:id="9"/>
    </w:p>
    <w:p w:rsidR="00D5763E" w:rsidRPr="002F4DD7" w:rsidRDefault="009B52DD" w:rsidP="009B52DD">
      <w:pPr>
        <w:pStyle w:val="Heading1"/>
        <w:rPr>
          <w:lang w:val="fr-CH"/>
        </w:rPr>
      </w:pPr>
      <w:r w:rsidRPr="002F4DD7">
        <w:rPr>
          <w:lang w:val="fr-CH"/>
        </w:rPr>
        <w:t>2</w:t>
      </w:r>
      <w:r w:rsidR="00D5763E" w:rsidRPr="002F4DD7">
        <w:rPr>
          <w:lang w:val="fr-CH"/>
        </w:rPr>
        <w:tab/>
        <w:t>Accord de pays hôte et visite sur place</w:t>
      </w:r>
    </w:p>
    <w:p w:rsidR="00D5763E" w:rsidRPr="002F4DD7" w:rsidRDefault="00D5763E" w:rsidP="009B52DD">
      <w:pPr>
        <w:rPr>
          <w:lang w:val="fr-CH"/>
        </w:rPr>
      </w:pPr>
      <w:r w:rsidRPr="002F4DD7">
        <w:rPr>
          <w:lang w:val="fr-CH"/>
        </w:rPr>
        <w:t>2.1</w:t>
      </w:r>
      <w:r w:rsidRPr="002F4DD7">
        <w:rPr>
          <w:lang w:val="fr-CH"/>
        </w:rPr>
        <w:tab/>
        <w:t xml:space="preserve">Les négociations entre les </w:t>
      </w:r>
      <w:r w:rsidR="009B52DD" w:rsidRPr="002F4DD7">
        <w:rPr>
          <w:lang w:val="fr-CH"/>
        </w:rPr>
        <w:t>E</w:t>
      </w:r>
      <w:r w:rsidRPr="002F4DD7">
        <w:rPr>
          <w:lang w:val="fr-CH"/>
        </w:rPr>
        <w:t>mirats arabes unis (EAU) et l'UI</w:t>
      </w:r>
      <w:r w:rsidR="003E4C20">
        <w:rPr>
          <w:lang w:val="fr-CH"/>
        </w:rPr>
        <w:t>T ont été fructueuses et, le 31 </w:t>
      </w:r>
      <w:r w:rsidRPr="002F4DD7">
        <w:rPr>
          <w:lang w:val="fr-CH"/>
        </w:rPr>
        <w:t>octobre 2017, l'Accord de pays hôte a été signé à Abu Dhabi (EAU) par M. Houlin Zhao, Secrétaire général de l'UIT, et S.</w:t>
      </w:r>
      <w:r w:rsidR="003E4C20">
        <w:rPr>
          <w:lang w:val="fr-CH"/>
        </w:rPr>
        <w:t xml:space="preserve"> </w:t>
      </w:r>
      <w:r w:rsidRPr="002F4DD7">
        <w:rPr>
          <w:lang w:val="fr-CH"/>
        </w:rPr>
        <w:t xml:space="preserve">E. Hamad Obaid Al Mansoori, Directeur général de l'Autorité de régulation des télécommunications (TRA) des </w:t>
      </w:r>
      <w:r w:rsidR="009B52DD" w:rsidRPr="002F4DD7">
        <w:rPr>
          <w:lang w:val="fr-CH"/>
        </w:rPr>
        <w:t>E</w:t>
      </w:r>
      <w:r w:rsidRPr="002F4DD7">
        <w:rPr>
          <w:lang w:val="fr-CH"/>
        </w:rPr>
        <w:t xml:space="preserve">mirats arabes unis. </w:t>
      </w:r>
      <w:r w:rsidRPr="002F4DD7">
        <w:t>Le communiqué de presse de l'UIT disponible à l'adresse</w:t>
      </w:r>
      <w:r w:rsidRPr="002F4DD7">
        <w:rPr>
          <w:lang w:val="fr-CH"/>
        </w:rPr>
        <w:t xml:space="preserve"> </w:t>
      </w:r>
      <w:hyperlink r:id="rId15" w:history="1">
        <w:r w:rsidRPr="002F4DD7">
          <w:rPr>
            <w:rStyle w:val="Hyperlink"/>
            <w:rFonts w:asciiTheme="minorHAnsi" w:hAnsiTheme="minorHAnsi"/>
            <w:lang w:val="fr-CH"/>
          </w:rPr>
          <w:t>https://www.itu.int/en/mediacentre/Pages/2017-PR59.aspx</w:t>
        </w:r>
      </w:hyperlink>
      <w:r w:rsidRPr="002F4DD7">
        <w:t xml:space="preserve"> contient des renseignements plus détaillés à ce sujet</w:t>
      </w:r>
      <w:r w:rsidRPr="002F4DD7">
        <w:rPr>
          <w:lang w:val="fr-CH"/>
        </w:rPr>
        <w:t xml:space="preserve">. </w:t>
      </w:r>
      <w:r w:rsidRPr="002F4DD7">
        <w:t>L'Accord de pays hôte a été publié sous la forme d'un document d'information du Conseil</w:t>
      </w:r>
      <w:r w:rsidRPr="002F4DD7">
        <w:rPr>
          <w:lang w:val="fr-CH"/>
        </w:rPr>
        <w:t xml:space="preserve"> (</w:t>
      </w:r>
      <w:hyperlink r:id="rId16" w:history="1">
        <w:r w:rsidRPr="002F4DD7">
          <w:rPr>
            <w:rStyle w:val="Hyperlink"/>
            <w:rFonts w:asciiTheme="minorHAnsi" w:hAnsiTheme="minorHAnsi"/>
            <w:lang w:val="fr-CH"/>
          </w:rPr>
          <w:t>C18/INF/7</w:t>
        </w:r>
      </w:hyperlink>
      <w:r w:rsidRPr="002F4DD7">
        <w:rPr>
          <w:lang w:val="fr-CH"/>
        </w:rPr>
        <w:t>).</w:t>
      </w:r>
    </w:p>
    <w:p w:rsidR="00D5763E" w:rsidRPr="002F4DD7" w:rsidRDefault="00D5763E" w:rsidP="009B52DD">
      <w:pPr>
        <w:rPr>
          <w:rFonts w:asciiTheme="minorHAnsi" w:hAnsiTheme="minorHAnsi"/>
          <w:lang w:val="fr-CH"/>
        </w:rPr>
      </w:pPr>
      <w:r w:rsidRPr="002F4DD7">
        <w:rPr>
          <w:rFonts w:asciiTheme="minorHAnsi" w:hAnsiTheme="minorHAnsi"/>
          <w:lang w:val="fr-CH"/>
        </w:rPr>
        <w:lastRenderedPageBreak/>
        <w:t>2.2</w:t>
      </w:r>
      <w:r w:rsidRPr="002F4DD7">
        <w:rPr>
          <w:rFonts w:asciiTheme="minorHAnsi" w:hAnsiTheme="minorHAnsi"/>
          <w:lang w:val="fr-CH"/>
        </w:rPr>
        <w:tab/>
      </w:r>
      <w:r w:rsidR="003E4C20">
        <w:t xml:space="preserve">Le </w:t>
      </w:r>
      <w:r w:rsidR="005C7871">
        <w:t>S</w:t>
      </w:r>
      <w:r w:rsidRPr="002F4DD7">
        <w:t>ecrétariat de l'UIT a effectué une deuxième visite sur place du 13 au 15 mars 2018 afin de rencontrer les interlocuteurs dans le pays hôte, de visiter les infrastructures, les hôtels et le centre de conférences du Dubai World Trade Centre, d'élaborer le plan de sécurité et le plan de communication, ainsi que de progresser dans l'organisation logistique.</w:t>
      </w:r>
    </w:p>
    <w:p w:rsidR="00D5763E" w:rsidRPr="002F4DD7" w:rsidRDefault="009B52DD" w:rsidP="009B52DD">
      <w:pPr>
        <w:pStyle w:val="Heading1"/>
        <w:rPr>
          <w:lang w:val="fr-CH"/>
        </w:rPr>
      </w:pPr>
      <w:r w:rsidRPr="002F4DD7">
        <w:rPr>
          <w:lang w:val="fr-CH"/>
        </w:rPr>
        <w:t>3</w:t>
      </w:r>
      <w:r w:rsidR="00D5763E" w:rsidRPr="002F4DD7">
        <w:rPr>
          <w:lang w:val="fr-CH"/>
        </w:rPr>
        <w:tab/>
        <w:t>Invitation et appel à propositions</w:t>
      </w:r>
    </w:p>
    <w:p w:rsidR="00D5763E" w:rsidRPr="002F4DD7" w:rsidRDefault="00D5763E" w:rsidP="009B52DD">
      <w:pPr>
        <w:rPr>
          <w:rFonts w:asciiTheme="minorHAnsi" w:hAnsiTheme="minorHAnsi"/>
          <w:lang w:val="fr-CH"/>
        </w:rPr>
      </w:pPr>
      <w:r w:rsidRPr="002F4DD7">
        <w:rPr>
          <w:rFonts w:asciiTheme="minorHAnsi" w:hAnsiTheme="minorHAnsi"/>
          <w:lang w:val="fr-CH"/>
        </w:rPr>
        <w:t>3.1</w:t>
      </w:r>
      <w:r w:rsidRPr="002F4DD7">
        <w:rPr>
          <w:rFonts w:asciiTheme="minorHAnsi" w:hAnsiTheme="minorHAnsi"/>
          <w:lang w:val="fr-CH"/>
        </w:rPr>
        <w:tab/>
      </w:r>
      <w:r w:rsidRPr="002F4DD7">
        <w:rPr>
          <w:lang w:val="fr-CH"/>
        </w:rPr>
        <w:t xml:space="preserve">Une </w:t>
      </w:r>
      <w:r w:rsidRPr="002F4DD7">
        <w:rPr>
          <w:szCs w:val="24"/>
          <w:lang w:val="fr-CH"/>
        </w:rPr>
        <w:t>invitation</w:t>
      </w:r>
      <w:r w:rsidRPr="002F4DD7">
        <w:rPr>
          <w:lang w:val="fr-CH"/>
        </w:rPr>
        <w:t xml:space="preserve"> à la Conférence de plénipotentiaires de 2018 a été envoyée à tous les Etats Membres de l'UIT le </w:t>
      </w:r>
      <w:r w:rsidRPr="002F4DD7">
        <w:rPr>
          <w:rFonts w:asciiTheme="minorHAnsi" w:hAnsiTheme="minorHAnsi"/>
        </w:rPr>
        <w:t xml:space="preserve">23 octobre 2017, </w:t>
      </w:r>
      <w:r w:rsidRPr="002F4DD7">
        <w:rPr>
          <w:lang w:val="fr-CH"/>
        </w:rPr>
        <w:t xml:space="preserve">au nom du Gouvernement des </w:t>
      </w:r>
      <w:r w:rsidR="009B52DD" w:rsidRPr="002F4DD7">
        <w:rPr>
          <w:lang w:val="fr-CH"/>
        </w:rPr>
        <w:t>E</w:t>
      </w:r>
      <w:r w:rsidRPr="002F4DD7">
        <w:rPr>
          <w:lang w:val="fr-CH"/>
        </w:rPr>
        <w:t>mirats arabes unis</w:t>
      </w:r>
      <w:r w:rsidR="009B52DD" w:rsidRPr="002F4DD7">
        <w:rPr>
          <w:rFonts w:asciiTheme="minorHAnsi" w:hAnsiTheme="minorHAnsi"/>
          <w:lang w:val="fr-CH"/>
        </w:rPr>
        <w:t> </w:t>
      </w:r>
      <w:r w:rsidRPr="002F4DD7">
        <w:rPr>
          <w:rFonts w:asciiTheme="minorHAnsi" w:hAnsiTheme="minorHAnsi"/>
          <w:lang w:val="fr-CH"/>
        </w:rPr>
        <w:t>(</w:t>
      </w:r>
      <w:hyperlink r:id="rId17" w:history="1">
        <w:r w:rsidRPr="002F4DD7">
          <w:rPr>
            <w:rStyle w:val="Hyperlink"/>
            <w:rFonts w:asciiTheme="minorHAnsi" w:hAnsiTheme="minorHAnsi"/>
            <w:lang w:val="fr-CH"/>
          </w:rPr>
          <w:t>CL</w:t>
        </w:r>
        <w:r w:rsidR="009B52DD" w:rsidRPr="002F4DD7">
          <w:rPr>
            <w:rStyle w:val="Hyperlink"/>
            <w:lang w:val="fr-CH"/>
          </w:rPr>
          <w:noBreakHyphen/>
        </w:r>
        <w:r w:rsidRPr="002F4DD7">
          <w:rPr>
            <w:rStyle w:val="Hyperlink"/>
            <w:rFonts w:asciiTheme="minorHAnsi" w:hAnsiTheme="minorHAnsi"/>
            <w:lang w:val="fr-CH"/>
          </w:rPr>
          <w:t>17/41</w:t>
        </w:r>
      </w:hyperlink>
      <w:r w:rsidRPr="002F4DD7">
        <w:rPr>
          <w:rFonts w:asciiTheme="minorHAnsi" w:hAnsiTheme="minorHAnsi"/>
          <w:lang w:val="fr-CH"/>
        </w:rPr>
        <w:t>).</w:t>
      </w:r>
    </w:p>
    <w:p w:rsidR="00D5763E" w:rsidRPr="002F4DD7" w:rsidRDefault="00D5763E" w:rsidP="009B52DD">
      <w:pPr>
        <w:rPr>
          <w:rFonts w:asciiTheme="minorHAnsi" w:hAnsiTheme="minorHAnsi"/>
          <w:lang w:val="fr-CH"/>
        </w:rPr>
      </w:pPr>
      <w:r w:rsidRPr="002F4DD7">
        <w:rPr>
          <w:rFonts w:asciiTheme="minorHAnsi" w:hAnsiTheme="minorHAnsi"/>
          <w:lang w:val="fr-CH"/>
        </w:rPr>
        <w:t>3.2</w:t>
      </w:r>
      <w:r w:rsidRPr="002F4DD7">
        <w:rPr>
          <w:rFonts w:asciiTheme="minorHAnsi" w:hAnsiTheme="minorHAnsi"/>
          <w:lang w:val="fr-CH"/>
        </w:rPr>
        <w:tab/>
      </w:r>
      <w:r w:rsidRPr="002F4DD7">
        <w:rPr>
          <w:lang w:val="fr-CH"/>
        </w:rPr>
        <w:t xml:space="preserve">Une </w:t>
      </w:r>
      <w:r w:rsidRPr="002F4DD7">
        <w:rPr>
          <w:szCs w:val="24"/>
          <w:lang w:val="fr-CH"/>
        </w:rPr>
        <w:t>invitation</w:t>
      </w:r>
      <w:r w:rsidRPr="002F4DD7">
        <w:rPr>
          <w:lang w:val="fr-CH"/>
        </w:rPr>
        <w:t xml:space="preserve"> à la Conférence de plénipotentiaires de 2018 a été envoyée </w:t>
      </w:r>
      <w:r w:rsidRPr="002F4DD7">
        <w:rPr>
          <w:rFonts w:asciiTheme="minorHAnsi" w:hAnsiTheme="minorHAnsi"/>
        </w:rPr>
        <w:t>à l'</w:t>
      </w:r>
      <w:r w:rsidR="009B52DD" w:rsidRPr="002F4DD7">
        <w:rPr>
          <w:rFonts w:asciiTheme="minorHAnsi" w:hAnsiTheme="minorHAnsi"/>
        </w:rPr>
        <w:t>E</w:t>
      </w:r>
      <w:r w:rsidRPr="002F4DD7">
        <w:rPr>
          <w:rFonts w:asciiTheme="minorHAnsi" w:hAnsiTheme="minorHAnsi"/>
        </w:rPr>
        <w:t xml:space="preserve">tat de Palestine, aux organisations ayant le statut d'observateur </w:t>
      </w:r>
      <w:r w:rsidRPr="002F4DD7">
        <w:rPr>
          <w:rFonts w:asciiTheme="minorHAnsi" w:hAnsiTheme="minorHAnsi"/>
          <w:lang w:val="fr-CH"/>
        </w:rPr>
        <w:t>(</w:t>
      </w:r>
      <w:hyperlink r:id="rId18" w:history="1">
        <w:r w:rsidRPr="002F4DD7">
          <w:rPr>
            <w:rStyle w:val="Hyperlink"/>
            <w:rFonts w:asciiTheme="minorHAnsi" w:hAnsiTheme="minorHAnsi"/>
            <w:lang w:val="fr-CH"/>
          </w:rPr>
          <w:t>DM-17/1004</w:t>
        </w:r>
      </w:hyperlink>
      <w:r w:rsidRPr="002F4DD7">
        <w:rPr>
          <w:rFonts w:asciiTheme="minorHAnsi" w:hAnsiTheme="minorHAnsi"/>
          <w:lang w:val="fr-CH"/>
        </w:rPr>
        <w:t xml:space="preserve">) et </w:t>
      </w:r>
      <w:r w:rsidRPr="002F4DD7">
        <w:rPr>
          <w:rFonts w:asciiTheme="minorHAnsi" w:hAnsiTheme="minorHAnsi"/>
        </w:rPr>
        <w:t xml:space="preserve">aux Membres de Secteur de l'UIT </w:t>
      </w:r>
      <w:r w:rsidRPr="002F4DD7">
        <w:rPr>
          <w:rFonts w:asciiTheme="minorHAnsi" w:hAnsiTheme="minorHAnsi"/>
          <w:lang w:val="fr-CH"/>
        </w:rPr>
        <w:t>(</w:t>
      </w:r>
      <w:hyperlink r:id="rId19" w:history="1">
        <w:r w:rsidRPr="002F4DD7">
          <w:rPr>
            <w:rStyle w:val="Hyperlink"/>
            <w:rFonts w:asciiTheme="minorHAnsi" w:hAnsiTheme="minorHAnsi"/>
            <w:lang w:val="fr-CH"/>
          </w:rPr>
          <w:t>DM-17/1005</w:t>
        </w:r>
      </w:hyperlink>
      <w:r w:rsidRPr="002F4DD7">
        <w:rPr>
          <w:rFonts w:asciiTheme="minorHAnsi" w:hAnsiTheme="minorHAnsi"/>
          <w:lang w:val="fr-CH"/>
        </w:rPr>
        <w:t xml:space="preserve">) </w:t>
      </w:r>
      <w:r w:rsidRPr="002F4DD7">
        <w:rPr>
          <w:rFonts w:asciiTheme="minorHAnsi" w:hAnsiTheme="minorHAnsi"/>
        </w:rPr>
        <w:t xml:space="preserve">le 23 octobre 2017 </w:t>
      </w:r>
      <w:r w:rsidRPr="002F4DD7">
        <w:rPr>
          <w:rFonts w:asciiTheme="minorHAnsi" w:hAnsiTheme="minorHAnsi"/>
          <w:lang w:val="fr-CH"/>
        </w:rPr>
        <w:t>par le Secrétaire général.</w:t>
      </w:r>
    </w:p>
    <w:p w:rsidR="00D5763E" w:rsidRPr="002F4DD7" w:rsidRDefault="00D5763E" w:rsidP="009B52DD">
      <w:pPr>
        <w:rPr>
          <w:lang w:val="fr-CH"/>
        </w:rPr>
      </w:pPr>
      <w:r w:rsidRPr="002F4DD7">
        <w:rPr>
          <w:lang w:val="fr-CH"/>
        </w:rPr>
        <w:t>3.3</w:t>
      </w:r>
      <w:r w:rsidRPr="002F4DD7">
        <w:rPr>
          <w:lang w:val="fr-CH"/>
        </w:rPr>
        <w:tab/>
        <w:t xml:space="preserve">La lettre circulaire </w:t>
      </w:r>
      <w:hyperlink r:id="rId20" w:history="1">
        <w:r w:rsidRPr="002F4DD7">
          <w:rPr>
            <w:rStyle w:val="Hyperlink"/>
            <w:rFonts w:asciiTheme="minorHAnsi" w:hAnsiTheme="minorHAnsi"/>
            <w:lang w:val="fr-CH"/>
          </w:rPr>
          <w:t>CL-17/42</w:t>
        </w:r>
      </w:hyperlink>
      <w:r w:rsidRPr="002F4DD7">
        <w:rPr>
          <w:lang w:val="fr-CH"/>
        </w:rPr>
        <w:t xml:space="preserve">, envoyée à tous les </w:t>
      </w:r>
      <w:r w:rsidR="009B52DD" w:rsidRPr="002F4DD7">
        <w:rPr>
          <w:lang w:val="fr-CH"/>
        </w:rPr>
        <w:t>E</w:t>
      </w:r>
      <w:r w:rsidRPr="002F4DD7">
        <w:rPr>
          <w:lang w:val="fr-CH"/>
        </w:rPr>
        <w:t xml:space="preserve">tats Membres de l'UIT par le Secrétaire général le 23 octobre 2017, concernait en particulier les propositions pour les travaux de la Conférence, les documents et les élections (appel à candidatures). </w:t>
      </w:r>
      <w:r w:rsidRPr="002F4DD7">
        <w:rPr>
          <w:color w:val="000000"/>
        </w:rPr>
        <w:t xml:space="preserve">Les propositions d'amendement de la Constitution et de la Convention soumises par les Etats Membres devaient parvenir avant le 28 février 2018, en application des dispositions du numéro 224 de la Constitution et du numéro 519 de la Convention. Les autres propositions pour les travaux de la Conférence doivent parvenir le 29 juin 2018 au plus tard (numéro 40 des Règles générales régissant les conférences, assemblées et réunions de l'Union (Règles générales)) et, conformément à la Résolution 165 (Guadalajara, 2010) de la Conférence de plénipotentiaires, la date limite de soumission de toutes les contributions a été fixée au 15 octobre 2018. Les Etats Membres sont vivement encouragés à utiliser </w:t>
      </w:r>
      <w:hyperlink r:id="rId21" w:history="1">
        <w:r w:rsidRPr="002F4DD7">
          <w:rPr>
            <w:rStyle w:val="Hyperlink"/>
          </w:rPr>
          <w:t>l'interface pour les propositions présentées à la Conférence (CPI)</w:t>
        </w:r>
      </w:hyperlink>
      <w:r w:rsidRPr="002F4DD7">
        <w:rPr>
          <w:color w:val="000000"/>
        </w:rPr>
        <w:t xml:space="preserve"> pour soumettre leurs propositions.</w:t>
      </w:r>
      <w:r w:rsidRPr="002F4DD7">
        <w:rPr>
          <w:lang w:val="fr-CH"/>
        </w:rPr>
        <w:t xml:space="preserve"> </w:t>
      </w:r>
    </w:p>
    <w:p w:rsidR="00D5763E" w:rsidRPr="002F4DD7" w:rsidRDefault="00D5763E" w:rsidP="009B52DD">
      <w:pPr>
        <w:rPr>
          <w:rFonts w:asciiTheme="minorHAnsi" w:hAnsiTheme="minorHAnsi"/>
          <w:lang w:val="fr-CH"/>
        </w:rPr>
      </w:pPr>
      <w:r w:rsidRPr="002F4DD7">
        <w:rPr>
          <w:rFonts w:asciiTheme="minorHAnsi" w:hAnsiTheme="minorHAnsi"/>
          <w:lang w:val="fr-CH"/>
        </w:rPr>
        <w:t>3.4</w:t>
      </w:r>
      <w:r w:rsidRPr="002F4DD7">
        <w:rPr>
          <w:rFonts w:asciiTheme="minorHAnsi" w:hAnsiTheme="minorHAnsi"/>
          <w:lang w:val="fr-CH"/>
        </w:rPr>
        <w:tab/>
      </w:r>
      <w:r w:rsidRPr="002F4DD7">
        <w:t>Tous les Etats Membres souhaitant soumettre des candidatures pour les élections ont été invités, conformément au numéro 170 des Règles générales, à les</w:t>
      </w:r>
      <w:r w:rsidR="003E4C20">
        <w:t xml:space="preserve"> faire parvenir au plus tard le </w:t>
      </w:r>
      <w:r w:rsidRPr="002F4DD7">
        <w:t>1</w:t>
      </w:r>
      <w:r w:rsidRPr="00E37232">
        <w:t>er</w:t>
      </w:r>
      <w:r w:rsidR="003E4C20" w:rsidRPr="00E37232">
        <w:t> </w:t>
      </w:r>
      <w:r w:rsidRPr="002F4DD7">
        <w:t>octobre 2018 à 23 h 59 (heure de Genève).</w:t>
      </w:r>
    </w:p>
    <w:p w:rsidR="00D5763E" w:rsidRPr="002F4DD7" w:rsidRDefault="00D5763E" w:rsidP="009B52DD">
      <w:pPr>
        <w:rPr>
          <w:lang w:val="fr-CH"/>
        </w:rPr>
      </w:pPr>
      <w:r w:rsidRPr="002F4DD7">
        <w:rPr>
          <w:lang w:val="fr-CH"/>
        </w:rPr>
        <w:t>3.5</w:t>
      </w:r>
      <w:r w:rsidRPr="002F4DD7">
        <w:rPr>
          <w:lang w:val="fr-CH"/>
        </w:rPr>
        <w:tab/>
        <w:t>L'inscription se fera uniquement en ligne à partir du 28 mai 2018.</w:t>
      </w:r>
    </w:p>
    <w:p w:rsidR="00D5763E" w:rsidRPr="002F4DD7" w:rsidRDefault="009B52DD" w:rsidP="009B52DD">
      <w:pPr>
        <w:pStyle w:val="Heading1"/>
        <w:rPr>
          <w:lang w:val="fr-CH"/>
        </w:rPr>
      </w:pPr>
      <w:r w:rsidRPr="002F4DD7">
        <w:rPr>
          <w:lang w:val="fr-CH"/>
        </w:rPr>
        <w:t>4</w:t>
      </w:r>
      <w:r w:rsidR="00D5763E" w:rsidRPr="002F4DD7">
        <w:rPr>
          <w:lang w:val="fr-CH"/>
        </w:rPr>
        <w:tab/>
        <w:t>Proposition de structure</w:t>
      </w:r>
    </w:p>
    <w:p w:rsidR="00D5763E" w:rsidRPr="002F4DD7" w:rsidRDefault="00D5763E" w:rsidP="009B52DD">
      <w:r w:rsidRPr="002F4DD7">
        <w:rPr>
          <w:rFonts w:asciiTheme="minorHAnsi" w:hAnsiTheme="minorHAnsi"/>
          <w:lang w:val="fr-CH"/>
        </w:rPr>
        <w:t>4.1</w:t>
      </w:r>
      <w:r w:rsidRPr="002F4DD7">
        <w:rPr>
          <w:rFonts w:asciiTheme="minorHAnsi" w:hAnsiTheme="minorHAnsi"/>
          <w:lang w:val="fr-CH"/>
        </w:rPr>
        <w:tab/>
      </w:r>
      <w:r w:rsidRPr="002F4DD7">
        <w:t>Outre les quatre commissions permanentes (Commission de direction, Commission de contrôle budgétaire, Commission des pouvoirs et Commission de rédaction), et conformément à la pratique établie, il est proposé d'instaurer deux commissions chargées des questions de fond (Politique et questions juridiques (Commission 5) et Administration et gestion (Commission 6)), ainsi qu'un Groupe de travail de la plénière (WG-PL).</w:t>
      </w:r>
    </w:p>
    <w:p w:rsidR="00D5763E" w:rsidRPr="002F4DD7" w:rsidRDefault="00D5763E" w:rsidP="003E4C20">
      <w:pPr>
        <w:keepLines/>
        <w:rPr>
          <w:rFonts w:asciiTheme="minorHAnsi" w:hAnsiTheme="minorHAnsi"/>
        </w:rPr>
      </w:pPr>
      <w:r w:rsidRPr="002F4DD7">
        <w:rPr>
          <w:rFonts w:asciiTheme="minorHAnsi" w:hAnsiTheme="minorHAnsi"/>
        </w:rPr>
        <w:lastRenderedPageBreak/>
        <w:t>4.2</w:t>
      </w:r>
      <w:r w:rsidRPr="002F4DD7">
        <w:rPr>
          <w:rFonts w:asciiTheme="minorHAnsi" w:hAnsiTheme="minorHAnsi"/>
        </w:rPr>
        <w:tab/>
      </w:r>
      <w:r w:rsidR="002F4DD7">
        <w:t>La Commission 5 -</w:t>
      </w:r>
      <w:r w:rsidRPr="002F4DD7">
        <w:t xml:space="preserve"> Politique et questions juridiques devra</w:t>
      </w:r>
      <w:r w:rsidRPr="002F4DD7">
        <w:rPr>
          <w:rFonts w:asciiTheme="minorHAnsi" w:hAnsiTheme="minorHAnsi"/>
        </w:rPr>
        <w:t xml:space="preserve">: </w:t>
      </w:r>
      <w:r w:rsidRPr="002F4DD7">
        <w:t>examiner les rapports et les propositions concernant les questions de politique de l'Union, y compris les rapports soumis par le Conseil sur les activités de l'Union;</w:t>
      </w:r>
      <w:r w:rsidRPr="002F4DD7">
        <w:rPr>
          <w:rFonts w:asciiTheme="minorHAnsi" w:hAnsiTheme="minorHAnsi"/>
        </w:rPr>
        <w:t xml:space="preserve"> </w:t>
      </w:r>
      <w:r w:rsidRPr="002F4DD7">
        <w:t>recommander des décisions appropriées concernant les activités du Secrétariat général et des trois Secteurs</w:t>
      </w:r>
      <w:r w:rsidRPr="002F4DD7">
        <w:rPr>
          <w:rFonts w:asciiTheme="minorHAnsi" w:hAnsiTheme="minorHAnsi"/>
        </w:rPr>
        <w:t xml:space="preserve">; </w:t>
      </w:r>
      <w:r w:rsidRPr="002F4DD7">
        <w:t>examiner les propositions d'amendement de la Constitution, de la Convention, des Règles générales et du protocole facultatif</w:t>
      </w:r>
      <w:r w:rsidRPr="002F4DD7">
        <w:rPr>
          <w:rFonts w:asciiTheme="minorHAnsi" w:hAnsiTheme="minorHAnsi"/>
        </w:rPr>
        <w:t xml:space="preserve">; </w:t>
      </w:r>
      <w:r w:rsidRPr="002F4DD7">
        <w:t>en tenant compte des rapports et des recommandations pertinentes de la Commission 6 et du Groupe de travail de la plénière, recommander à la plénière toutes les mesures appropriées</w:t>
      </w:r>
      <w:r w:rsidRPr="002F4DD7">
        <w:rPr>
          <w:rFonts w:asciiTheme="minorHAnsi" w:hAnsiTheme="minorHAnsi"/>
        </w:rPr>
        <w:t xml:space="preserve">; </w:t>
      </w:r>
      <w:r w:rsidRPr="002F4DD7">
        <w:t>examiner toute autre question de nature juridique soulevée pendant la Conférence</w:t>
      </w:r>
      <w:r w:rsidRPr="002F4DD7">
        <w:rPr>
          <w:rFonts w:asciiTheme="minorHAnsi" w:hAnsiTheme="minorHAnsi"/>
        </w:rPr>
        <w:t xml:space="preserve">; </w:t>
      </w:r>
      <w:r w:rsidRPr="002F4DD7">
        <w:t>et transmettre à la Commission 6 les questions ayant des incidences financières</w:t>
      </w:r>
      <w:r w:rsidRPr="002F4DD7">
        <w:rPr>
          <w:rFonts w:asciiTheme="minorHAnsi" w:hAnsiTheme="minorHAnsi"/>
        </w:rPr>
        <w:t>.</w:t>
      </w:r>
    </w:p>
    <w:p w:rsidR="00D5763E" w:rsidRPr="002F4DD7" w:rsidRDefault="00D5763E" w:rsidP="009B52DD">
      <w:pPr>
        <w:rPr>
          <w:rFonts w:asciiTheme="minorHAnsi" w:hAnsiTheme="minorHAnsi"/>
          <w:lang w:val="fr-CH"/>
        </w:rPr>
      </w:pPr>
      <w:r w:rsidRPr="002F4DD7">
        <w:rPr>
          <w:rFonts w:asciiTheme="minorHAnsi" w:hAnsiTheme="minorHAnsi"/>
          <w:lang w:val="fr-CH"/>
        </w:rPr>
        <w:t>4.3</w:t>
      </w:r>
      <w:r w:rsidRPr="002F4DD7">
        <w:rPr>
          <w:rFonts w:asciiTheme="minorHAnsi" w:hAnsiTheme="minorHAnsi"/>
          <w:lang w:val="fr-CH"/>
        </w:rPr>
        <w:tab/>
      </w:r>
      <w:r w:rsidRPr="002F4DD7">
        <w:rPr>
          <w:lang w:val="fr-CH"/>
        </w:rPr>
        <w:t>La Commission 6 - Administration et gestion devra</w:t>
      </w:r>
      <w:r w:rsidRPr="002F4DD7">
        <w:rPr>
          <w:rFonts w:asciiTheme="minorHAnsi" w:hAnsiTheme="minorHAnsi"/>
          <w:lang w:val="fr-CH"/>
        </w:rPr>
        <w:t xml:space="preserve">: </w:t>
      </w:r>
      <w:r w:rsidRPr="002F4DD7">
        <w:rPr>
          <w:lang w:val="fr-CH"/>
        </w:rPr>
        <w:t>examiner le projet de Plan stratégique ainsi que les autres rapports et propositions relatifs au Plan stratégique</w:t>
      </w:r>
      <w:r w:rsidRPr="002F4DD7">
        <w:rPr>
          <w:rFonts w:asciiTheme="minorHAnsi" w:hAnsiTheme="minorHAnsi"/>
          <w:lang w:val="fr-CH"/>
        </w:rPr>
        <w:t xml:space="preserve">; </w:t>
      </w:r>
      <w:r w:rsidRPr="002F4DD7">
        <w:t>examiner les rapports et propositions pertinents relatifs à la gestion générale de l'Union, en particulier ceux qui ont trait aux ressources humaines et financières et les parties pertinentes des rapports soumis par d'autres Commissions et Groupes de travail</w:t>
      </w:r>
      <w:r w:rsidRPr="002F4DD7">
        <w:rPr>
          <w:rFonts w:asciiTheme="minorHAnsi" w:hAnsiTheme="minorHAnsi"/>
          <w:lang w:val="fr-CH"/>
        </w:rPr>
        <w:t xml:space="preserve">; </w:t>
      </w:r>
      <w:r w:rsidRPr="002F4DD7">
        <w:t xml:space="preserve">élaborer des projets de politique financière ainsi qu'un projet de plan financier pour la période </w:t>
      </w:r>
      <w:r w:rsidRPr="002F4DD7">
        <w:rPr>
          <w:rFonts w:asciiTheme="minorHAnsi" w:hAnsiTheme="minorHAnsi"/>
          <w:lang w:val="fr-CH"/>
        </w:rPr>
        <w:t xml:space="preserve">2020-2023; </w:t>
      </w:r>
      <w:r w:rsidRPr="002F4DD7">
        <w:t>recommander à la plénière toutes les décisions appropriées relatives à la gestion des activités de l'Union</w:t>
      </w:r>
      <w:r w:rsidRPr="002F4DD7">
        <w:rPr>
          <w:rFonts w:asciiTheme="minorHAnsi" w:hAnsiTheme="minorHAnsi"/>
          <w:lang w:val="fr-CH"/>
        </w:rPr>
        <w:t xml:space="preserve">; </w:t>
      </w:r>
      <w:r w:rsidRPr="002F4DD7">
        <w:t>et transmettre à la Commission 5 les questions appelant des amendements à la Constitution, à la Convention et aux Règles générales</w:t>
      </w:r>
      <w:r w:rsidRPr="002F4DD7">
        <w:rPr>
          <w:rFonts w:asciiTheme="minorHAnsi" w:hAnsiTheme="minorHAnsi"/>
          <w:lang w:val="fr-CH"/>
        </w:rPr>
        <w:t>.</w:t>
      </w:r>
    </w:p>
    <w:p w:rsidR="00D5763E" w:rsidRPr="002F4DD7" w:rsidRDefault="00D5763E" w:rsidP="009B52DD">
      <w:pPr>
        <w:rPr>
          <w:rFonts w:asciiTheme="minorHAnsi" w:hAnsiTheme="minorHAnsi"/>
          <w:lang w:val="fr-CH"/>
        </w:rPr>
      </w:pPr>
      <w:r w:rsidRPr="002F4DD7">
        <w:rPr>
          <w:rFonts w:asciiTheme="minorHAnsi" w:hAnsiTheme="minorHAnsi"/>
          <w:lang w:val="fr-CH"/>
        </w:rPr>
        <w:t>4.4</w:t>
      </w:r>
      <w:r w:rsidRPr="002F4DD7">
        <w:rPr>
          <w:rFonts w:asciiTheme="minorHAnsi" w:hAnsiTheme="minorHAnsi"/>
          <w:lang w:val="fr-CH"/>
        </w:rPr>
        <w:tab/>
      </w:r>
      <w:r w:rsidRPr="002F4DD7">
        <w:rPr>
          <w:color w:val="000000"/>
          <w:lang w:val="fr-CH"/>
        </w:rPr>
        <w:t>Le Groupe de travail de la plénière devra</w:t>
      </w:r>
      <w:r w:rsidRPr="002F4DD7">
        <w:rPr>
          <w:rFonts w:asciiTheme="minorHAnsi" w:hAnsiTheme="minorHAnsi"/>
          <w:lang w:val="fr-CH"/>
        </w:rPr>
        <w:t xml:space="preserve">: </w:t>
      </w:r>
      <w:r w:rsidRPr="002F4DD7">
        <w:rPr>
          <w:color w:val="000000"/>
        </w:rPr>
        <w:t>examiner les rapports et les propositions et recommander des mesures appropriées concernant les questions de politiques publiques, y compris celles relatives à l'Internet, et les autres questions d'ordre général</w:t>
      </w:r>
      <w:r w:rsidRPr="002F4DD7">
        <w:rPr>
          <w:rFonts w:asciiTheme="minorHAnsi" w:hAnsiTheme="minorHAnsi"/>
          <w:lang w:val="fr-CH"/>
        </w:rPr>
        <w:t xml:space="preserve">; </w:t>
      </w:r>
      <w:r w:rsidRPr="002F4DD7">
        <w:rPr>
          <w:color w:val="000000"/>
        </w:rPr>
        <w:t>et transmettre à la Commission 5 les questions appelant des amendements à la Constitution, à la Convention et aux Règles générales, et à la Commission 6 les questions ayant des incidences financières</w:t>
      </w:r>
      <w:r w:rsidRPr="002F4DD7">
        <w:rPr>
          <w:rFonts w:asciiTheme="minorHAnsi" w:hAnsiTheme="minorHAnsi"/>
          <w:lang w:val="fr-CH"/>
        </w:rPr>
        <w:t>.</w:t>
      </w:r>
    </w:p>
    <w:p w:rsidR="00D5763E" w:rsidRPr="002F4DD7" w:rsidRDefault="009B52DD" w:rsidP="009B52DD">
      <w:pPr>
        <w:pStyle w:val="Heading1"/>
        <w:rPr>
          <w:lang w:val="fr-CH"/>
        </w:rPr>
      </w:pPr>
      <w:r w:rsidRPr="002F4DD7">
        <w:rPr>
          <w:lang w:val="fr-CH"/>
        </w:rPr>
        <w:t>5</w:t>
      </w:r>
      <w:r w:rsidR="00D5763E" w:rsidRPr="002F4DD7">
        <w:rPr>
          <w:lang w:val="fr-CH"/>
        </w:rPr>
        <w:tab/>
        <w:t>Déclarations de politique générale</w:t>
      </w:r>
    </w:p>
    <w:p w:rsidR="00D5763E" w:rsidRPr="002F4DD7" w:rsidRDefault="00D5763E" w:rsidP="009B52DD">
      <w:pPr>
        <w:rPr>
          <w:lang w:val="fr-CH"/>
        </w:rPr>
      </w:pPr>
      <w:r w:rsidRPr="002F4DD7">
        <w:rPr>
          <w:lang w:val="fr-CH"/>
        </w:rPr>
        <w:t>5.1</w:t>
      </w:r>
      <w:r w:rsidRPr="002F4DD7">
        <w:rPr>
          <w:lang w:val="fr-CH"/>
        </w:rPr>
        <w:tab/>
        <w:t xml:space="preserve">Comme convenu lors de la session de 2017 du Conseil et suivant l'exemple donné lors de la CMDT-17, la durée des déclarations de politique générale sera limitée à trois minutes. Les déclarations dans leur intégralité seront postées sur le site web de la PP-18. En outre, il est proposé que les orateurs prononcent leurs déclarations sur la tribune. Les </w:t>
      </w:r>
      <w:r w:rsidR="009B52DD" w:rsidRPr="002F4DD7">
        <w:rPr>
          <w:lang w:val="fr-CH"/>
        </w:rPr>
        <w:t>E</w:t>
      </w:r>
      <w:r w:rsidRPr="002F4DD7">
        <w:rPr>
          <w:lang w:val="fr-CH"/>
        </w:rPr>
        <w:t>tats Membres sont invités à axer leurs déclarations de politique générale sur la faç</w:t>
      </w:r>
      <w:r w:rsidR="005C7871">
        <w:rPr>
          <w:lang w:val="fr-CH"/>
        </w:rPr>
        <w:t>on dont leur pays contribue au P</w:t>
      </w:r>
      <w:r w:rsidRPr="002F4DD7">
        <w:rPr>
          <w:lang w:val="fr-CH"/>
        </w:rPr>
        <w:t>rogramme Connect 2020 et envisage de soutenir la réalisation des buts et des cibles du "</w:t>
      </w:r>
      <w:r w:rsidRPr="002F4DD7">
        <w:rPr>
          <w:i/>
          <w:iCs/>
          <w:lang w:val="fr-CH"/>
        </w:rPr>
        <w:t xml:space="preserve">Nouveau programme Connect" </w:t>
      </w:r>
      <w:r w:rsidRPr="002F4DD7">
        <w:rPr>
          <w:lang w:val="fr-CH"/>
        </w:rPr>
        <w:t>(voir le proje</w:t>
      </w:r>
      <w:r w:rsidR="003E4C20">
        <w:rPr>
          <w:lang w:val="fr-CH"/>
        </w:rPr>
        <w:t>t de lignes directrices dans l'A</w:t>
      </w:r>
      <w:r w:rsidRPr="002F4DD7">
        <w:rPr>
          <w:lang w:val="fr-CH"/>
        </w:rPr>
        <w:t>nnexe 1).</w:t>
      </w:r>
    </w:p>
    <w:p w:rsidR="00D5763E" w:rsidRPr="002F4DD7" w:rsidRDefault="009B52DD" w:rsidP="009B52DD">
      <w:pPr>
        <w:pStyle w:val="Heading1"/>
        <w:rPr>
          <w:lang w:val="fr-CH"/>
        </w:rPr>
      </w:pPr>
      <w:r w:rsidRPr="002F4DD7">
        <w:rPr>
          <w:lang w:val="fr-CH"/>
        </w:rPr>
        <w:t>6</w:t>
      </w:r>
      <w:r w:rsidR="00D5763E" w:rsidRPr="002F4DD7">
        <w:rPr>
          <w:lang w:val="fr-CH"/>
        </w:rPr>
        <w:tab/>
        <w:t>Programme de gestion du temps</w:t>
      </w:r>
    </w:p>
    <w:p w:rsidR="00D5763E" w:rsidRPr="002F4DD7" w:rsidRDefault="00D5763E" w:rsidP="009B52DD">
      <w:pPr>
        <w:rPr>
          <w:lang w:val="fr-CH"/>
        </w:rPr>
      </w:pPr>
      <w:r w:rsidRPr="002F4DD7">
        <w:rPr>
          <w:lang w:val="fr-CH"/>
        </w:rPr>
        <w:t>6.1</w:t>
      </w:r>
      <w:r w:rsidRPr="002F4DD7">
        <w:rPr>
          <w:lang w:val="fr-CH"/>
        </w:rPr>
        <w:tab/>
        <w:t xml:space="preserve">Le Secrétariat élabore actuellement un projet de programme de gestion du temps, qui tiendra compte des leçons tirées de la PP-14, des consultations menées avec les secrétaires des commissions et des commentaires fournis en retour par les </w:t>
      </w:r>
      <w:r w:rsidR="009B52DD" w:rsidRPr="002F4DD7">
        <w:rPr>
          <w:lang w:val="fr-CH"/>
        </w:rPr>
        <w:t>E</w:t>
      </w:r>
      <w:r w:rsidRPr="002F4DD7">
        <w:rPr>
          <w:lang w:val="fr-CH"/>
        </w:rPr>
        <w:t>tats Membres. Il est prévu que les travaux des commissions chargées des questions de fond commencent le mardi matin de la première semaine. Au maximum deux séances sur les questions de fond se tiendront en parallèle. Pour faire un meilleur usage du temps, il est également proposé q</w:t>
      </w:r>
      <w:r w:rsidR="003E4C20">
        <w:rPr>
          <w:lang w:val="fr-CH"/>
        </w:rPr>
        <w:t>ue les séances de la Commission </w:t>
      </w:r>
      <w:r w:rsidRPr="002F4DD7">
        <w:rPr>
          <w:lang w:val="fr-CH"/>
        </w:rPr>
        <w:t xml:space="preserve">5 et du Groupe de travail de la plénière durent une heure et demie, et que du temps soit laissé aux groupes ad hoc pour se réunir pendant la journée. Toutes les réunions, y compris celles des groupes ad hoc et des groupes de rédaction, seront affichées sur les écrans placés à proximité du lieu de la Conférence et sur le site web de la PP-18. Comme convenu lors de la session de 2017 du Conseil, il est proposé de fixer la date limite du choix définitif de la classe de </w:t>
      </w:r>
      <w:r w:rsidRPr="002F4DD7">
        <w:rPr>
          <w:lang w:val="fr-CH"/>
        </w:rPr>
        <w:lastRenderedPageBreak/>
        <w:t xml:space="preserve">contribution au mercredi 31 octobre 2018 à 23 h 59 (heure de Genève), et que le Secrétariat publie les classes de contribution choisies avant 6 heures le quatrième jour de la Conférence, avant le début des élections. </w:t>
      </w:r>
      <w:r w:rsidRPr="002F4DD7">
        <w:rPr>
          <w:color w:val="000000"/>
        </w:rPr>
        <w:t xml:space="preserve">La réunion officielle des Chefs de délégation se tiendra le lundi </w:t>
      </w:r>
      <w:r w:rsidRPr="002F4DD7">
        <w:rPr>
          <w:lang w:val="fr-CH"/>
        </w:rPr>
        <w:t>29 novembre 2018 (09 h 30) et sera suivie par la cérémonie d'ouverture (11 heures), puis par la séance plénière inaugurale (14 h 30).</w:t>
      </w:r>
    </w:p>
    <w:p w:rsidR="00D5763E" w:rsidRPr="002F4DD7" w:rsidRDefault="009B52DD" w:rsidP="009B52DD">
      <w:pPr>
        <w:pStyle w:val="Heading1"/>
        <w:rPr>
          <w:lang w:val="fr-CH"/>
        </w:rPr>
      </w:pPr>
      <w:r w:rsidRPr="002F4DD7">
        <w:rPr>
          <w:lang w:val="fr-CH"/>
        </w:rPr>
        <w:t>7</w:t>
      </w:r>
      <w:r w:rsidR="00D5763E" w:rsidRPr="002F4DD7">
        <w:rPr>
          <w:lang w:val="fr-CH"/>
        </w:rPr>
        <w:tab/>
        <w:t>Améliorer le bilan écologique de la PP</w:t>
      </w:r>
    </w:p>
    <w:p w:rsidR="00D5763E" w:rsidRPr="002F4DD7" w:rsidRDefault="00D5763E" w:rsidP="009B52DD">
      <w:pPr>
        <w:rPr>
          <w:lang w:val="fr-CH"/>
        </w:rPr>
      </w:pPr>
      <w:r w:rsidRPr="002F4DD7">
        <w:rPr>
          <w:lang w:val="fr-CH"/>
        </w:rPr>
        <w:t>7.1</w:t>
      </w:r>
      <w:r w:rsidRPr="002F4DD7">
        <w:rPr>
          <w:lang w:val="fr-CH"/>
        </w:rPr>
        <w:tab/>
        <w:t>Conformément au projet de l'ONU "Du bleu au vert", l'UIT et le pays hôte travaillent de concert pour organiser une conférence plus "verte" en améliorant le bilan écologique de la PP. Des efforts ont déjà été déployés dans un certain nombre de domaines (hôtellerie, transport, utilisation du papier, alimentation et boisson), et il sera, à cette occasion, demandé aux délégués de faire rapport sur la compensation de l'empreinte carbone de leur voyage d</w:t>
      </w:r>
      <w:r w:rsidR="003E4C20">
        <w:rPr>
          <w:lang w:val="fr-CH"/>
        </w:rPr>
        <w:t>ans le cadre de la conférence. A</w:t>
      </w:r>
      <w:r w:rsidRPr="002F4DD7">
        <w:rPr>
          <w:lang w:val="fr-CH"/>
        </w:rPr>
        <w:t xml:space="preserve"> cet effet, la PP-18 se déroulera sans document papier, et seules des copies numériques des Actes finals seront mises à disposition des participants. L'UIT souhaite donner le ton en matière de durabilité lors de cette PP et des conférences à venir. </w:t>
      </w:r>
    </w:p>
    <w:p w:rsidR="00D5763E" w:rsidRPr="002F4DD7" w:rsidRDefault="009B52DD" w:rsidP="009B52DD">
      <w:pPr>
        <w:pStyle w:val="Heading1"/>
        <w:rPr>
          <w:lang w:val="fr-CH"/>
        </w:rPr>
      </w:pPr>
      <w:r w:rsidRPr="002F4DD7">
        <w:rPr>
          <w:lang w:val="fr-CH"/>
        </w:rPr>
        <w:t>8</w:t>
      </w:r>
      <w:r w:rsidR="00D5763E" w:rsidRPr="002F4DD7">
        <w:rPr>
          <w:lang w:val="fr-CH"/>
        </w:rPr>
        <w:tab/>
        <w:t>Groupe de préparation de la Conférence de Dubaï</w:t>
      </w:r>
    </w:p>
    <w:p w:rsidR="00D5763E" w:rsidRPr="002F4DD7" w:rsidRDefault="00D5763E" w:rsidP="009B52DD">
      <w:pPr>
        <w:rPr>
          <w:rFonts w:asciiTheme="minorHAnsi" w:hAnsiTheme="minorHAnsi"/>
          <w:lang w:val="fr-CH"/>
        </w:rPr>
      </w:pPr>
      <w:r w:rsidRPr="002F4DD7">
        <w:rPr>
          <w:rFonts w:asciiTheme="minorHAnsi" w:hAnsiTheme="minorHAnsi"/>
          <w:lang w:val="fr-CH"/>
        </w:rPr>
        <w:t>8.1</w:t>
      </w:r>
      <w:r w:rsidRPr="002F4DD7">
        <w:rPr>
          <w:rFonts w:asciiTheme="minorHAnsi" w:hAnsiTheme="minorHAnsi"/>
          <w:lang w:val="fr-CH"/>
        </w:rPr>
        <w:tab/>
      </w:r>
      <w:r w:rsidRPr="002F4DD7">
        <w:t>Un groupe préparatoire, le Groupe de préparation de la Conférence de Dubaï (DPG), a été établi pour coordonner les travaux préparatoires en interne. Il se compose de représentants du Secrétariat général et des Bureaux, y compris les Directeurs des Bureaux régionaux, et tient des réunions mensuelles.</w:t>
      </w:r>
    </w:p>
    <w:p w:rsidR="00D5763E" w:rsidRPr="002F4DD7" w:rsidRDefault="009B52DD" w:rsidP="009B52DD">
      <w:pPr>
        <w:pStyle w:val="Heading1"/>
        <w:rPr>
          <w:lang w:val="fr-CH"/>
        </w:rPr>
      </w:pPr>
      <w:r w:rsidRPr="002F4DD7">
        <w:rPr>
          <w:lang w:val="fr-CH"/>
        </w:rPr>
        <w:t>9</w:t>
      </w:r>
      <w:r w:rsidR="00D5763E" w:rsidRPr="002F4DD7">
        <w:rPr>
          <w:lang w:val="fr-CH"/>
        </w:rPr>
        <w:tab/>
        <w:t>Appui aux travaux préparatoires régionaux</w:t>
      </w:r>
    </w:p>
    <w:p w:rsidR="00D5763E" w:rsidRPr="002F4DD7" w:rsidRDefault="00D5763E" w:rsidP="009B52DD">
      <w:pPr>
        <w:rPr>
          <w:rFonts w:asciiTheme="minorHAnsi" w:hAnsiTheme="minorHAnsi"/>
          <w:lang w:val="fr-CH"/>
        </w:rPr>
      </w:pPr>
      <w:r w:rsidRPr="002F4DD7">
        <w:rPr>
          <w:rFonts w:asciiTheme="minorHAnsi" w:hAnsiTheme="minorHAnsi"/>
          <w:lang w:val="fr-CH"/>
        </w:rPr>
        <w:t xml:space="preserve">9.1 </w:t>
      </w:r>
      <w:r w:rsidRPr="002F4DD7">
        <w:rPr>
          <w:rFonts w:asciiTheme="minorHAnsi" w:hAnsiTheme="minorHAnsi"/>
          <w:lang w:val="fr-CH"/>
        </w:rPr>
        <w:tab/>
      </w:r>
      <w:r w:rsidRPr="002F4DD7">
        <w:t>Conformément à la Résolution 58 (Rév. Guadalajara, 2010) de la Conférence de plénipotentiaires, et de manière à renforcer les relations entre l'UIT et les organisations régionales de télécommunication, le Secrétariat a pris part aux travaux préparatoires régionaux en vue de la Conférence de plénipotentiaires afin de soumettre des contributions et des informations sur les travaux préparatoires en vue de la Conférence. Il est proposé de continuer d'organiser des réunions interrégionales informelles, comme pour la PP-14. La p</w:t>
      </w:r>
      <w:r w:rsidR="005C7871">
        <w:t>remière réunion aura lieu mardi</w:t>
      </w:r>
      <w:r w:rsidR="002F4DD7">
        <w:t> </w:t>
      </w:r>
      <w:r w:rsidRPr="002F4DD7">
        <w:t>24 avril 2018, de 13 heures à 14 h 30.</w:t>
      </w:r>
      <w:r w:rsidRPr="002F4DD7">
        <w:rPr>
          <w:rFonts w:asciiTheme="minorHAnsi" w:hAnsiTheme="minorHAnsi"/>
          <w:lang w:val="fr-CH"/>
        </w:rPr>
        <w:t xml:space="preserve"> </w:t>
      </w:r>
    </w:p>
    <w:p w:rsidR="00D5763E" w:rsidRPr="005C7871" w:rsidRDefault="00D5763E" w:rsidP="005C7871">
      <w:pPr>
        <w:spacing w:before="840"/>
        <w:jc w:val="both"/>
        <w:rPr>
          <w:rFonts w:asciiTheme="minorHAnsi" w:hAnsiTheme="minorHAnsi"/>
          <w:b/>
          <w:bCs/>
          <w:lang w:val="fr-CH"/>
        </w:rPr>
      </w:pPr>
      <w:r w:rsidRPr="005C7871">
        <w:rPr>
          <w:rFonts w:asciiTheme="minorHAnsi" w:hAnsiTheme="minorHAnsi"/>
          <w:b/>
          <w:bCs/>
          <w:lang w:val="fr-CH"/>
        </w:rPr>
        <w:t>Annexe</w:t>
      </w:r>
      <w:r w:rsidR="005C7871" w:rsidRPr="005C7871">
        <w:rPr>
          <w:rFonts w:asciiTheme="minorHAnsi" w:hAnsiTheme="minorHAnsi"/>
          <w:b/>
          <w:bCs/>
          <w:lang w:val="fr-CH"/>
        </w:rPr>
        <w:t>:</w:t>
      </w:r>
      <w:r w:rsidRPr="005C7871">
        <w:rPr>
          <w:rFonts w:asciiTheme="minorHAnsi" w:hAnsiTheme="minorHAnsi"/>
          <w:b/>
          <w:bCs/>
          <w:lang w:val="fr-CH"/>
        </w:rPr>
        <w:t xml:space="preserve"> </w:t>
      </w:r>
      <w:r w:rsidRPr="00E37232">
        <w:rPr>
          <w:rFonts w:asciiTheme="minorHAnsi" w:hAnsiTheme="minorHAnsi"/>
          <w:lang w:val="fr-CH"/>
        </w:rPr>
        <w:t>1</w:t>
      </w:r>
      <w:r w:rsidRPr="005C7871">
        <w:rPr>
          <w:rFonts w:asciiTheme="minorHAnsi" w:hAnsiTheme="minorHAnsi"/>
          <w:b/>
          <w:bCs/>
          <w:lang w:val="fr-CH"/>
        </w:rPr>
        <w:br w:type="page"/>
      </w:r>
    </w:p>
    <w:p w:rsidR="00D5763E" w:rsidRDefault="00D5763E" w:rsidP="00B228A0">
      <w:pPr>
        <w:pStyle w:val="AnnexNo"/>
      </w:pPr>
      <w:r w:rsidRPr="002F4DD7">
        <w:lastRenderedPageBreak/>
        <w:t>ANNEXE 1</w:t>
      </w:r>
    </w:p>
    <w:p w:rsidR="00D5763E" w:rsidRPr="00B228A0" w:rsidRDefault="00B228A0" w:rsidP="00B228A0">
      <w:pPr>
        <w:pStyle w:val="Annextitle"/>
      </w:pPr>
      <w:r>
        <w:t>P</w:t>
      </w:r>
      <w:r w:rsidRPr="00B228A0">
        <w:t xml:space="preserve">rojet de lignes directrices pour aider les délégations à préparer </w:t>
      </w:r>
      <w:r>
        <w:br/>
      </w:r>
      <w:r w:rsidRPr="00B228A0">
        <w:t xml:space="preserve">leurs déclarations de politique générale à la </w:t>
      </w:r>
      <w:r>
        <w:t>PP</w:t>
      </w:r>
      <w:r w:rsidRPr="00B228A0">
        <w:t>-18</w:t>
      </w:r>
    </w:p>
    <w:p w:rsidR="00D5763E" w:rsidRPr="002F4DD7" w:rsidRDefault="00D5763E" w:rsidP="00221428">
      <w:pPr>
        <w:spacing w:after="400"/>
        <w:jc w:val="center"/>
        <w:rPr>
          <w:rFonts w:asciiTheme="minorHAnsi" w:hAnsiTheme="minorHAnsi"/>
          <w:i/>
          <w:iCs/>
          <w:szCs w:val="24"/>
          <w:lang w:val="fr-CH"/>
        </w:rPr>
      </w:pPr>
      <w:r w:rsidRPr="002F4DD7">
        <w:rPr>
          <w:rFonts w:asciiTheme="minorHAnsi" w:hAnsiTheme="minorHAnsi"/>
          <w:i/>
          <w:iCs/>
          <w:szCs w:val="24"/>
          <w:lang w:val="fr-CH"/>
        </w:rPr>
        <w:t>(La version finale sera distribuée et affichée sur le site web de la PP-18 le 1</w:t>
      </w:r>
      <w:r w:rsidRPr="002F4DD7">
        <w:rPr>
          <w:rFonts w:asciiTheme="minorHAnsi" w:hAnsiTheme="minorHAnsi"/>
          <w:i/>
          <w:iCs/>
          <w:szCs w:val="24"/>
          <w:vertAlign w:val="superscript"/>
          <w:lang w:val="fr-CH"/>
        </w:rPr>
        <w:t>er</w:t>
      </w:r>
      <w:r w:rsidRPr="002F4DD7">
        <w:t xml:space="preserve"> </w:t>
      </w:r>
      <w:r w:rsidRPr="002F4DD7">
        <w:rPr>
          <w:i/>
          <w:iCs/>
        </w:rPr>
        <w:t>mai</w:t>
      </w:r>
      <w:r w:rsidRPr="002F4DD7">
        <w:rPr>
          <w:rFonts w:asciiTheme="minorHAnsi" w:hAnsiTheme="minorHAnsi"/>
          <w:i/>
          <w:iCs/>
          <w:szCs w:val="24"/>
          <w:lang w:val="fr-CH"/>
        </w:rPr>
        <w:t xml:space="preserve"> 2018)</w:t>
      </w:r>
    </w:p>
    <w:p w:rsidR="00D5763E" w:rsidRPr="002F4DD7" w:rsidRDefault="00D5763E" w:rsidP="009E6987">
      <w:pPr>
        <w:pStyle w:val="Heading1"/>
        <w:ind w:left="0" w:firstLine="0"/>
      </w:pPr>
      <w:r w:rsidRPr="002F4DD7">
        <w:t xml:space="preserve">Informations générales concernant le cadre stratégique de l'UIT pour la </w:t>
      </w:r>
      <w:r w:rsidR="003E4C20">
        <w:t>période</w:t>
      </w:r>
      <w:r w:rsidR="009E6987">
        <w:t> </w:t>
      </w:r>
      <w:r w:rsidR="003E4C20">
        <w:t>2020-2023: après le P</w:t>
      </w:r>
      <w:r w:rsidRPr="002F4DD7">
        <w:t>rogramme Connect 2020</w:t>
      </w:r>
    </w:p>
    <w:p w:rsidR="00D5763E" w:rsidRPr="002F4DD7" w:rsidRDefault="00D5763E" w:rsidP="003E4C20">
      <w:pPr>
        <w:rPr>
          <w:lang w:val="fr-CH"/>
        </w:rPr>
      </w:pPr>
      <w:r w:rsidRPr="002F4DD7">
        <w:rPr>
          <w:lang w:val="fr-CH"/>
        </w:rPr>
        <w:t xml:space="preserve">Les </w:t>
      </w:r>
      <w:r w:rsidR="009B52DD" w:rsidRPr="002F4DD7">
        <w:rPr>
          <w:lang w:val="fr-CH"/>
        </w:rPr>
        <w:t>E</w:t>
      </w:r>
      <w:r w:rsidRPr="002F4DD7">
        <w:rPr>
          <w:lang w:val="fr-CH"/>
        </w:rPr>
        <w:t>tats Membres de l'UIT se préparent pour renouv</w:t>
      </w:r>
      <w:r w:rsidR="003E4C20">
        <w:rPr>
          <w:lang w:val="fr-CH"/>
        </w:rPr>
        <w:t>eler leur soutien en faveur du P</w:t>
      </w:r>
      <w:r w:rsidRPr="002F4DD7">
        <w:rPr>
          <w:lang w:val="fr-CH"/>
        </w:rPr>
        <w:t xml:space="preserve">rogramme Connect 2020 lors de la prochaine Conférence de plénipotentiaires de 2018, ainsi que pour renouveler leur vision du secteur des télécommunications/TIC après 2020. Les cibles mesurables correspondant aux cinq principaux </w:t>
      </w:r>
      <w:r w:rsidR="003E4C20">
        <w:rPr>
          <w:lang w:val="fr-CH"/>
        </w:rPr>
        <w:t>objectifs qui figurent dans le P</w:t>
      </w:r>
      <w:r w:rsidRPr="002F4DD7">
        <w:rPr>
          <w:lang w:val="fr-CH"/>
        </w:rPr>
        <w:t>lan stratégique de l'UIT proposé pou</w:t>
      </w:r>
      <w:r w:rsidR="003E4C20">
        <w:rPr>
          <w:lang w:val="fr-CH"/>
        </w:rPr>
        <w:t>r la période 2020-2023, tel qu'</w:t>
      </w:r>
      <w:r w:rsidRPr="002F4DD7">
        <w:rPr>
          <w:lang w:val="fr-CH"/>
        </w:rPr>
        <w:t>approuvé par la session de 2018 du Conseil, témoignent du fort impact que l'UIT souhaite observer dans le monde.</w:t>
      </w:r>
    </w:p>
    <w:p w:rsidR="00D5763E" w:rsidRPr="002F4DD7" w:rsidRDefault="00D5763E" w:rsidP="003E4C20">
      <w:pPr>
        <w:rPr>
          <w:lang w:val="fr-CH"/>
        </w:rPr>
      </w:pPr>
      <w:r w:rsidRPr="002F4DD7">
        <w:rPr>
          <w:lang w:val="fr-CH"/>
        </w:rPr>
        <w:t>La vision commune d'"</w:t>
      </w:r>
      <w:r w:rsidRPr="005C7871">
        <w:rPr>
          <w:i/>
          <w:iCs/>
          <w:lang w:val="fr-CH"/>
        </w:rPr>
        <w:t>une société de l'information s'appuyant sur un monde interconnecté, où les télécommunications/TIC permettent et accélèrent une croissance et un développement socio</w:t>
      </w:r>
      <w:r w:rsidR="003E4C20" w:rsidRPr="005C7871">
        <w:rPr>
          <w:i/>
          <w:iCs/>
          <w:lang w:val="fr-CH"/>
        </w:rPr>
        <w:noBreakHyphen/>
      </w:r>
      <w:r w:rsidRPr="005C7871">
        <w:rPr>
          <w:i/>
          <w:iCs/>
          <w:lang w:val="fr-CH"/>
        </w:rPr>
        <w:t>économiques écologiquement durables pour tous</w:t>
      </w:r>
      <w:r w:rsidRPr="002F4DD7">
        <w:rPr>
          <w:lang w:val="fr-CH"/>
        </w:rPr>
        <w:t>", est complétée par les cinq buts proposés et leurs cibles connexes:</w:t>
      </w:r>
    </w:p>
    <w:p w:rsidR="00D5763E" w:rsidRPr="002F4DD7" w:rsidRDefault="008C3E39" w:rsidP="008C3E39">
      <w:pPr>
        <w:pStyle w:val="enumlev1"/>
        <w:rPr>
          <w:lang w:val="fr-CH"/>
        </w:rPr>
      </w:pPr>
      <w:r w:rsidRPr="002F4DD7">
        <w:rPr>
          <w:bCs/>
          <w:lang w:val="fr-CH"/>
        </w:rPr>
        <w:t>1)</w:t>
      </w:r>
      <w:r w:rsidRPr="002F4DD7">
        <w:rPr>
          <w:bCs/>
          <w:lang w:val="fr-CH"/>
        </w:rPr>
        <w:tab/>
      </w:r>
      <w:r w:rsidR="00D5763E" w:rsidRPr="002F4DD7">
        <w:rPr>
          <w:b/>
          <w:lang w:val="fr-CH"/>
        </w:rPr>
        <w:t>Croissance</w:t>
      </w:r>
      <w:r w:rsidR="00D5763E" w:rsidRPr="002F4DD7">
        <w:rPr>
          <w:lang w:val="fr-CH"/>
        </w:rPr>
        <w:t xml:space="preserve"> – Permettre et encourager l'accès aux télécommunications/TIC et leur utilisation accrue à l'appui de l'économie et de la société</w:t>
      </w:r>
      <w:r w:rsidR="005C7871">
        <w:rPr>
          <w:lang w:val="fr-CH"/>
        </w:rPr>
        <w:t xml:space="preserve"> numériques.</w:t>
      </w:r>
    </w:p>
    <w:p w:rsidR="00D5763E" w:rsidRPr="002F4DD7" w:rsidRDefault="008C3E39" w:rsidP="008C3E39">
      <w:pPr>
        <w:pStyle w:val="enumlev1"/>
        <w:rPr>
          <w:lang w:val="fr-CH"/>
        </w:rPr>
      </w:pPr>
      <w:r w:rsidRPr="002F4DD7">
        <w:rPr>
          <w:lang w:val="fr-CH"/>
        </w:rPr>
        <w:t>2)</w:t>
      </w:r>
      <w:r w:rsidRPr="002F4DD7">
        <w:rPr>
          <w:lang w:val="fr-CH"/>
        </w:rPr>
        <w:tab/>
      </w:r>
      <w:r w:rsidR="00D5763E" w:rsidRPr="002F4DD7">
        <w:rPr>
          <w:b/>
          <w:bCs/>
          <w:lang w:val="fr-CH"/>
        </w:rPr>
        <w:t>Inclusion</w:t>
      </w:r>
      <w:r w:rsidR="00D5763E" w:rsidRPr="002F4DD7">
        <w:rPr>
          <w:lang w:val="fr-CH"/>
        </w:rPr>
        <w:t xml:space="preserve"> – Réduire la fracture numérique et fournir un accès au large bande "e</w:t>
      </w:r>
      <w:r w:rsidR="005C7871">
        <w:rPr>
          <w:lang w:val="fr-CH"/>
        </w:rPr>
        <w:t>n ne laissant personne de côté".</w:t>
      </w:r>
    </w:p>
    <w:p w:rsidR="00D5763E" w:rsidRPr="002F4DD7" w:rsidRDefault="008C3E39" w:rsidP="008C3E39">
      <w:pPr>
        <w:pStyle w:val="enumlev1"/>
        <w:rPr>
          <w:lang w:val="fr-CH"/>
        </w:rPr>
      </w:pPr>
      <w:r w:rsidRPr="002F4DD7">
        <w:rPr>
          <w:lang w:val="fr-CH"/>
        </w:rPr>
        <w:t>3)</w:t>
      </w:r>
      <w:r w:rsidRPr="002F4DD7">
        <w:rPr>
          <w:lang w:val="fr-CH"/>
        </w:rPr>
        <w:tab/>
      </w:r>
      <w:r w:rsidR="00D5763E" w:rsidRPr="002F4DD7">
        <w:rPr>
          <w:b/>
          <w:bCs/>
          <w:lang w:val="fr-CH"/>
        </w:rPr>
        <w:t xml:space="preserve">Durabilité </w:t>
      </w:r>
      <w:r w:rsidR="00D5763E" w:rsidRPr="002F4DD7">
        <w:rPr>
          <w:lang w:val="fr-CH"/>
        </w:rPr>
        <w:t>– Gérer les nouveaux risques, enjeux et perspectives résultant de l'essor ra</w:t>
      </w:r>
      <w:r w:rsidR="005C7871">
        <w:rPr>
          <w:lang w:val="fr-CH"/>
        </w:rPr>
        <w:t>pide des télécommunications/TIC.</w:t>
      </w:r>
    </w:p>
    <w:p w:rsidR="00D5763E" w:rsidRPr="002F4DD7" w:rsidRDefault="008C3E39" w:rsidP="008C3E39">
      <w:pPr>
        <w:pStyle w:val="enumlev1"/>
        <w:rPr>
          <w:lang w:val="fr-CH"/>
        </w:rPr>
      </w:pPr>
      <w:r w:rsidRPr="002F4DD7">
        <w:rPr>
          <w:lang w:val="fr-CH"/>
        </w:rPr>
        <w:t>4)</w:t>
      </w:r>
      <w:r w:rsidRPr="002F4DD7">
        <w:rPr>
          <w:lang w:val="fr-CH"/>
        </w:rPr>
        <w:tab/>
      </w:r>
      <w:r w:rsidR="00D5763E" w:rsidRPr="002F4DD7">
        <w:rPr>
          <w:b/>
          <w:bCs/>
          <w:lang w:val="fr-CH"/>
        </w:rPr>
        <w:t>Innovation</w:t>
      </w:r>
      <w:r w:rsidR="00D5763E" w:rsidRPr="002F4DD7">
        <w:rPr>
          <w:lang w:val="fr-CH"/>
        </w:rPr>
        <w:t xml:space="preserve"> – Permettre l'innovation dans le secteur des télécommunications/TIC pour appuyer la transfo</w:t>
      </w:r>
      <w:r w:rsidR="005C7871">
        <w:rPr>
          <w:lang w:val="fr-CH"/>
        </w:rPr>
        <w:t>rmation numérique de la société.</w:t>
      </w:r>
    </w:p>
    <w:p w:rsidR="00D5763E" w:rsidRPr="002F4DD7" w:rsidRDefault="008C3E39" w:rsidP="008C3E39">
      <w:pPr>
        <w:pStyle w:val="enumlev1"/>
        <w:rPr>
          <w:lang w:val="fr-CH"/>
        </w:rPr>
      </w:pPr>
      <w:r w:rsidRPr="002F4DD7">
        <w:rPr>
          <w:lang w:val="fr-CH"/>
        </w:rPr>
        <w:t>5)</w:t>
      </w:r>
      <w:r w:rsidRPr="002F4DD7">
        <w:rPr>
          <w:lang w:val="fr-CH"/>
        </w:rPr>
        <w:tab/>
      </w:r>
      <w:r w:rsidR="00D5763E" w:rsidRPr="002F4DD7">
        <w:rPr>
          <w:b/>
          <w:bCs/>
          <w:lang w:val="fr-CH"/>
        </w:rPr>
        <w:t>Partenariats</w:t>
      </w:r>
      <w:r w:rsidR="00D5763E" w:rsidRPr="002F4DD7">
        <w:rPr>
          <w:lang w:val="fr-CH"/>
        </w:rPr>
        <w:t xml:space="preserve"> – Renforcer la coopération entre les membres de l'UIT et toutes les autres parties prenantes pour appuyer la réalisation des buts stratégiques de l'UIT.</w:t>
      </w:r>
    </w:p>
    <w:p w:rsidR="00D5763E" w:rsidRPr="002F4DD7" w:rsidRDefault="00D5763E" w:rsidP="009E6987">
      <w:pPr>
        <w:pStyle w:val="Heading1"/>
        <w:rPr>
          <w:lang w:val="fr-CH"/>
        </w:rPr>
      </w:pPr>
      <w:r w:rsidRPr="002F4DD7">
        <w:rPr>
          <w:lang w:val="fr-CH"/>
        </w:rPr>
        <w:t>Déclaration de politi</w:t>
      </w:r>
      <w:bookmarkStart w:id="10" w:name="_GoBack"/>
      <w:bookmarkEnd w:id="10"/>
      <w:r w:rsidRPr="002F4DD7">
        <w:rPr>
          <w:lang w:val="fr-CH"/>
        </w:rPr>
        <w:t>que générale: quelle contribution votre pays peut-il apporter?</w:t>
      </w:r>
    </w:p>
    <w:p w:rsidR="00D5763E" w:rsidRPr="002F4DD7" w:rsidRDefault="00D5763E" w:rsidP="008C3E39">
      <w:pPr>
        <w:rPr>
          <w:lang w:val="fr-CH"/>
        </w:rPr>
      </w:pPr>
      <w:r w:rsidRPr="002F4DD7">
        <w:rPr>
          <w:lang w:val="fr-CH"/>
        </w:rPr>
        <w:t xml:space="preserve">Les </w:t>
      </w:r>
      <w:r w:rsidR="009B52DD" w:rsidRPr="002F4DD7">
        <w:rPr>
          <w:lang w:val="fr-CH"/>
        </w:rPr>
        <w:t>E</w:t>
      </w:r>
      <w:r w:rsidRPr="002F4DD7">
        <w:rPr>
          <w:lang w:val="fr-CH"/>
        </w:rPr>
        <w:t>tats Membres sont invités à axer leurs déclarations de politique générale sur la façon dont ils contribuent à la réalisat</w:t>
      </w:r>
      <w:r w:rsidR="005C7871">
        <w:rPr>
          <w:lang w:val="fr-CH"/>
        </w:rPr>
        <w:t>ion du P</w:t>
      </w:r>
      <w:r w:rsidRPr="002F4DD7">
        <w:rPr>
          <w:lang w:val="fr-CH"/>
        </w:rPr>
        <w:t>rogramme Connect 2020 et dont leur pays envisage d'appuyer les nouveaux buts proposés et les cibles associées. Les déclarations peuvent comprendre une description de leurs réalisations et de leurs engagements sur le plan national, des annonces de nouveaux partenariats et initiatives, ainsi que de l'aide qu'ils attendent de la part de l'UIT en tant qu'organisation.</w:t>
      </w:r>
    </w:p>
    <w:p w:rsidR="00D5763E" w:rsidRPr="002F4DD7" w:rsidRDefault="00D5763E" w:rsidP="005C7871">
      <w:pPr>
        <w:keepNext/>
        <w:rPr>
          <w:lang w:val="fr-CH"/>
        </w:rPr>
      </w:pPr>
      <w:r w:rsidRPr="002F4DD7">
        <w:rPr>
          <w:lang w:val="fr-CH"/>
        </w:rPr>
        <w:lastRenderedPageBreak/>
        <w:t xml:space="preserve">Les déclarations de politique générale, dont la durée est limitée à </w:t>
      </w:r>
      <w:r w:rsidRPr="002F4DD7">
        <w:rPr>
          <w:u w:val="single"/>
          <w:lang w:val="fr-CH"/>
        </w:rPr>
        <w:t xml:space="preserve">3 </w:t>
      </w:r>
      <w:r w:rsidRPr="005C7871">
        <w:rPr>
          <w:u w:val="single"/>
          <w:lang w:val="fr-CH"/>
        </w:rPr>
        <w:t>minutes chacune</w:t>
      </w:r>
      <w:r w:rsidRPr="002F4DD7">
        <w:rPr>
          <w:lang w:val="fr-CH"/>
        </w:rPr>
        <w:t>, peuvent être structurées autour des éléments suivants:</w:t>
      </w:r>
    </w:p>
    <w:p w:rsidR="00D5763E" w:rsidRPr="002F4DD7" w:rsidRDefault="00E3591C" w:rsidP="003424E0">
      <w:pPr>
        <w:tabs>
          <w:tab w:val="left" w:pos="5387"/>
        </w:tabs>
        <w:spacing w:line="480" w:lineRule="auto"/>
        <w:jc w:val="center"/>
        <w:rPr>
          <w:rFonts w:asciiTheme="minorHAnsi" w:hAnsiTheme="minorHAnsi" w:cstheme="majorBidi"/>
        </w:rPr>
      </w:pPr>
      <w:r w:rsidRPr="002F4DD7">
        <w:rPr>
          <w:rFonts w:asciiTheme="minorHAnsi" w:hAnsiTheme="minorHAnsi" w:cstheme="majorBidi"/>
          <w:noProof/>
          <w:lang w:val="en-GB" w:eastAsia="zh-CN"/>
        </w:rPr>
        <mc:AlternateContent>
          <mc:Choice Requires="wps">
            <w:drawing>
              <wp:anchor distT="0" distB="0" distL="114300" distR="114300" simplePos="0" relativeHeight="251661312" behindDoc="0" locked="0" layoutInCell="1" allowOverlap="1" wp14:anchorId="5BB93445" wp14:editId="6B171F65">
                <wp:simplePos x="0" y="0"/>
                <wp:positionH relativeFrom="column">
                  <wp:posOffset>3059430</wp:posOffset>
                </wp:positionH>
                <wp:positionV relativeFrom="paragraph">
                  <wp:posOffset>1616075</wp:posOffset>
                </wp:positionV>
                <wp:extent cx="1207770" cy="230587"/>
                <wp:effectExtent l="0" t="0" r="0" b="0"/>
                <wp:wrapNone/>
                <wp:docPr id="4" name="Text Box 4"/>
                <wp:cNvGraphicFramePr/>
                <a:graphic xmlns:a="http://schemas.openxmlformats.org/drawingml/2006/main">
                  <a:graphicData uri="http://schemas.microsoft.com/office/word/2010/wordprocessingShape">
                    <wps:wsp>
                      <wps:cNvSpPr txBox="1"/>
                      <wps:spPr>
                        <a:xfrm>
                          <a:off x="0" y="0"/>
                          <a:ext cx="1207770" cy="23058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2AD" w:rsidRPr="004E62AD" w:rsidRDefault="004E62AD" w:rsidP="004E62AD">
                            <w:pPr>
                              <w:spacing w:before="0"/>
                              <w:jc w:val="center"/>
                              <w:rPr>
                                <w:sz w:val="20"/>
                              </w:rPr>
                            </w:pPr>
                            <w:r>
                              <w:rPr>
                                <w:color w:val="FFFFFF" w:themeColor="background1"/>
                                <w:sz w:val="20"/>
                              </w:rPr>
                              <w:t>INCLUSION</w:t>
                            </w:r>
                          </w:p>
                          <w:p w:rsidR="004E62AD" w:rsidRPr="004E62AD" w:rsidRDefault="004E62AD" w:rsidP="004E62AD">
                            <w:pPr>
                              <w:spacing w:befor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93445" id="_x0000_t202" coordsize="21600,21600" o:spt="202" path="m,l,21600r21600,l21600,xe">
                <v:stroke joinstyle="miter"/>
                <v:path gradientshapeok="t" o:connecttype="rect"/>
              </v:shapetype>
              <v:shape id="Text Box 4" o:spid="_x0000_s1026" type="#_x0000_t202" style="position:absolute;left:0;text-align:left;margin-left:240.9pt;margin-top:127.25pt;width:95.1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" fillcolor="#4f81bd [3204]" stroked="f" strokeweight=".5pt">
                <v:textbox>
                  <w:txbxContent>
                    <w:p w:rsidR="004E62AD" w:rsidRPr="004E62AD" w:rsidRDefault="004E62AD" w:rsidP="004E62AD">
                      <w:pPr>
                        <w:spacing w:before="0"/>
                        <w:jc w:val="center"/>
                        <w:rPr>
                          <w:sz w:val="20"/>
                        </w:rPr>
                      </w:pPr>
                      <w:r>
                        <w:rPr>
                          <w:color w:val="FFFFFF" w:themeColor="background1"/>
                          <w:sz w:val="20"/>
                        </w:rPr>
                        <w:t>INCLUSION</w:t>
                      </w:r>
                    </w:p>
                    <w:p w:rsidR="004E62AD" w:rsidRPr="004E62AD" w:rsidRDefault="004E62AD" w:rsidP="004E62AD">
                      <w:pPr>
                        <w:spacing w:before="0"/>
                        <w:jc w:val="center"/>
                        <w:rPr>
                          <w:sz w:val="20"/>
                        </w:rPr>
                      </w:pPr>
                    </w:p>
                  </w:txbxContent>
                </v:textbox>
              </v:shape>
            </w:pict>
          </mc:Fallback>
        </mc:AlternateContent>
      </w:r>
      <w:r w:rsidR="003424E0" w:rsidRPr="002F4DD7">
        <w:rPr>
          <w:rFonts w:asciiTheme="minorHAnsi" w:hAnsiTheme="minorHAnsi" w:cstheme="majorBidi"/>
          <w:noProof/>
          <w:lang w:val="en-GB" w:eastAsia="zh-CN"/>
        </w:rPr>
        <mc:AlternateContent>
          <mc:Choice Requires="wps">
            <w:drawing>
              <wp:anchor distT="0" distB="0" distL="114300" distR="114300" simplePos="0" relativeHeight="251667456" behindDoc="0" locked="0" layoutInCell="1" allowOverlap="1" wp14:anchorId="34CD476A" wp14:editId="42397D9B">
                <wp:simplePos x="0" y="0"/>
                <wp:positionH relativeFrom="column">
                  <wp:posOffset>2472690</wp:posOffset>
                </wp:positionH>
                <wp:positionV relativeFrom="paragraph">
                  <wp:posOffset>3261360</wp:posOffset>
                </wp:positionV>
                <wp:extent cx="1150620" cy="230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50620" cy="23050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DD7" w:rsidRPr="004E62AD" w:rsidRDefault="002F4DD7" w:rsidP="002F4DD7">
                            <w:pPr>
                              <w:spacing w:before="0"/>
                              <w:jc w:val="center"/>
                              <w:rPr>
                                <w:sz w:val="20"/>
                              </w:rPr>
                            </w:pPr>
                            <w:r>
                              <w:rPr>
                                <w:color w:val="FFFFFF" w:themeColor="background1"/>
                                <w:sz w:val="20"/>
                              </w:rPr>
                              <w:t>PARTENARIATS</w:t>
                            </w:r>
                          </w:p>
                          <w:p w:rsidR="002F4DD7" w:rsidRPr="004E62AD" w:rsidRDefault="002F4DD7" w:rsidP="002F4DD7">
                            <w:pPr>
                              <w:spacing w:befor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476A" id="Text Box 7" o:spid="_x0000_s1027" type="#_x0000_t202" style="position:absolute;left:0;text-align:left;margin-left:194.7pt;margin-top:256.8pt;width:9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" fillcolor="#4f81bd [3204]" stroked="f" strokeweight=".5pt">
                <v:textbox>
                  <w:txbxContent>
                    <w:p w:rsidR="002F4DD7" w:rsidRPr="004E62AD" w:rsidRDefault="002F4DD7" w:rsidP="002F4DD7">
                      <w:pPr>
                        <w:spacing w:before="0"/>
                        <w:jc w:val="center"/>
                        <w:rPr>
                          <w:sz w:val="20"/>
                        </w:rPr>
                      </w:pPr>
                      <w:r>
                        <w:rPr>
                          <w:color w:val="FFFFFF" w:themeColor="background1"/>
                          <w:sz w:val="20"/>
                        </w:rPr>
                        <w:t>PARTENARIATS</w:t>
                      </w:r>
                    </w:p>
                    <w:p w:rsidR="002F4DD7" w:rsidRPr="004E62AD" w:rsidRDefault="002F4DD7" w:rsidP="002F4DD7">
                      <w:pPr>
                        <w:spacing w:before="0"/>
                        <w:jc w:val="center"/>
                        <w:rPr>
                          <w:sz w:val="20"/>
                        </w:rPr>
                      </w:pPr>
                    </w:p>
                  </w:txbxContent>
                </v:textbox>
              </v:shape>
            </w:pict>
          </mc:Fallback>
        </mc:AlternateContent>
      </w:r>
      <w:r w:rsidR="003424E0" w:rsidRPr="002F4DD7">
        <w:rPr>
          <w:rFonts w:asciiTheme="minorHAnsi" w:hAnsiTheme="minorHAnsi" w:cstheme="majorBidi"/>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1878330</wp:posOffset>
                </wp:positionH>
                <wp:positionV relativeFrom="paragraph">
                  <wp:posOffset>1526540</wp:posOffset>
                </wp:positionV>
                <wp:extent cx="1074420" cy="23114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74420" cy="23114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2AD" w:rsidRPr="004E62AD" w:rsidRDefault="004E62AD" w:rsidP="004E62AD">
                            <w:pPr>
                              <w:spacing w:before="0"/>
                              <w:jc w:val="center"/>
                              <w:rPr>
                                <w:sz w:val="20"/>
                              </w:rPr>
                            </w:pPr>
                            <w:r w:rsidRPr="004E62AD">
                              <w:rPr>
                                <w:color w:val="FFFFFF" w:themeColor="background1"/>
                                <w:sz w:val="20"/>
                              </w:rPr>
                              <w:t>C</w:t>
                            </w:r>
                            <w:r>
                              <w:rPr>
                                <w:color w:val="FFFFFF" w:themeColor="background1"/>
                                <w:sz w:val="20"/>
                              </w:rPr>
                              <w:t>ROISSANCE</w:t>
                            </w:r>
                          </w:p>
                          <w:p w:rsidR="004E62AD" w:rsidRPr="004E62AD" w:rsidRDefault="004E62AD" w:rsidP="004E62AD">
                            <w:pPr>
                              <w:spacing w:befor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47.9pt;margin-top:120.2pt;width:84.6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" fillcolor="#4f81bd [3204]" stroked="f" strokeweight=".5pt">
                <v:textbox>
                  <w:txbxContent>
                    <w:p w:rsidR="004E62AD" w:rsidRPr="004E62AD" w:rsidRDefault="004E62AD" w:rsidP="004E62AD">
                      <w:pPr>
                        <w:spacing w:before="0"/>
                        <w:jc w:val="center"/>
                        <w:rPr>
                          <w:sz w:val="20"/>
                        </w:rPr>
                      </w:pPr>
                      <w:r w:rsidRPr="004E62AD">
                        <w:rPr>
                          <w:color w:val="FFFFFF" w:themeColor="background1"/>
                          <w:sz w:val="20"/>
                        </w:rPr>
                        <w:t>C</w:t>
                      </w:r>
                      <w:r>
                        <w:rPr>
                          <w:color w:val="FFFFFF" w:themeColor="background1"/>
                          <w:sz w:val="20"/>
                        </w:rPr>
                        <w:t>ROISSANCE</w:t>
                      </w:r>
                    </w:p>
                    <w:p w:rsidR="004E62AD" w:rsidRPr="004E62AD" w:rsidRDefault="004E62AD" w:rsidP="004E62AD">
                      <w:pPr>
                        <w:spacing w:before="0"/>
                        <w:jc w:val="center"/>
                        <w:rPr>
                          <w:sz w:val="20"/>
                        </w:rPr>
                      </w:pPr>
                    </w:p>
                  </w:txbxContent>
                </v:textbox>
              </v:shape>
            </w:pict>
          </mc:Fallback>
        </mc:AlternateContent>
      </w:r>
      <w:r w:rsidR="003424E0" w:rsidRPr="002F4DD7">
        <w:rPr>
          <w:rFonts w:asciiTheme="minorHAnsi" w:hAnsiTheme="minorHAnsi" w:cstheme="majorBidi"/>
          <w:noProof/>
          <w:lang w:val="en-GB" w:eastAsia="zh-CN"/>
        </w:rPr>
        <mc:AlternateContent>
          <mc:Choice Requires="wps">
            <w:drawing>
              <wp:anchor distT="0" distB="0" distL="114300" distR="114300" simplePos="0" relativeHeight="251663360" behindDoc="0" locked="0" layoutInCell="1" allowOverlap="1" wp14:anchorId="407F07C2" wp14:editId="64597417">
                <wp:simplePos x="0" y="0"/>
                <wp:positionH relativeFrom="column">
                  <wp:posOffset>1876425</wp:posOffset>
                </wp:positionH>
                <wp:positionV relativeFrom="paragraph">
                  <wp:posOffset>2437765</wp:posOffset>
                </wp:positionV>
                <wp:extent cx="1074420" cy="216536"/>
                <wp:effectExtent l="0" t="0" r="0" b="0"/>
                <wp:wrapNone/>
                <wp:docPr id="5" name="Text Box 5"/>
                <wp:cNvGraphicFramePr/>
                <a:graphic xmlns:a="http://schemas.openxmlformats.org/drawingml/2006/main">
                  <a:graphicData uri="http://schemas.microsoft.com/office/word/2010/wordprocessingShape">
                    <wps:wsp>
                      <wps:cNvSpPr txBox="1"/>
                      <wps:spPr>
                        <a:xfrm>
                          <a:off x="0" y="0"/>
                          <a:ext cx="1074420" cy="216536"/>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DD7" w:rsidRPr="004E62AD" w:rsidRDefault="002F4DD7" w:rsidP="002F4DD7">
                            <w:pPr>
                              <w:spacing w:before="0"/>
                              <w:jc w:val="center"/>
                              <w:rPr>
                                <w:sz w:val="20"/>
                              </w:rPr>
                            </w:pPr>
                            <w:r>
                              <w:rPr>
                                <w:color w:val="FFFFFF" w:themeColor="background1"/>
                                <w:sz w:val="20"/>
                              </w:rPr>
                              <w:t>DURABILITÉ</w:t>
                            </w:r>
                          </w:p>
                          <w:p w:rsidR="002F4DD7" w:rsidRPr="004E62AD" w:rsidRDefault="002F4DD7" w:rsidP="002F4DD7">
                            <w:pPr>
                              <w:spacing w:befor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07C2" id="Text Box 5" o:spid="_x0000_s1029" type="#_x0000_t202" style="position:absolute;left:0;text-align:left;margin-left:147.75pt;margin-top:191.95pt;width:84.6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" fillcolor="#4f81bd [3204]" stroked="f" strokeweight=".5pt">
                <v:textbox>
                  <w:txbxContent>
                    <w:p w:rsidR="002F4DD7" w:rsidRPr="004E62AD" w:rsidRDefault="002F4DD7" w:rsidP="002F4DD7">
                      <w:pPr>
                        <w:spacing w:before="0"/>
                        <w:jc w:val="center"/>
                        <w:rPr>
                          <w:sz w:val="20"/>
                        </w:rPr>
                      </w:pPr>
                      <w:r>
                        <w:rPr>
                          <w:color w:val="FFFFFF" w:themeColor="background1"/>
                          <w:sz w:val="20"/>
                        </w:rPr>
                        <w:t>DURABILITÉ</w:t>
                      </w:r>
                    </w:p>
                    <w:p w:rsidR="002F4DD7" w:rsidRPr="004E62AD" w:rsidRDefault="002F4DD7" w:rsidP="002F4DD7">
                      <w:pPr>
                        <w:spacing w:before="0"/>
                        <w:jc w:val="center"/>
                        <w:rPr>
                          <w:sz w:val="20"/>
                        </w:rPr>
                      </w:pPr>
                    </w:p>
                  </w:txbxContent>
                </v:textbox>
              </v:shape>
            </w:pict>
          </mc:Fallback>
        </mc:AlternateContent>
      </w:r>
      <w:r w:rsidR="005C7871" w:rsidRPr="002F4DD7">
        <w:rPr>
          <w:rFonts w:asciiTheme="minorHAnsi" w:hAnsiTheme="minorHAnsi" w:cstheme="majorBidi"/>
          <w:noProof/>
          <w:lang w:val="en-GB" w:eastAsia="zh-CN"/>
        </w:rPr>
        <mc:AlternateContent>
          <mc:Choice Requires="wps">
            <w:drawing>
              <wp:anchor distT="0" distB="0" distL="114300" distR="114300" simplePos="0" relativeHeight="251665408" behindDoc="0" locked="0" layoutInCell="1" allowOverlap="1" wp14:anchorId="2E23E914" wp14:editId="32B17A49">
                <wp:simplePos x="0" y="0"/>
                <wp:positionH relativeFrom="column">
                  <wp:posOffset>3055848</wp:posOffset>
                </wp:positionH>
                <wp:positionV relativeFrom="paragraph">
                  <wp:posOffset>2457423</wp:posOffset>
                </wp:positionV>
                <wp:extent cx="1208167" cy="230587"/>
                <wp:effectExtent l="0" t="0" r="0" b="0"/>
                <wp:wrapNone/>
                <wp:docPr id="6" name="Text Box 6"/>
                <wp:cNvGraphicFramePr/>
                <a:graphic xmlns:a="http://schemas.openxmlformats.org/drawingml/2006/main">
                  <a:graphicData uri="http://schemas.microsoft.com/office/word/2010/wordprocessingShape">
                    <wps:wsp>
                      <wps:cNvSpPr txBox="1"/>
                      <wps:spPr>
                        <a:xfrm>
                          <a:off x="0" y="0"/>
                          <a:ext cx="1208167" cy="23058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DD7" w:rsidRPr="004E62AD" w:rsidRDefault="002F4DD7" w:rsidP="002F4DD7">
                            <w:pPr>
                              <w:spacing w:before="0"/>
                              <w:jc w:val="center"/>
                              <w:rPr>
                                <w:sz w:val="20"/>
                              </w:rPr>
                            </w:pPr>
                            <w:r>
                              <w:rPr>
                                <w:color w:val="FFFFFF" w:themeColor="background1"/>
                                <w:sz w:val="20"/>
                              </w:rPr>
                              <w:t>INNOVATION</w:t>
                            </w:r>
                          </w:p>
                          <w:p w:rsidR="002F4DD7" w:rsidRPr="004E62AD" w:rsidRDefault="002F4DD7" w:rsidP="002F4DD7">
                            <w:pPr>
                              <w:spacing w:befor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E914" id="Text Box 6" o:spid="_x0000_s1030" type="#_x0000_t202" style="position:absolute;left:0;text-align:left;margin-left:240.6pt;margin-top:193.5pt;width:95.1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" fillcolor="#4f81bd [3204]" stroked="f" strokeweight=".5pt">
                <v:textbox>
                  <w:txbxContent>
                    <w:p w:rsidR="002F4DD7" w:rsidRPr="004E62AD" w:rsidRDefault="002F4DD7" w:rsidP="002F4DD7">
                      <w:pPr>
                        <w:spacing w:before="0"/>
                        <w:jc w:val="center"/>
                        <w:rPr>
                          <w:sz w:val="20"/>
                        </w:rPr>
                      </w:pPr>
                      <w:r>
                        <w:rPr>
                          <w:color w:val="FFFFFF" w:themeColor="background1"/>
                          <w:sz w:val="20"/>
                        </w:rPr>
                        <w:t>INNOVATION</w:t>
                      </w:r>
                    </w:p>
                    <w:p w:rsidR="002F4DD7" w:rsidRPr="004E62AD" w:rsidRDefault="002F4DD7" w:rsidP="002F4DD7">
                      <w:pPr>
                        <w:spacing w:before="0"/>
                        <w:jc w:val="center"/>
                        <w:rPr>
                          <w:sz w:val="20"/>
                        </w:rPr>
                      </w:pPr>
                    </w:p>
                  </w:txbxContent>
                </v:textbox>
              </v:shape>
            </w:pict>
          </mc:Fallback>
        </mc:AlternateContent>
      </w:r>
      <w:r w:rsidR="00D5763E" w:rsidRPr="002F4DD7">
        <w:rPr>
          <w:rFonts w:asciiTheme="minorHAnsi" w:hAnsiTheme="minorHAnsi" w:cstheme="majorBidi"/>
          <w:noProof/>
          <w:lang w:val="en-GB" w:eastAsia="zh-CN"/>
        </w:rPr>
        <w:drawing>
          <wp:inline distT="0" distB="0" distL="0" distR="0" wp14:anchorId="3192C107" wp14:editId="660407BA">
            <wp:extent cx="5486400" cy="4436828"/>
            <wp:effectExtent l="0" t="0" r="1905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5763E" w:rsidRPr="002F4DD7" w:rsidRDefault="00D5763E" w:rsidP="00E37232">
      <w:pPr>
        <w:pStyle w:val="Heading1"/>
        <w:ind w:left="0" w:firstLine="0"/>
      </w:pPr>
      <w:r w:rsidRPr="002F4DD7">
        <w:t>Fournir une copie de la déclaration accompagnée d'une citation à diffuser dans les médias</w:t>
      </w:r>
    </w:p>
    <w:p w:rsidR="00D5763E" w:rsidRPr="002F4DD7" w:rsidRDefault="00D5763E" w:rsidP="008C3E39">
      <w:pPr>
        <w:rPr>
          <w:lang w:val="fr-CH"/>
        </w:rPr>
      </w:pPr>
      <w:r w:rsidRPr="002F4DD7">
        <w:rPr>
          <w:lang w:val="fr-CH"/>
        </w:rPr>
        <w:t xml:space="preserve">Les délégations sont invitées à envoyer leurs déclarations par écrit à l'adresse </w:t>
      </w:r>
      <w:hyperlink r:id="rId27" w:history="1">
        <w:r w:rsidRPr="002F4DD7">
          <w:rPr>
            <w:rStyle w:val="Hyperlink"/>
            <w:rFonts w:asciiTheme="minorHAnsi" w:hAnsiTheme="minorHAnsi"/>
            <w:lang w:val="fr-CH"/>
          </w:rPr>
          <w:t>ppstatements@itu.int</w:t>
        </w:r>
      </w:hyperlink>
      <w:r w:rsidRPr="002F4DD7">
        <w:rPr>
          <w:lang w:val="fr-CH"/>
        </w:rPr>
        <w:t xml:space="preserve"> et sont encouragées à y joindre une </w:t>
      </w:r>
      <w:r w:rsidRPr="002F4DD7">
        <w:rPr>
          <w:u w:val="single"/>
          <w:lang w:val="fr-CH"/>
        </w:rPr>
        <w:t>courte citation tirée de la déclaration pouvant être reprise et diffusée par les différents moyens de communication de l'UIT</w:t>
      </w:r>
      <w:r w:rsidRPr="002F4DD7">
        <w:rPr>
          <w:lang w:val="fr-CH"/>
        </w:rPr>
        <w:t>.</w:t>
      </w:r>
    </w:p>
    <w:p w:rsidR="00D5763E" w:rsidRPr="002F4DD7" w:rsidRDefault="00D5763E" w:rsidP="008C3E39">
      <w:pPr>
        <w:rPr>
          <w:rFonts w:cstheme="majorBidi"/>
          <w:lang w:val="fr-CH"/>
        </w:rPr>
      </w:pPr>
      <w:r w:rsidRPr="002F4DD7">
        <w:rPr>
          <w:rFonts w:cstheme="majorBidi"/>
          <w:lang w:val="fr-CH"/>
        </w:rPr>
        <w:t xml:space="preserve">Pour en savoir plus, veuillez vous reporter à la page web des déclarations de politique générale: </w:t>
      </w:r>
      <w:hyperlink r:id="rId28" w:history="1">
        <w:r w:rsidR="004E62AD" w:rsidRPr="002F4DD7">
          <w:rPr>
            <w:rStyle w:val="Hyperlink"/>
            <w:rFonts w:asciiTheme="minorHAnsi" w:hAnsiTheme="minorHAnsi"/>
            <w:lang w:val="fr-CH"/>
          </w:rPr>
          <w:t>https://www.itu.int/web/pp-18/fr/page/72-policy-statements</w:t>
        </w:r>
      </w:hyperlink>
      <w:r w:rsidRPr="002F4DD7">
        <w:rPr>
          <w:lang w:val="fr-CH"/>
        </w:rPr>
        <w:t>.</w:t>
      </w:r>
    </w:p>
    <w:p w:rsidR="00D5763E" w:rsidRPr="002F4DD7" w:rsidRDefault="00D5763E" w:rsidP="004E62AD">
      <w:pPr>
        <w:pStyle w:val="Heading1"/>
        <w:rPr>
          <w:rFonts w:asciiTheme="minorHAnsi" w:hAnsiTheme="minorHAnsi"/>
          <w:lang w:val="fr-CH"/>
        </w:rPr>
      </w:pPr>
      <w:r w:rsidRPr="002F4DD7">
        <w:rPr>
          <w:rFonts w:asciiTheme="minorHAnsi" w:hAnsiTheme="minorHAnsi"/>
          <w:lang w:val="fr-CH"/>
        </w:rPr>
        <w:t>Appendice: Description des buts stratégiques et des cibles de l'UIT</w:t>
      </w:r>
    </w:p>
    <w:p w:rsidR="00D5763E" w:rsidRDefault="005C7871" w:rsidP="004E62AD">
      <w:pPr>
        <w:rPr>
          <w:rFonts w:asciiTheme="minorHAnsi" w:hAnsiTheme="minorHAnsi" w:cstheme="majorBidi"/>
          <w:i/>
          <w:iCs/>
          <w:lang w:val="fr-CH"/>
        </w:rPr>
      </w:pPr>
      <w:r>
        <w:rPr>
          <w:rFonts w:asciiTheme="minorHAnsi" w:hAnsiTheme="minorHAnsi" w:cstheme="majorBidi"/>
          <w:i/>
          <w:iCs/>
          <w:lang w:val="fr-CH"/>
        </w:rPr>
        <w:t>(S</w:t>
      </w:r>
      <w:r w:rsidR="00D5763E" w:rsidRPr="002F4DD7">
        <w:rPr>
          <w:rFonts w:asciiTheme="minorHAnsi" w:hAnsiTheme="minorHAnsi" w:cstheme="majorBidi"/>
          <w:i/>
          <w:iCs/>
          <w:lang w:val="fr-CH"/>
        </w:rPr>
        <w:t>era examiné par le Conseil à sa session de 2018 dans le cadre du projet d'Annexe 1 de la Résolution 71 (Plan stratégique de l'UIT pour la période 2020-2023), et inclus dans la version finale des lignes directrices.)</w:t>
      </w:r>
    </w:p>
    <w:p w:rsidR="000771C0" w:rsidRDefault="000771C0" w:rsidP="0032202E">
      <w:pPr>
        <w:pStyle w:val="Reasons"/>
      </w:pPr>
    </w:p>
    <w:p w:rsidR="000771C0" w:rsidRDefault="000771C0">
      <w:pPr>
        <w:jc w:val="center"/>
      </w:pPr>
      <w:r>
        <w:t>______________</w:t>
      </w:r>
    </w:p>
    <w:sectPr w:rsidR="000771C0" w:rsidSect="005C3890">
      <w:headerReference w:type="even" r:id="rId29"/>
      <w:headerReference w:type="default" r:id="rId30"/>
      <w:footerReference w:type="even" r:id="rId31"/>
      <w:footerReference w:type="default"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3E" w:rsidRDefault="00D5763E">
      <w:r>
        <w:separator/>
      </w:r>
    </w:p>
  </w:endnote>
  <w:endnote w:type="continuationSeparator" w:id="0">
    <w:p w:rsidR="00D5763E" w:rsidRDefault="00D5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F5165">
    <w:pPr>
      <w:pStyle w:val="Footer"/>
    </w:pPr>
    <w:fldSimple w:instr=" FILENAME \p \* MERGEFORMAT ">
      <w:r w:rsidR="0000793C">
        <w:t>P:\FRA\SG\CONSEIL\C18\000\004F.docx</w:t>
      </w:r>
    </w:fldSimple>
    <w:r w:rsidR="00732045">
      <w:tab/>
    </w:r>
    <w:r w:rsidR="002F1B76">
      <w:fldChar w:fldCharType="begin"/>
    </w:r>
    <w:r w:rsidR="00732045">
      <w:instrText xml:space="preserve"> savedate \@ dd.MM.yy </w:instrText>
    </w:r>
    <w:r w:rsidR="002F1B76">
      <w:fldChar w:fldCharType="separate"/>
    </w:r>
    <w:r w:rsidR="00B228A0">
      <w:t>11.04.18</w:t>
    </w:r>
    <w:r w:rsidR="002F1B76">
      <w:fldChar w:fldCharType="end"/>
    </w:r>
    <w:r w:rsidR="00732045">
      <w:tab/>
    </w:r>
    <w:r w:rsidR="002F1B76">
      <w:fldChar w:fldCharType="begin"/>
    </w:r>
    <w:r w:rsidR="00732045">
      <w:instrText xml:space="preserve"> printdate \@ dd.MM.yy </w:instrText>
    </w:r>
    <w:r w:rsidR="002F1B76">
      <w:fldChar w:fldCharType="separate"/>
    </w:r>
    <w:r w:rsidR="0000793C">
      <w:t>11.04.18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F5165" w:rsidP="004E62AD">
    <w:pPr>
      <w:pStyle w:val="Footer"/>
    </w:pPr>
    <w:fldSimple w:instr=" FILENAME \p \* MERGEFORMAT ">
      <w:r w:rsidR="0000793C">
        <w:t>P:\FRA\SG\CONSEIL\C18\000\004F.docx</w:t>
      </w:r>
    </w:fldSimple>
    <w:r w:rsidR="004E62AD">
      <w:t xml:space="preserve"> (425066)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9B52D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3E" w:rsidRDefault="00D5763E">
      <w:r>
        <w:t>____________________</w:t>
      </w:r>
    </w:p>
  </w:footnote>
  <w:footnote w:type="continuationSeparator" w:id="0">
    <w:p w:rsidR="00D5763E" w:rsidRDefault="00D57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E6987">
      <w:rPr>
        <w:noProof/>
      </w:rPr>
      <w:t>6</w:t>
    </w:r>
    <w:r>
      <w:rPr>
        <w:noProof/>
      </w:rPr>
      <w:fldChar w:fldCharType="end"/>
    </w:r>
  </w:p>
  <w:p w:rsidR="00732045" w:rsidRDefault="00732045" w:rsidP="003C3FAE">
    <w:pPr>
      <w:pStyle w:val="Header"/>
    </w:pPr>
    <w:r>
      <w:t>C1</w:t>
    </w:r>
    <w:r w:rsidR="003C3FAE">
      <w:t>8</w:t>
    </w:r>
    <w:r w:rsidR="008C3E39">
      <w:t>/4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227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8C5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AF6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548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5A6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E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B470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6C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4D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063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46D5E"/>
    <w:multiLevelType w:val="hybridMultilevel"/>
    <w:tmpl w:val="39E6B14E"/>
    <w:lvl w:ilvl="0" w:tplc="A71A332E">
      <w:start w:val="1"/>
      <w:numFmt w:val="decimal"/>
      <w:lvlText w:val="%1."/>
      <w:lvlJc w:val="left"/>
      <w:pPr>
        <w:ind w:left="360" w:hanging="360"/>
      </w:pPr>
      <w:rPr>
        <w:rFonts w:asciiTheme="minorHAnsi" w:eastAsiaTheme="minorHAnsi" w:hAnsiTheme="minorHAnsi" w:cstheme="minorBidi"/>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3E"/>
    <w:rsid w:val="0000793C"/>
    <w:rsid w:val="000771C0"/>
    <w:rsid w:val="000D0D0A"/>
    <w:rsid w:val="00103163"/>
    <w:rsid w:val="00115D93"/>
    <w:rsid w:val="001247A8"/>
    <w:rsid w:val="001378C0"/>
    <w:rsid w:val="0018694A"/>
    <w:rsid w:val="001A3287"/>
    <w:rsid w:val="001A6508"/>
    <w:rsid w:val="001D4C31"/>
    <w:rsid w:val="001E4D21"/>
    <w:rsid w:val="00207CD1"/>
    <w:rsid w:val="00221428"/>
    <w:rsid w:val="002477A2"/>
    <w:rsid w:val="00263A51"/>
    <w:rsid w:val="00267E02"/>
    <w:rsid w:val="002A5D44"/>
    <w:rsid w:val="002E0BC4"/>
    <w:rsid w:val="002F1B76"/>
    <w:rsid w:val="002F4DD7"/>
    <w:rsid w:val="0033568E"/>
    <w:rsid w:val="003424E0"/>
    <w:rsid w:val="00355FF5"/>
    <w:rsid w:val="00361350"/>
    <w:rsid w:val="003C3FAE"/>
    <w:rsid w:val="003E4C20"/>
    <w:rsid w:val="004038CB"/>
    <w:rsid w:val="0040546F"/>
    <w:rsid w:val="0042404A"/>
    <w:rsid w:val="0044618F"/>
    <w:rsid w:val="0046769A"/>
    <w:rsid w:val="00475FB3"/>
    <w:rsid w:val="004C37A9"/>
    <w:rsid w:val="004E62AD"/>
    <w:rsid w:val="004F259E"/>
    <w:rsid w:val="005079DB"/>
    <w:rsid w:val="00511F1D"/>
    <w:rsid w:val="00520F36"/>
    <w:rsid w:val="00540615"/>
    <w:rsid w:val="00540A6D"/>
    <w:rsid w:val="00571EEA"/>
    <w:rsid w:val="00575417"/>
    <w:rsid w:val="005768E1"/>
    <w:rsid w:val="005B1938"/>
    <w:rsid w:val="005C3890"/>
    <w:rsid w:val="005C7871"/>
    <w:rsid w:val="005F7BFE"/>
    <w:rsid w:val="00600017"/>
    <w:rsid w:val="006235CA"/>
    <w:rsid w:val="006643AB"/>
    <w:rsid w:val="007210CD"/>
    <w:rsid w:val="00732045"/>
    <w:rsid w:val="007369DB"/>
    <w:rsid w:val="007956C2"/>
    <w:rsid w:val="007A187E"/>
    <w:rsid w:val="007C4956"/>
    <w:rsid w:val="007C72C2"/>
    <w:rsid w:val="007D4436"/>
    <w:rsid w:val="007F257A"/>
    <w:rsid w:val="007F3665"/>
    <w:rsid w:val="00800037"/>
    <w:rsid w:val="00861D73"/>
    <w:rsid w:val="008A4E87"/>
    <w:rsid w:val="008C3E39"/>
    <w:rsid w:val="008D76E6"/>
    <w:rsid w:val="0092392D"/>
    <w:rsid w:val="0093234A"/>
    <w:rsid w:val="009B52DD"/>
    <w:rsid w:val="009C307F"/>
    <w:rsid w:val="009E6987"/>
    <w:rsid w:val="00A2113E"/>
    <w:rsid w:val="00A23A51"/>
    <w:rsid w:val="00A24607"/>
    <w:rsid w:val="00A25CD3"/>
    <w:rsid w:val="00A82767"/>
    <w:rsid w:val="00AA332F"/>
    <w:rsid w:val="00AA7BBB"/>
    <w:rsid w:val="00AB64A8"/>
    <w:rsid w:val="00AC0266"/>
    <w:rsid w:val="00AD24EC"/>
    <w:rsid w:val="00B228A0"/>
    <w:rsid w:val="00B309F9"/>
    <w:rsid w:val="00B32B60"/>
    <w:rsid w:val="00B61619"/>
    <w:rsid w:val="00BB4545"/>
    <w:rsid w:val="00BD5873"/>
    <w:rsid w:val="00C04BE3"/>
    <w:rsid w:val="00C25D29"/>
    <w:rsid w:val="00C27A7C"/>
    <w:rsid w:val="00CA08ED"/>
    <w:rsid w:val="00CF183B"/>
    <w:rsid w:val="00D35706"/>
    <w:rsid w:val="00D375CD"/>
    <w:rsid w:val="00D553A2"/>
    <w:rsid w:val="00D5763E"/>
    <w:rsid w:val="00D774D3"/>
    <w:rsid w:val="00D904E8"/>
    <w:rsid w:val="00DA08C3"/>
    <w:rsid w:val="00DB5A3E"/>
    <w:rsid w:val="00DC22AA"/>
    <w:rsid w:val="00DF74DD"/>
    <w:rsid w:val="00E25AD0"/>
    <w:rsid w:val="00E3591C"/>
    <w:rsid w:val="00E37232"/>
    <w:rsid w:val="00EA632A"/>
    <w:rsid w:val="00EB6350"/>
    <w:rsid w:val="00F15B57"/>
    <w:rsid w:val="00F427DB"/>
    <w:rsid w:val="00FA5EB1"/>
    <w:rsid w:val="00FA7439"/>
    <w:rsid w:val="00FC4EC0"/>
    <w:rsid w:val="00FF0181"/>
    <w:rsid w:val="00FF51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291ADA-BBD4-435A-9F16-59675B3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D5763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customStyle="1" w:styleId="Heading-b">
    <w:name w:val="Heading-b"/>
    <w:basedOn w:val="Heading1"/>
    <w:rsid w:val="008C3E39"/>
    <w:pPr>
      <w:tabs>
        <w:tab w:val="clear" w:pos="567"/>
        <w:tab w:val="clear" w:pos="1134"/>
        <w:tab w:val="clear" w:pos="1701"/>
        <w:tab w:val="clear" w:pos="2268"/>
        <w:tab w:val="clear" w:pos="2835"/>
      </w:tabs>
      <w:snapToGrid w:val="0"/>
      <w:spacing w:line="480" w:lineRule="auto"/>
      <w:ind w:left="0" w:firstLine="0"/>
    </w:pPr>
    <w:rPr>
      <w:rFonts w:asciiTheme="minorHAnsi" w:hAnsiTheme="minorHAnsi"/>
      <w:lang w:val="fr-CH"/>
    </w:rPr>
  </w:style>
  <w:style w:type="paragraph" w:customStyle="1" w:styleId="Heading-b0">
    <w:name w:val="Heading-_b"/>
    <w:basedOn w:val="Heading1"/>
    <w:rsid w:val="008C3E39"/>
    <w:pPr>
      <w:spacing w:line="480" w:lineRule="auto"/>
    </w:pPr>
    <w:rPr>
      <w:rFonts w:asciiTheme="minorHAnsi" w:hAnsiTheme="minorHAnsi"/>
      <w:lang w:val="fr-CH"/>
    </w:rPr>
  </w:style>
  <w:style w:type="character" w:styleId="CommentReference">
    <w:name w:val="annotation reference"/>
    <w:basedOn w:val="DefaultParagraphFont"/>
    <w:semiHidden/>
    <w:unhideWhenUsed/>
    <w:rsid w:val="002F4DD7"/>
    <w:rPr>
      <w:sz w:val="16"/>
      <w:szCs w:val="16"/>
    </w:rPr>
  </w:style>
  <w:style w:type="paragraph" w:styleId="CommentText">
    <w:name w:val="annotation text"/>
    <w:basedOn w:val="Normal"/>
    <w:link w:val="CommentTextChar"/>
    <w:semiHidden/>
    <w:unhideWhenUsed/>
    <w:rsid w:val="002F4DD7"/>
    <w:rPr>
      <w:sz w:val="20"/>
    </w:rPr>
  </w:style>
  <w:style w:type="character" w:customStyle="1" w:styleId="CommentTextChar">
    <w:name w:val="Comment Text Char"/>
    <w:basedOn w:val="DefaultParagraphFont"/>
    <w:link w:val="CommentText"/>
    <w:semiHidden/>
    <w:rsid w:val="002F4DD7"/>
    <w:rPr>
      <w:rFonts w:ascii="Calibri" w:hAnsi="Calibri"/>
      <w:lang w:val="fr-FR" w:eastAsia="en-US"/>
    </w:rPr>
  </w:style>
  <w:style w:type="paragraph" w:styleId="CommentSubject">
    <w:name w:val="annotation subject"/>
    <w:basedOn w:val="CommentText"/>
    <w:next w:val="CommentText"/>
    <w:link w:val="CommentSubjectChar"/>
    <w:semiHidden/>
    <w:unhideWhenUsed/>
    <w:rsid w:val="002F4DD7"/>
    <w:rPr>
      <w:b/>
      <w:bCs/>
    </w:rPr>
  </w:style>
  <w:style w:type="character" w:customStyle="1" w:styleId="CommentSubjectChar">
    <w:name w:val="Comment Subject Char"/>
    <w:basedOn w:val="CommentTextChar"/>
    <w:link w:val="CommentSubject"/>
    <w:semiHidden/>
    <w:rsid w:val="002F4DD7"/>
    <w:rPr>
      <w:rFonts w:ascii="Calibri" w:hAnsi="Calibri"/>
      <w:b/>
      <w:bCs/>
      <w:lang w:val="fr-FR" w:eastAsia="en-US"/>
    </w:rPr>
  </w:style>
  <w:style w:type="paragraph" w:styleId="Revision">
    <w:name w:val="Revision"/>
    <w:hidden/>
    <w:uiPriority w:val="99"/>
    <w:semiHidden/>
    <w:rsid w:val="002F4DD7"/>
    <w:rPr>
      <w:rFonts w:ascii="Calibri" w:hAnsi="Calibri"/>
      <w:sz w:val="24"/>
      <w:lang w:val="fr-FR" w:eastAsia="en-US"/>
    </w:rPr>
  </w:style>
  <w:style w:type="paragraph" w:styleId="BalloonText">
    <w:name w:val="Balloon Text"/>
    <w:basedOn w:val="Normal"/>
    <w:link w:val="BalloonTextChar"/>
    <w:semiHidden/>
    <w:unhideWhenUsed/>
    <w:rsid w:val="002F4D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4DD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14-PDF-F.pdf" TargetMode="External"/><Relationship Id="rId13" Type="http://schemas.openxmlformats.org/officeDocument/2006/relationships/hyperlink" Target="https://www.itu.int/md/S17-CL-170515-DL-0008/fr" TargetMode="External"/><Relationship Id="rId18" Type="http://schemas.openxmlformats.org/officeDocument/2006/relationships/hyperlink" Target="https://www.itu.int/md/S17-DM-CIR-01004/fr" TargetMode="External"/><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yperlink" Target="https://www.itu.int/net4/proposals/CPI/PP18/"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7-CL-C-0005/fr" TargetMode="External"/><Relationship Id="rId17" Type="http://schemas.openxmlformats.org/officeDocument/2006/relationships/hyperlink" Target="https://www.itu.int/md/S17-SG-CIR-0041/fr" TargetMode="External"/><Relationship Id="rId25" Type="http://schemas.openxmlformats.org/officeDocument/2006/relationships/diagramColors" Target="diagrams/colors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18-CL-INF-0007/fr" TargetMode="External"/><Relationship Id="rId20" Type="http://schemas.openxmlformats.org/officeDocument/2006/relationships/hyperlink" Target="https://www.itu.int/md/S17-SG-CIR-0042/f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110/fr" TargetMode="External"/><Relationship Id="rId24" Type="http://schemas.openxmlformats.org/officeDocument/2006/relationships/diagramQuickStyle" Target="diagrams/quickStyle1.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en/mediacentre/Pages/2017-PR59.aspx" TargetMode="External"/><Relationship Id="rId23" Type="http://schemas.openxmlformats.org/officeDocument/2006/relationships/diagramLayout" Target="diagrams/layout1.xml"/><Relationship Id="rId28" Type="http://schemas.openxmlformats.org/officeDocument/2006/relationships/hyperlink" Target="https://www.itu.int/web/pp-18/fr/page/72-policy-statements" TargetMode="External"/><Relationship Id="rId10" Type="http://schemas.openxmlformats.org/officeDocument/2006/relationships/hyperlink" Target="https://www.itu.int/md/S14-PP-C-0178/fr" TargetMode="External"/><Relationship Id="rId19" Type="http://schemas.openxmlformats.org/officeDocument/2006/relationships/hyperlink" Target="https://www.itu.int/md/S17-DM-CIR-01005/f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s://www.itu.int/md/S17-CL-C-0130/fr" TargetMode="External"/><Relationship Id="rId22" Type="http://schemas.openxmlformats.org/officeDocument/2006/relationships/diagramData" Target="diagrams/data1.xml"/><Relationship Id="rId27" Type="http://schemas.openxmlformats.org/officeDocument/2006/relationships/hyperlink" Target="mailto:ppstatements@itu.int" TargetMode="External"/><Relationship Id="rId30" Type="http://schemas.openxmlformats.org/officeDocument/2006/relationships/header" Target="header2.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18.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E1971-F365-4644-ABC7-7063C288B1DD}"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n-GB"/>
        </a:p>
      </dgm:t>
    </dgm:pt>
    <dgm:pt modelId="{0F43A552-67C4-4FCD-B80B-003B2C0B7642}">
      <dgm:prSet phldrT="[Text]"/>
      <dgm:spPr>
        <a:blipFill rotWithShape="0">
          <a:blip xmlns:r="http://schemas.openxmlformats.org/officeDocument/2006/relationships" r:embed="rId1"/>
          <a:stretch>
            <a:fillRect/>
          </a:stretch>
        </a:blipFill>
        <a:ln>
          <a:noFill/>
        </a:ln>
      </dgm:spPr>
      <dgm:t>
        <a:bodyPr/>
        <a:lstStyle/>
        <a:p>
          <a:r>
            <a:rPr lang="en-GB"/>
            <a:t> </a:t>
          </a:r>
        </a:p>
      </dgm:t>
    </dgm:pt>
    <dgm:pt modelId="{FB19D8D9-4F9C-4585-AB50-0DFA8B42F54C}" type="parTrans" cxnId="{5214B97E-C277-47BC-9417-F7DA73367857}">
      <dgm:prSet/>
      <dgm:spPr/>
      <dgm:t>
        <a:bodyPr/>
        <a:lstStyle/>
        <a:p>
          <a:endParaRPr lang="en-GB"/>
        </a:p>
      </dgm:t>
    </dgm:pt>
    <dgm:pt modelId="{853FCD88-D39B-4EE0-8CF5-6AE57321A40E}" type="sibTrans" cxnId="{5214B97E-C277-47BC-9417-F7DA73367857}">
      <dgm:prSet/>
      <dgm:spPr/>
      <dgm:t>
        <a:bodyPr/>
        <a:lstStyle/>
        <a:p>
          <a:endParaRPr lang="en-GB"/>
        </a:p>
      </dgm:t>
    </dgm:pt>
    <dgm:pt modelId="{519C163E-EB1A-47E7-AF8D-9080C5E6A539}">
      <dgm:prSet phldrT="[Text]" custT="1"/>
      <dgm:spPr/>
      <dgm:t>
        <a:bodyPr/>
        <a:lstStyle/>
        <a:p>
          <a:pPr algn="ctr"/>
          <a:r>
            <a:rPr lang="en-GB" sz="1200" b="1"/>
            <a:t>  Réalisations</a:t>
          </a:r>
        </a:p>
      </dgm:t>
    </dgm:pt>
    <dgm:pt modelId="{4E2B1E02-60B9-43EE-9061-D7A515CE9D88}" type="parTrans" cxnId="{40AE9F08-3051-4783-B281-7804FC2B545E}">
      <dgm:prSet/>
      <dgm:spPr/>
      <dgm:t>
        <a:bodyPr/>
        <a:lstStyle/>
        <a:p>
          <a:endParaRPr lang="en-GB"/>
        </a:p>
      </dgm:t>
    </dgm:pt>
    <dgm:pt modelId="{DC200463-2CB4-4691-A2E5-99CFC9560C9B}" type="sibTrans" cxnId="{40AE9F08-3051-4783-B281-7804FC2B545E}">
      <dgm:prSet/>
      <dgm:spPr/>
      <dgm:t>
        <a:bodyPr/>
        <a:lstStyle/>
        <a:p>
          <a:endParaRPr lang="en-GB"/>
        </a:p>
      </dgm:t>
    </dgm:pt>
    <dgm:pt modelId="{3DECFD98-857F-48DE-A5EE-7AD24DB4D5EA}">
      <dgm:prSet phldrT="[Text]" custT="1"/>
      <dgm:spPr/>
      <dgm:t>
        <a:bodyPr/>
        <a:lstStyle/>
        <a:p>
          <a:pPr algn="ctr"/>
          <a:r>
            <a:rPr lang="en-GB" sz="1200" b="1"/>
            <a:t>Vision et plans nationaux</a:t>
          </a:r>
          <a:endParaRPr lang="en-GB" sz="1200"/>
        </a:p>
      </dgm:t>
    </dgm:pt>
    <dgm:pt modelId="{4F0C7A73-B30C-4B19-94B7-42877E3BB15C}" type="parTrans" cxnId="{63644AE6-9E10-4F2A-8389-64BF42506EC6}">
      <dgm:prSet/>
      <dgm:spPr/>
      <dgm:t>
        <a:bodyPr/>
        <a:lstStyle/>
        <a:p>
          <a:endParaRPr lang="en-GB"/>
        </a:p>
      </dgm:t>
    </dgm:pt>
    <dgm:pt modelId="{9FEB3443-071E-48E7-BAF6-7A1D7D0EA201}" type="sibTrans" cxnId="{63644AE6-9E10-4F2A-8389-64BF42506EC6}">
      <dgm:prSet/>
      <dgm:spPr/>
      <dgm:t>
        <a:bodyPr/>
        <a:lstStyle/>
        <a:p>
          <a:endParaRPr lang="en-GB"/>
        </a:p>
      </dgm:t>
    </dgm:pt>
    <dgm:pt modelId="{F8A1EC26-6A25-4B2F-A9E1-F010FC36AD45}">
      <dgm:prSet phldrT="[Text]" custT="1"/>
      <dgm:spPr/>
      <dgm:t>
        <a:bodyPr/>
        <a:lstStyle/>
        <a:p>
          <a:pPr algn="l">
            <a:spcBef>
              <a:spcPct val="0"/>
            </a:spcBef>
          </a:pPr>
          <a:endParaRPr lang="en-GB" sz="1200" b="1"/>
        </a:p>
        <a:p>
          <a:pPr algn="l">
            <a:spcBef>
              <a:spcPct val="0"/>
            </a:spcBef>
          </a:pPr>
          <a:endParaRPr lang="en-GB" sz="1200" b="1"/>
        </a:p>
        <a:p>
          <a:pPr marL="252000" algn="l">
            <a:spcBef>
              <a:spcPts val="1200"/>
            </a:spcBef>
          </a:pPr>
          <a:r>
            <a:rPr lang="en-GB" sz="1200" b="1"/>
            <a:t>Engagements et initiatives</a:t>
          </a:r>
        </a:p>
      </dgm:t>
    </dgm:pt>
    <dgm:pt modelId="{18FFE42B-1BDB-4F95-BE1D-5B9C137DDA6D}" type="parTrans" cxnId="{5B8337E3-7164-452D-BD5F-B485BE2F8776}">
      <dgm:prSet/>
      <dgm:spPr/>
      <dgm:t>
        <a:bodyPr/>
        <a:lstStyle/>
        <a:p>
          <a:endParaRPr lang="en-GB"/>
        </a:p>
      </dgm:t>
    </dgm:pt>
    <dgm:pt modelId="{C001C778-0B9B-4527-B894-F5FAF02642BE}" type="sibTrans" cxnId="{5B8337E3-7164-452D-BD5F-B485BE2F8776}">
      <dgm:prSet/>
      <dgm:spPr/>
      <dgm:t>
        <a:bodyPr/>
        <a:lstStyle/>
        <a:p>
          <a:endParaRPr lang="en-GB"/>
        </a:p>
      </dgm:t>
    </dgm:pt>
    <dgm:pt modelId="{63CC3DF0-DF97-48BA-82FC-4F8D852430CE}">
      <dgm:prSet phldrT="[Text]" custT="1"/>
      <dgm:spPr/>
      <dgm:t>
        <a:bodyPr/>
        <a:lstStyle/>
        <a:p>
          <a:pPr algn="r"/>
          <a:endParaRPr lang="en-GB" sz="1200" b="1"/>
        </a:p>
        <a:p>
          <a:pPr algn="r"/>
          <a:endParaRPr lang="en-GB" sz="1200" b="1"/>
        </a:p>
        <a:p>
          <a:pPr algn="ctr"/>
          <a:r>
            <a:rPr lang="en-GB" sz="1200" b="1"/>
            <a:t>Aide de l'UIT</a:t>
          </a:r>
        </a:p>
      </dgm:t>
    </dgm:pt>
    <dgm:pt modelId="{974496F4-34D6-416C-AC0E-D9843FED157C}" type="parTrans" cxnId="{3C7290AC-41E7-4833-87EE-781886DFD360}">
      <dgm:prSet/>
      <dgm:spPr/>
      <dgm:t>
        <a:bodyPr/>
        <a:lstStyle/>
        <a:p>
          <a:endParaRPr lang="en-GB"/>
        </a:p>
      </dgm:t>
    </dgm:pt>
    <dgm:pt modelId="{DE670611-EB1A-4D87-A401-C6B6F03A57C3}" type="sibTrans" cxnId="{3C7290AC-41E7-4833-87EE-781886DFD360}">
      <dgm:prSet/>
      <dgm:spPr/>
      <dgm:t>
        <a:bodyPr/>
        <a:lstStyle/>
        <a:p>
          <a:endParaRPr lang="en-GB"/>
        </a:p>
      </dgm:t>
    </dgm:pt>
    <dgm:pt modelId="{319D3C77-2CE7-4C86-BCC6-770FB3732990}">
      <dgm:prSet custT="1"/>
      <dgm:spPr/>
      <dgm:t>
        <a:bodyPr/>
        <a:lstStyle/>
        <a:p>
          <a:pPr marL="360000" algn="l"/>
          <a:r>
            <a:rPr lang="en-GB" sz="1200" b="0"/>
            <a:t>Souligner les bonnes pratiques </a:t>
          </a:r>
          <a:br>
            <a:rPr lang="en-GB" sz="1200" b="0"/>
          </a:br>
          <a:r>
            <a:rPr lang="en-GB" sz="1200" b="0"/>
            <a:t>et les expériences contribuant </a:t>
          </a:r>
          <a:br>
            <a:rPr lang="en-GB" sz="1200" b="0"/>
          </a:br>
          <a:r>
            <a:rPr lang="en-GB" sz="1200" b="0"/>
            <a:t>à la réalisation du Programme</a:t>
          </a:r>
          <a:br>
            <a:rPr lang="en-GB" sz="1200" b="0"/>
          </a:br>
          <a:r>
            <a:rPr lang="en-GB" sz="1200" b="0"/>
            <a:t>Connect 2020</a:t>
          </a:r>
        </a:p>
      </dgm:t>
    </dgm:pt>
    <dgm:pt modelId="{72FD1D5E-9CA5-439C-9E56-76047910FA45}" type="parTrans" cxnId="{88757F30-169C-409C-89E4-429D56F96F56}">
      <dgm:prSet/>
      <dgm:spPr/>
      <dgm:t>
        <a:bodyPr/>
        <a:lstStyle/>
        <a:p>
          <a:endParaRPr lang="en-GB"/>
        </a:p>
      </dgm:t>
    </dgm:pt>
    <dgm:pt modelId="{1A07D1B4-3EC5-4FD8-A92E-A01A0F52A9C4}" type="sibTrans" cxnId="{88757F30-169C-409C-89E4-429D56F96F56}">
      <dgm:prSet/>
      <dgm:spPr/>
      <dgm:t>
        <a:bodyPr/>
        <a:lstStyle/>
        <a:p>
          <a:endParaRPr lang="en-GB"/>
        </a:p>
      </dgm:t>
    </dgm:pt>
    <dgm:pt modelId="{70477CCB-1B44-4146-B435-E7341AB322E7}">
      <dgm:prSet custT="1"/>
      <dgm:spPr/>
      <dgm:t>
        <a:bodyPr/>
        <a:lstStyle/>
        <a:p>
          <a:pPr marL="360000" algn="l"/>
          <a:r>
            <a:rPr lang="en-GB" sz="1200" b="0"/>
            <a:t>Faire part de la vision et des </a:t>
          </a:r>
          <a:br>
            <a:rPr lang="en-GB" sz="1200" b="0"/>
          </a:br>
          <a:r>
            <a:rPr lang="en-GB" sz="1200" b="0"/>
            <a:t>plans envisagés pour l'après 2020</a:t>
          </a:r>
        </a:p>
      </dgm:t>
    </dgm:pt>
    <dgm:pt modelId="{D904015B-016A-44BB-80FF-32F10F840B38}" type="parTrans" cxnId="{80A175F1-1F7A-4774-808E-748390599FEC}">
      <dgm:prSet/>
      <dgm:spPr/>
      <dgm:t>
        <a:bodyPr/>
        <a:lstStyle/>
        <a:p>
          <a:endParaRPr lang="en-GB"/>
        </a:p>
      </dgm:t>
    </dgm:pt>
    <dgm:pt modelId="{962EC8E6-3731-420E-8FA5-801C1FE166F9}" type="sibTrans" cxnId="{80A175F1-1F7A-4774-808E-748390599FEC}">
      <dgm:prSet/>
      <dgm:spPr/>
      <dgm:t>
        <a:bodyPr/>
        <a:lstStyle/>
        <a:p>
          <a:endParaRPr lang="en-GB"/>
        </a:p>
      </dgm:t>
    </dgm:pt>
    <dgm:pt modelId="{C980E7F5-30D0-4277-83D3-099AD31B41F8}">
      <dgm:prSet custT="1"/>
      <dgm:spPr/>
      <dgm:t>
        <a:bodyPr/>
        <a:lstStyle/>
        <a:p>
          <a:pPr marL="180000" algn="l">
            <a:spcBef>
              <a:spcPts val="0"/>
            </a:spcBef>
          </a:pPr>
          <a:r>
            <a:rPr lang="en-GB" sz="1200"/>
            <a:t>Annoncer les initiatives et les engagements sur le plan national</a:t>
          </a:r>
        </a:p>
      </dgm:t>
    </dgm:pt>
    <dgm:pt modelId="{CE1115A9-9B99-4A7B-BD9C-F23E364D8733}" type="parTrans" cxnId="{0B41875E-F3E6-4623-8DDA-2AB001E3A328}">
      <dgm:prSet/>
      <dgm:spPr/>
      <dgm:t>
        <a:bodyPr/>
        <a:lstStyle/>
        <a:p>
          <a:endParaRPr lang="en-GB"/>
        </a:p>
      </dgm:t>
    </dgm:pt>
    <dgm:pt modelId="{CB596C26-A2AC-4598-B2CC-FA06D1380A31}" type="sibTrans" cxnId="{0B41875E-F3E6-4623-8DDA-2AB001E3A328}">
      <dgm:prSet/>
      <dgm:spPr/>
      <dgm:t>
        <a:bodyPr/>
        <a:lstStyle/>
        <a:p>
          <a:endParaRPr lang="en-GB"/>
        </a:p>
      </dgm:t>
    </dgm:pt>
    <dgm:pt modelId="{95A170DE-B4E8-4C6B-A462-52641F3BD0BA}">
      <dgm:prSet custT="1"/>
      <dgm:spPr/>
      <dgm:t>
        <a:bodyPr/>
        <a:lstStyle/>
        <a:p>
          <a:pPr marL="504000" algn="l"/>
          <a:r>
            <a:rPr lang="en-GB" sz="1200"/>
            <a:t>Comment l'UIT peut-elle aider davantage les Etats Membres </a:t>
          </a:r>
          <a:br>
            <a:rPr lang="en-GB" sz="1200"/>
          </a:br>
          <a:r>
            <a:rPr lang="en-GB" sz="1200"/>
            <a:t>à réaliser les nouveaux buts?</a:t>
          </a:r>
        </a:p>
      </dgm:t>
    </dgm:pt>
    <dgm:pt modelId="{CF16B2C6-AB80-403C-86DB-74E9FB20EF12}" type="parTrans" cxnId="{0399D314-12A8-4DAE-92C7-4A90F0356A01}">
      <dgm:prSet/>
      <dgm:spPr/>
      <dgm:t>
        <a:bodyPr/>
        <a:lstStyle/>
        <a:p>
          <a:endParaRPr lang="en-GB"/>
        </a:p>
      </dgm:t>
    </dgm:pt>
    <dgm:pt modelId="{12BD729E-4D8D-4EBD-9BD5-DAD521A16EFD}" type="sibTrans" cxnId="{0399D314-12A8-4DAE-92C7-4A90F0356A01}">
      <dgm:prSet/>
      <dgm:spPr/>
      <dgm:t>
        <a:bodyPr/>
        <a:lstStyle/>
        <a:p>
          <a:endParaRPr lang="en-GB"/>
        </a:p>
      </dgm:t>
    </dgm:pt>
    <dgm:pt modelId="{83DD0129-1A4C-4220-8CFF-2387B3A9ABD7}">
      <dgm:prSet custT="1"/>
      <dgm:spPr/>
      <dgm:t>
        <a:bodyPr/>
        <a:lstStyle/>
        <a:p>
          <a:pPr marL="360000" algn="l"/>
          <a:r>
            <a:rPr lang="en-GB" sz="1200" b="0"/>
            <a:t>Se concentrer sur l'un des 5 buts</a:t>
          </a:r>
        </a:p>
      </dgm:t>
    </dgm:pt>
    <dgm:pt modelId="{FF0AFD5D-DEA9-4B99-B7E2-D56215576F36}" type="sibTrans" cxnId="{5FECAFA0-E4B7-433C-88F1-33538EF5F18E}">
      <dgm:prSet/>
      <dgm:spPr/>
      <dgm:t>
        <a:bodyPr/>
        <a:lstStyle/>
        <a:p>
          <a:endParaRPr lang="en-GB"/>
        </a:p>
      </dgm:t>
    </dgm:pt>
    <dgm:pt modelId="{383272EB-E89A-459E-BA20-884B17ACFE65}" type="parTrans" cxnId="{5FECAFA0-E4B7-433C-88F1-33538EF5F18E}">
      <dgm:prSet/>
      <dgm:spPr/>
      <dgm:t>
        <a:bodyPr/>
        <a:lstStyle/>
        <a:p>
          <a:endParaRPr lang="en-GB"/>
        </a:p>
      </dgm:t>
    </dgm:pt>
    <dgm:pt modelId="{B430D10A-ED7C-41E1-B05B-B45679191E3C}" type="pres">
      <dgm:prSet presAssocID="{1CAE1971-F365-4644-ABC7-7063C288B1DD}" presName="diagram" presStyleCnt="0">
        <dgm:presLayoutVars>
          <dgm:chMax val="1"/>
          <dgm:dir/>
          <dgm:animLvl val="ctr"/>
          <dgm:resizeHandles val="exact"/>
        </dgm:presLayoutVars>
      </dgm:prSet>
      <dgm:spPr/>
      <dgm:t>
        <a:bodyPr/>
        <a:lstStyle/>
        <a:p>
          <a:endParaRPr lang="en-GB"/>
        </a:p>
      </dgm:t>
    </dgm:pt>
    <dgm:pt modelId="{0ADB9B37-239E-43E8-B360-443FB8BB21BC}" type="pres">
      <dgm:prSet presAssocID="{1CAE1971-F365-4644-ABC7-7063C288B1DD}" presName="matrix" presStyleCnt="0"/>
      <dgm:spPr/>
    </dgm:pt>
    <dgm:pt modelId="{18472C6C-A640-4D0A-A433-2D6BF60E20AA}" type="pres">
      <dgm:prSet presAssocID="{1CAE1971-F365-4644-ABC7-7063C288B1DD}" presName="tile1" presStyleLbl="node1" presStyleIdx="0" presStyleCnt="4"/>
      <dgm:spPr/>
      <dgm:t>
        <a:bodyPr/>
        <a:lstStyle/>
        <a:p>
          <a:endParaRPr lang="en-GB"/>
        </a:p>
      </dgm:t>
    </dgm:pt>
    <dgm:pt modelId="{DFA70175-B121-41BF-AFD5-33D516147AA7}" type="pres">
      <dgm:prSet presAssocID="{1CAE1971-F365-4644-ABC7-7063C288B1DD}" presName="tile1text" presStyleLbl="node1" presStyleIdx="0" presStyleCnt="4">
        <dgm:presLayoutVars>
          <dgm:chMax val="0"/>
          <dgm:chPref val="0"/>
          <dgm:bulletEnabled val="1"/>
        </dgm:presLayoutVars>
      </dgm:prSet>
      <dgm:spPr/>
      <dgm:t>
        <a:bodyPr/>
        <a:lstStyle/>
        <a:p>
          <a:endParaRPr lang="en-GB"/>
        </a:p>
      </dgm:t>
    </dgm:pt>
    <dgm:pt modelId="{F36F16B8-7418-4623-AEC6-8B65A49DF032}" type="pres">
      <dgm:prSet presAssocID="{1CAE1971-F365-4644-ABC7-7063C288B1DD}" presName="tile2" presStyleLbl="node1" presStyleIdx="1" presStyleCnt="4"/>
      <dgm:spPr/>
      <dgm:t>
        <a:bodyPr/>
        <a:lstStyle/>
        <a:p>
          <a:endParaRPr lang="en-GB"/>
        </a:p>
      </dgm:t>
    </dgm:pt>
    <dgm:pt modelId="{C8D9F786-6D5B-40AC-89D6-8BF9A2D37CE9}" type="pres">
      <dgm:prSet presAssocID="{1CAE1971-F365-4644-ABC7-7063C288B1DD}" presName="tile2text" presStyleLbl="node1" presStyleIdx="1" presStyleCnt="4">
        <dgm:presLayoutVars>
          <dgm:chMax val="0"/>
          <dgm:chPref val="0"/>
          <dgm:bulletEnabled val="1"/>
        </dgm:presLayoutVars>
      </dgm:prSet>
      <dgm:spPr/>
      <dgm:t>
        <a:bodyPr/>
        <a:lstStyle/>
        <a:p>
          <a:endParaRPr lang="en-GB"/>
        </a:p>
      </dgm:t>
    </dgm:pt>
    <dgm:pt modelId="{76338441-0704-4A37-B75E-DEE2F486C184}" type="pres">
      <dgm:prSet presAssocID="{1CAE1971-F365-4644-ABC7-7063C288B1DD}" presName="tile3" presStyleLbl="node1" presStyleIdx="2" presStyleCnt="4"/>
      <dgm:spPr/>
      <dgm:t>
        <a:bodyPr/>
        <a:lstStyle/>
        <a:p>
          <a:endParaRPr lang="en-GB"/>
        </a:p>
      </dgm:t>
    </dgm:pt>
    <dgm:pt modelId="{06C913D3-E8EC-487E-ADA5-49A45F7D22A2}" type="pres">
      <dgm:prSet presAssocID="{1CAE1971-F365-4644-ABC7-7063C288B1DD}" presName="tile3text" presStyleLbl="node1" presStyleIdx="2" presStyleCnt="4">
        <dgm:presLayoutVars>
          <dgm:chMax val="0"/>
          <dgm:chPref val="0"/>
          <dgm:bulletEnabled val="1"/>
        </dgm:presLayoutVars>
      </dgm:prSet>
      <dgm:spPr/>
      <dgm:t>
        <a:bodyPr/>
        <a:lstStyle/>
        <a:p>
          <a:endParaRPr lang="en-GB"/>
        </a:p>
      </dgm:t>
    </dgm:pt>
    <dgm:pt modelId="{097217A3-1C5D-4B3F-9E1F-8571B4867ABE}" type="pres">
      <dgm:prSet presAssocID="{1CAE1971-F365-4644-ABC7-7063C288B1DD}" presName="tile4" presStyleLbl="node1" presStyleIdx="3" presStyleCnt="4"/>
      <dgm:spPr/>
      <dgm:t>
        <a:bodyPr/>
        <a:lstStyle/>
        <a:p>
          <a:endParaRPr lang="en-GB"/>
        </a:p>
      </dgm:t>
    </dgm:pt>
    <dgm:pt modelId="{ACA65A32-3032-4A23-96D8-C4679D54C8F8}" type="pres">
      <dgm:prSet presAssocID="{1CAE1971-F365-4644-ABC7-7063C288B1DD}" presName="tile4text" presStyleLbl="node1" presStyleIdx="3" presStyleCnt="4">
        <dgm:presLayoutVars>
          <dgm:chMax val="0"/>
          <dgm:chPref val="0"/>
          <dgm:bulletEnabled val="1"/>
        </dgm:presLayoutVars>
      </dgm:prSet>
      <dgm:spPr/>
      <dgm:t>
        <a:bodyPr/>
        <a:lstStyle/>
        <a:p>
          <a:endParaRPr lang="en-GB"/>
        </a:p>
      </dgm:t>
    </dgm:pt>
    <dgm:pt modelId="{F08D4F9D-F701-45EA-ACA9-E6F7AF0E55B2}" type="pres">
      <dgm:prSet presAssocID="{1CAE1971-F365-4644-ABC7-7063C288B1DD}" presName="centerTile" presStyleLbl="fgShp" presStyleIdx="0" presStyleCnt="1" custScaleX="151620" custScaleY="222472" custLinFactNeighborX="-1646" custLinFactNeighborY="-1873">
        <dgm:presLayoutVars>
          <dgm:chMax val="0"/>
          <dgm:chPref val="0"/>
        </dgm:presLayoutVars>
      </dgm:prSet>
      <dgm:spPr/>
      <dgm:t>
        <a:bodyPr/>
        <a:lstStyle/>
        <a:p>
          <a:endParaRPr lang="en-GB"/>
        </a:p>
      </dgm:t>
    </dgm:pt>
  </dgm:ptLst>
  <dgm:cxnLst>
    <dgm:cxn modelId="{40AE9F08-3051-4783-B281-7804FC2B545E}" srcId="{0F43A552-67C4-4FCD-B80B-003B2C0B7642}" destId="{519C163E-EB1A-47E7-AF8D-9080C5E6A539}" srcOrd="0" destOrd="0" parTransId="{4E2B1E02-60B9-43EE-9061-D7A515CE9D88}" sibTransId="{DC200463-2CB4-4691-A2E5-99CFC9560C9B}"/>
    <dgm:cxn modelId="{4F630B76-7754-4CBC-8F24-943731D5BAC1}" type="presOf" srcId="{3DECFD98-857F-48DE-A5EE-7AD24DB4D5EA}" destId="{F36F16B8-7418-4623-AEC6-8B65A49DF032}" srcOrd="0" destOrd="0" presId="urn:microsoft.com/office/officeart/2005/8/layout/matrix1"/>
    <dgm:cxn modelId="{B58B8DCF-CECF-423A-BA27-2F49CC9B4BD8}" type="presOf" srcId="{519C163E-EB1A-47E7-AF8D-9080C5E6A539}" destId="{18472C6C-A640-4D0A-A433-2D6BF60E20AA}" srcOrd="0" destOrd="0" presId="urn:microsoft.com/office/officeart/2005/8/layout/matrix1"/>
    <dgm:cxn modelId="{8C14DFC6-0F3F-4B80-9B6D-CEDDC9B91B9F}" type="presOf" srcId="{95A170DE-B4E8-4C6B-A462-52641F3BD0BA}" destId="{097217A3-1C5D-4B3F-9E1F-8571B4867ABE}" srcOrd="0" destOrd="1" presId="urn:microsoft.com/office/officeart/2005/8/layout/matrix1"/>
    <dgm:cxn modelId="{7CD9C2DD-F10B-482B-9A3E-68523B2349FE}" type="presOf" srcId="{C980E7F5-30D0-4277-83D3-099AD31B41F8}" destId="{76338441-0704-4A37-B75E-DEE2F486C184}" srcOrd="0" destOrd="1" presId="urn:microsoft.com/office/officeart/2005/8/layout/matrix1"/>
    <dgm:cxn modelId="{5D235173-0479-45F8-8B5D-EA91F44FF71B}" type="presOf" srcId="{83DD0129-1A4C-4220-8CFF-2387B3A9ABD7}" destId="{F36F16B8-7418-4623-AEC6-8B65A49DF032}" srcOrd="0" destOrd="2" presId="urn:microsoft.com/office/officeart/2005/8/layout/matrix1"/>
    <dgm:cxn modelId="{CA6BDC61-B904-43D1-8FB7-FE212A1E260C}" type="presOf" srcId="{1CAE1971-F365-4644-ABC7-7063C288B1DD}" destId="{B430D10A-ED7C-41E1-B05B-B45679191E3C}" srcOrd="0" destOrd="0" presId="urn:microsoft.com/office/officeart/2005/8/layout/matrix1"/>
    <dgm:cxn modelId="{63644AE6-9E10-4F2A-8389-64BF42506EC6}" srcId="{0F43A552-67C4-4FCD-B80B-003B2C0B7642}" destId="{3DECFD98-857F-48DE-A5EE-7AD24DB4D5EA}" srcOrd="1" destOrd="0" parTransId="{4F0C7A73-B30C-4B19-94B7-42877E3BB15C}" sibTransId="{9FEB3443-071E-48E7-BAF6-7A1D7D0EA201}"/>
    <dgm:cxn modelId="{B267D9DD-F038-479B-A0DE-DA2111F7912A}" type="presOf" srcId="{319D3C77-2CE7-4C86-BCC6-770FB3732990}" destId="{18472C6C-A640-4D0A-A433-2D6BF60E20AA}" srcOrd="0" destOrd="1" presId="urn:microsoft.com/office/officeart/2005/8/layout/matrix1"/>
    <dgm:cxn modelId="{31D6D678-FC2B-4F90-9429-D5D8C4025559}" type="presOf" srcId="{63CC3DF0-DF97-48BA-82FC-4F8D852430CE}" destId="{097217A3-1C5D-4B3F-9E1F-8571B4867ABE}" srcOrd="0" destOrd="0" presId="urn:microsoft.com/office/officeart/2005/8/layout/matrix1"/>
    <dgm:cxn modelId="{5B8337E3-7164-452D-BD5F-B485BE2F8776}" srcId="{0F43A552-67C4-4FCD-B80B-003B2C0B7642}" destId="{F8A1EC26-6A25-4B2F-A9E1-F010FC36AD45}" srcOrd="2" destOrd="0" parTransId="{18FFE42B-1BDB-4F95-BE1D-5B9C137DDA6D}" sibTransId="{C001C778-0B9B-4527-B894-F5FAF02642BE}"/>
    <dgm:cxn modelId="{A4CFBB1F-A441-4B55-AC96-86D08809B209}" type="presOf" srcId="{63CC3DF0-DF97-48BA-82FC-4F8D852430CE}" destId="{ACA65A32-3032-4A23-96D8-C4679D54C8F8}" srcOrd="1" destOrd="0" presId="urn:microsoft.com/office/officeart/2005/8/layout/matrix1"/>
    <dgm:cxn modelId="{36E4E92A-ABED-48A7-86C9-BD6A4ADC4268}" type="presOf" srcId="{3DECFD98-857F-48DE-A5EE-7AD24DB4D5EA}" destId="{C8D9F786-6D5B-40AC-89D6-8BF9A2D37CE9}" srcOrd="1" destOrd="0" presId="urn:microsoft.com/office/officeart/2005/8/layout/matrix1"/>
    <dgm:cxn modelId="{FF6FAC14-60BB-4E96-8D1F-F7CE81E663AF}" type="presOf" srcId="{70477CCB-1B44-4146-B435-E7341AB322E7}" destId="{F36F16B8-7418-4623-AEC6-8B65A49DF032}" srcOrd="0" destOrd="1" presId="urn:microsoft.com/office/officeart/2005/8/layout/matrix1"/>
    <dgm:cxn modelId="{3C7290AC-41E7-4833-87EE-781886DFD360}" srcId="{0F43A552-67C4-4FCD-B80B-003B2C0B7642}" destId="{63CC3DF0-DF97-48BA-82FC-4F8D852430CE}" srcOrd="3" destOrd="0" parTransId="{974496F4-34D6-416C-AC0E-D9843FED157C}" sibTransId="{DE670611-EB1A-4D87-A401-C6B6F03A57C3}"/>
    <dgm:cxn modelId="{E9D7EDB2-6D93-4176-AE25-A030CE6FADA5}" type="presOf" srcId="{F8A1EC26-6A25-4B2F-A9E1-F010FC36AD45}" destId="{06C913D3-E8EC-487E-ADA5-49A45F7D22A2}" srcOrd="1" destOrd="0" presId="urn:microsoft.com/office/officeart/2005/8/layout/matrix1"/>
    <dgm:cxn modelId="{76B6A1D5-21B8-4528-9C1C-1DC75C288811}" type="presOf" srcId="{519C163E-EB1A-47E7-AF8D-9080C5E6A539}" destId="{DFA70175-B121-41BF-AFD5-33D516147AA7}" srcOrd="1" destOrd="0" presId="urn:microsoft.com/office/officeart/2005/8/layout/matrix1"/>
    <dgm:cxn modelId="{80A175F1-1F7A-4774-808E-748390599FEC}" srcId="{3DECFD98-857F-48DE-A5EE-7AD24DB4D5EA}" destId="{70477CCB-1B44-4146-B435-E7341AB322E7}" srcOrd="0" destOrd="0" parTransId="{D904015B-016A-44BB-80FF-32F10F840B38}" sibTransId="{962EC8E6-3731-420E-8FA5-801C1FE166F9}"/>
    <dgm:cxn modelId="{88757F30-169C-409C-89E4-429D56F96F56}" srcId="{519C163E-EB1A-47E7-AF8D-9080C5E6A539}" destId="{319D3C77-2CE7-4C86-BCC6-770FB3732990}" srcOrd="0" destOrd="0" parTransId="{72FD1D5E-9CA5-439C-9E56-76047910FA45}" sibTransId="{1A07D1B4-3EC5-4FD8-A92E-A01A0F52A9C4}"/>
    <dgm:cxn modelId="{5214B97E-C277-47BC-9417-F7DA73367857}" srcId="{1CAE1971-F365-4644-ABC7-7063C288B1DD}" destId="{0F43A552-67C4-4FCD-B80B-003B2C0B7642}" srcOrd="0" destOrd="0" parTransId="{FB19D8D9-4F9C-4585-AB50-0DFA8B42F54C}" sibTransId="{853FCD88-D39B-4EE0-8CF5-6AE57321A40E}"/>
    <dgm:cxn modelId="{24EE14DB-CE5C-4917-B9DB-AC3215451ABB}" type="presOf" srcId="{C980E7F5-30D0-4277-83D3-099AD31B41F8}" destId="{06C913D3-E8EC-487E-ADA5-49A45F7D22A2}" srcOrd="1" destOrd="1" presId="urn:microsoft.com/office/officeart/2005/8/layout/matrix1"/>
    <dgm:cxn modelId="{FCA47B62-43F3-49F6-BA19-F7D2B6AB27C3}" type="presOf" srcId="{70477CCB-1B44-4146-B435-E7341AB322E7}" destId="{C8D9F786-6D5B-40AC-89D6-8BF9A2D37CE9}" srcOrd="1" destOrd="1" presId="urn:microsoft.com/office/officeart/2005/8/layout/matrix1"/>
    <dgm:cxn modelId="{47859C75-2600-4B91-AB52-6FDC2F86D46A}" type="presOf" srcId="{0F43A552-67C4-4FCD-B80B-003B2C0B7642}" destId="{F08D4F9D-F701-45EA-ACA9-E6F7AF0E55B2}" srcOrd="0" destOrd="0" presId="urn:microsoft.com/office/officeart/2005/8/layout/matrix1"/>
    <dgm:cxn modelId="{5FECAFA0-E4B7-433C-88F1-33538EF5F18E}" srcId="{3DECFD98-857F-48DE-A5EE-7AD24DB4D5EA}" destId="{83DD0129-1A4C-4220-8CFF-2387B3A9ABD7}" srcOrd="1" destOrd="0" parTransId="{383272EB-E89A-459E-BA20-884B17ACFE65}" sibTransId="{FF0AFD5D-DEA9-4B99-B7E2-D56215576F36}"/>
    <dgm:cxn modelId="{0B41875E-F3E6-4623-8DDA-2AB001E3A328}" srcId="{F8A1EC26-6A25-4B2F-A9E1-F010FC36AD45}" destId="{C980E7F5-30D0-4277-83D3-099AD31B41F8}" srcOrd="0" destOrd="0" parTransId="{CE1115A9-9B99-4A7B-BD9C-F23E364D8733}" sibTransId="{CB596C26-A2AC-4598-B2CC-FA06D1380A31}"/>
    <dgm:cxn modelId="{93D70DC9-DFA5-4869-B517-17969E949F75}" type="presOf" srcId="{83DD0129-1A4C-4220-8CFF-2387B3A9ABD7}" destId="{C8D9F786-6D5B-40AC-89D6-8BF9A2D37CE9}" srcOrd="1" destOrd="2" presId="urn:microsoft.com/office/officeart/2005/8/layout/matrix1"/>
    <dgm:cxn modelId="{E11A22AA-A793-4C25-A1C0-66FD36533825}" type="presOf" srcId="{319D3C77-2CE7-4C86-BCC6-770FB3732990}" destId="{DFA70175-B121-41BF-AFD5-33D516147AA7}" srcOrd="1" destOrd="1" presId="urn:microsoft.com/office/officeart/2005/8/layout/matrix1"/>
    <dgm:cxn modelId="{69FADAB4-60A1-481A-B7A6-AB497820627C}" type="presOf" srcId="{F8A1EC26-6A25-4B2F-A9E1-F010FC36AD45}" destId="{76338441-0704-4A37-B75E-DEE2F486C184}" srcOrd="0" destOrd="0" presId="urn:microsoft.com/office/officeart/2005/8/layout/matrix1"/>
    <dgm:cxn modelId="{8345F192-2E83-45D2-90DD-ED97D0AC1D83}" type="presOf" srcId="{95A170DE-B4E8-4C6B-A462-52641F3BD0BA}" destId="{ACA65A32-3032-4A23-96D8-C4679D54C8F8}" srcOrd="1" destOrd="1" presId="urn:microsoft.com/office/officeart/2005/8/layout/matrix1"/>
    <dgm:cxn modelId="{0399D314-12A8-4DAE-92C7-4A90F0356A01}" srcId="{63CC3DF0-DF97-48BA-82FC-4F8D852430CE}" destId="{95A170DE-B4E8-4C6B-A462-52641F3BD0BA}" srcOrd="0" destOrd="0" parTransId="{CF16B2C6-AB80-403C-86DB-74E9FB20EF12}" sibTransId="{12BD729E-4D8D-4EBD-9BD5-DAD521A16EFD}"/>
    <dgm:cxn modelId="{1BE44562-8E26-4164-B92B-D9DA2C8AA8CD}" type="presParOf" srcId="{B430D10A-ED7C-41E1-B05B-B45679191E3C}" destId="{0ADB9B37-239E-43E8-B360-443FB8BB21BC}" srcOrd="0" destOrd="0" presId="urn:microsoft.com/office/officeart/2005/8/layout/matrix1"/>
    <dgm:cxn modelId="{FB3EA63E-E400-41E9-879F-B5AD02FC3DA3}" type="presParOf" srcId="{0ADB9B37-239E-43E8-B360-443FB8BB21BC}" destId="{18472C6C-A640-4D0A-A433-2D6BF60E20AA}" srcOrd="0" destOrd="0" presId="urn:microsoft.com/office/officeart/2005/8/layout/matrix1"/>
    <dgm:cxn modelId="{BF2B8CCC-7AD6-47CE-A216-16E5FCD502AE}" type="presParOf" srcId="{0ADB9B37-239E-43E8-B360-443FB8BB21BC}" destId="{DFA70175-B121-41BF-AFD5-33D516147AA7}" srcOrd="1" destOrd="0" presId="urn:microsoft.com/office/officeart/2005/8/layout/matrix1"/>
    <dgm:cxn modelId="{4947934A-E079-4910-8499-3C852CB8CB6B}" type="presParOf" srcId="{0ADB9B37-239E-43E8-B360-443FB8BB21BC}" destId="{F36F16B8-7418-4623-AEC6-8B65A49DF032}" srcOrd="2" destOrd="0" presId="urn:microsoft.com/office/officeart/2005/8/layout/matrix1"/>
    <dgm:cxn modelId="{B0F7B4DD-3C73-49F7-8BBD-D990DBAE9282}" type="presParOf" srcId="{0ADB9B37-239E-43E8-B360-443FB8BB21BC}" destId="{C8D9F786-6D5B-40AC-89D6-8BF9A2D37CE9}" srcOrd="3" destOrd="0" presId="urn:microsoft.com/office/officeart/2005/8/layout/matrix1"/>
    <dgm:cxn modelId="{5118B55F-1C66-4543-A7B6-9A8B852C0EAE}" type="presParOf" srcId="{0ADB9B37-239E-43E8-B360-443FB8BB21BC}" destId="{76338441-0704-4A37-B75E-DEE2F486C184}" srcOrd="4" destOrd="0" presId="urn:microsoft.com/office/officeart/2005/8/layout/matrix1"/>
    <dgm:cxn modelId="{F5F7F182-1CB7-49C1-9BC3-8AF992E22311}" type="presParOf" srcId="{0ADB9B37-239E-43E8-B360-443FB8BB21BC}" destId="{06C913D3-E8EC-487E-ADA5-49A45F7D22A2}" srcOrd="5" destOrd="0" presId="urn:microsoft.com/office/officeart/2005/8/layout/matrix1"/>
    <dgm:cxn modelId="{165C8CE4-5C92-4E1D-8274-7F6791590168}" type="presParOf" srcId="{0ADB9B37-239E-43E8-B360-443FB8BB21BC}" destId="{097217A3-1C5D-4B3F-9E1F-8571B4867ABE}" srcOrd="6" destOrd="0" presId="urn:microsoft.com/office/officeart/2005/8/layout/matrix1"/>
    <dgm:cxn modelId="{03F56DF7-D4A1-49D0-B0BC-707583C35A80}" type="presParOf" srcId="{0ADB9B37-239E-43E8-B360-443FB8BB21BC}" destId="{ACA65A32-3032-4A23-96D8-C4679D54C8F8}" srcOrd="7" destOrd="0" presId="urn:microsoft.com/office/officeart/2005/8/layout/matrix1"/>
    <dgm:cxn modelId="{15C0075C-9274-47DE-8E2D-AB81D86AA428}" type="presParOf" srcId="{B430D10A-ED7C-41E1-B05B-B45679191E3C}" destId="{F08D4F9D-F701-45EA-ACA9-E6F7AF0E55B2}" srcOrd="1" destOrd="0" presId="urn:microsoft.com/office/officeart/2005/8/layout/matrix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72C6C-A640-4D0A-A433-2D6BF60E20AA}">
      <dsp:nvSpPr>
        <dsp:cNvPr id="0" name=""/>
        <dsp:cNvSpPr/>
      </dsp:nvSpPr>
      <dsp:spPr>
        <a:xfrm rot="16200000">
          <a:off x="262393" y="-262393"/>
          <a:ext cx="221841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n-GB" sz="1200" b="1" kern="1200"/>
            <a:t>  Réalisations</a:t>
          </a:r>
        </a:p>
        <a:p>
          <a:pPr marL="360000" lvl="1" indent="-114300" algn="l" defTabSz="533400">
            <a:lnSpc>
              <a:spcPct val="90000"/>
            </a:lnSpc>
            <a:spcBef>
              <a:spcPct val="0"/>
            </a:spcBef>
            <a:spcAft>
              <a:spcPct val="15000"/>
            </a:spcAft>
            <a:buChar char="••"/>
          </a:pPr>
          <a:r>
            <a:rPr lang="en-GB" sz="1200" b="0" kern="1200"/>
            <a:t>Souligner les bonnes pratiques </a:t>
          </a:r>
          <a:br>
            <a:rPr lang="en-GB" sz="1200" b="0" kern="1200"/>
          </a:br>
          <a:r>
            <a:rPr lang="en-GB" sz="1200" b="0" kern="1200"/>
            <a:t>et les expériences contribuant </a:t>
          </a:r>
          <a:br>
            <a:rPr lang="en-GB" sz="1200" b="0" kern="1200"/>
          </a:br>
          <a:r>
            <a:rPr lang="en-GB" sz="1200" b="0" kern="1200"/>
            <a:t>à la réalisation du Programme</a:t>
          </a:r>
          <a:br>
            <a:rPr lang="en-GB" sz="1200" b="0" kern="1200"/>
          </a:br>
          <a:r>
            <a:rPr lang="en-GB" sz="1200" b="0" kern="1200"/>
            <a:t>Connect 2020</a:t>
          </a:r>
        </a:p>
      </dsp:txBody>
      <dsp:txXfrm rot="5400000">
        <a:off x="-1" y="1"/>
        <a:ext cx="2743200" cy="1663810"/>
      </dsp:txXfrm>
    </dsp:sp>
    <dsp:sp modelId="{F36F16B8-7418-4623-AEC6-8B65A49DF032}">
      <dsp:nvSpPr>
        <dsp:cNvPr id="0" name=""/>
        <dsp:cNvSpPr/>
      </dsp:nvSpPr>
      <dsp:spPr>
        <a:xfrm>
          <a:off x="2743200" y="0"/>
          <a:ext cx="2743200" cy="221841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n-GB" sz="1200" b="1" kern="1200"/>
            <a:t>Vision et plans nationaux</a:t>
          </a:r>
          <a:endParaRPr lang="en-GB" sz="1200" kern="1200"/>
        </a:p>
        <a:p>
          <a:pPr marL="360000" lvl="1" indent="-114300" algn="l" defTabSz="533400">
            <a:lnSpc>
              <a:spcPct val="90000"/>
            </a:lnSpc>
            <a:spcBef>
              <a:spcPct val="0"/>
            </a:spcBef>
            <a:spcAft>
              <a:spcPct val="15000"/>
            </a:spcAft>
            <a:buChar char="••"/>
          </a:pPr>
          <a:r>
            <a:rPr lang="en-GB" sz="1200" b="0" kern="1200"/>
            <a:t>Faire part de la vision et des </a:t>
          </a:r>
          <a:br>
            <a:rPr lang="en-GB" sz="1200" b="0" kern="1200"/>
          </a:br>
          <a:r>
            <a:rPr lang="en-GB" sz="1200" b="0" kern="1200"/>
            <a:t>plans envisagés pour l'après 2020</a:t>
          </a:r>
        </a:p>
        <a:p>
          <a:pPr marL="360000" lvl="1" indent="-114300" algn="l" defTabSz="533400">
            <a:lnSpc>
              <a:spcPct val="90000"/>
            </a:lnSpc>
            <a:spcBef>
              <a:spcPct val="0"/>
            </a:spcBef>
            <a:spcAft>
              <a:spcPct val="15000"/>
            </a:spcAft>
            <a:buChar char="••"/>
          </a:pPr>
          <a:r>
            <a:rPr lang="en-GB" sz="1200" b="0" kern="1200"/>
            <a:t>Se concentrer sur l'un des 5 buts</a:t>
          </a:r>
        </a:p>
      </dsp:txBody>
      <dsp:txXfrm>
        <a:off x="2743200" y="0"/>
        <a:ext cx="2743200" cy="1663810"/>
      </dsp:txXfrm>
    </dsp:sp>
    <dsp:sp modelId="{76338441-0704-4A37-B75E-DEE2F486C184}">
      <dsp:nvSpPr>
        <dsp:cNvPr id="0" name=""/>
        <dsp:cNvSpPr/>
      </dsp:nvSpPr>
      <dsp:spPr>
        <a:xfrm rot="10800000">
          <a:off x="0" y="2218414"/>
          <a:ext cx="2743200" cy="221841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endParaRPr lang="en-GB" sz="1200" b="1" kern="1200"/>
        </a:p>
        <a:p>
          <a:pPr lvl="0" algn="l" defTabSz="533400">
            <a:lnSpc>
              <a:spcPct val="90000"/>
            </a:lnSpc>
            <a:spcBef>
              <a:spcPct val="0"/>
            </a:spcBef>
            <a:spcAft>
              <a:spcPct val="35000"/>
            </a:spcAft>
          </a:pPr>
          <a:endParaRPr lang="en-GB" sz="1200" b="1" kern="1200"/>
        </a:p>
        <a:p>
          <a:pPr marL="252000" lvl="0" algn="l" defTabSz="533400">
            <a:lnSpc>
              <a:spcPct val="90000"/>
            </a:lnSpc>
            <a:spcBef>
              <a:spcPct val="0"/>
            </a:spcBef>
            <a:spcAft>
              <a:spcPct val="35000"/>
            </a:spcAft>
          </a:pPr>
          <a:r>
            <a:rPr lang="en-GB" sz="1200" b="1" kern="1200"/>
            <a:t>Engagements et initiatives</a:t>
          </a:r>
        </a:p>
        <a:p>
          <a:pPr marL="180000" lvl="1" indent="-114300" algn="l" defTabSz="533400">
            <a:lnSpc>
              <a:spcPct val="90000"/>
            </a:lnSpc>
            <a:spcBef>
              <a:spcPct val="0"/>
            </a:spcBef>
            <a:spcAft>
              <a:spcPct val="15000"/>
            </a:spcAft>
            <a:buChar char="••"/>
          </a:pPr>
          <a:r>
            <a:rPr lang="en-GB" sz="1200" kern="1200"/>
            <a:t>Annoncer les initiatives et les engagements sur le plan national</a:t>
          </a:r>
        </a:p>
      </dsp:txBody>
      <dsp:txXfrm rot="10800000">
        <a:off x="0" y="2773017"/>
        <a:ext cx="2743200" cy="1663810"/>
      </dsp:txXfrm>
    </dsp:sp>
    <dsp:sp modelId="{097217A3-1C5D-4B3F-9E1F-8571B4867ABE}">
      <dsp:nvSpPr>
        <dsp:cNvPr id="0" name=""/>
        <dsp:cNvSpPr/>
      </dsp:nvSpPr>
      <dsp:spPr>
        <a:xfrm rot="5400000">
          <a:off x="3005593" y="1956021"/>
          <a:ext cx="221841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a:lnSpc>
              <a:spcPct val="90000"/>
            </a:lnSpc>
            <a:spcBef>
              <a:spcPct val="0"/>
            </a:spcBef>
            <a:spcAft>
              <a:spcPct val="35000"/>
            </a:spcAft>
          </a:pPr>
          <a:endParaRPr lang="en-GB" sz="1200" b="1" kern="1200"/>
        </a:p>
        <a:p>
          <a:pPr lvl="0" algn="r" defTabSz="533400">
            <a:lnSpc>
              <a:spcPct val="90000"/>
            </a:lnSpc>
            <a:spcBef>
              <a:spcPct val="0"/>
            </a:spcBef>
            <a:spcAft>
              <a:spcPct val="35000"/>
            </a:spcAft>
          </a:pPr>
          <a:endParaRPr lang="en-GB" sz="1200" b="1" kern="1200"/>
        </a:p>
        <a:p>
          <a:pPr lvl="0" algn="ctr" defTabSz="533400">
            <a:lnSpc>
              <a:spcPct val="90000"/>
            </a:lnSpc>
            <a:spcBef>
              <a:spcPct val="0"/>
            </a:spcBef>
            <a:spcAft>
              <a:spcPct val="35000"/>
            </a:spcAft>
          </a:pPr>
          <a:r>
            <a:rPr lang="en-GB" sz="1200" b="1" kern="1200"/>
            <a:t>Aide de l'UIT</a:t>
          </a:r>
        </a:p>
        <a:p>
          <a:pPr marL="504000" lvl="1" indent="-114300" algn="l" defTabSz="533400">
            <a:lnSpc>
              <a:spcPct val="90000"/>
            </a:lnSpc>
            <a:spcBef>
              <a:spcPct val="0"/>
            </a:spcBef>
            <a:spcAft>
              <a:spcPct val="15000"/>
            </a:spcAft>
            <a:buChar char="••"/>
          </a:pPr>
          <a:r>
            <a:rPr lang="en-GB" sz="1200" kern="1200"/>
            <a:t>Comment l'UIT peut-elle aider davantage les Etats Membres </a:t>
          </a:r>
          <a:br>
            <a:rPr lang="en-GB" sz="1200" kern="1200"/>
          </a:br>
          <a:r>
            <a:rPr lang="en-GB" sz="1200" kern="1200"/>
            <a:t>à réaliser les nouveaux buts?</a:t>
          </a:r>
        </a:p>
      </dsp:txBody>
      <dsp:txXfrm rot="-5400000">
        <a:off x="2743199" y="2773017"/>
        <a:ext cx="2743200" cy="1663810"/>
      </dsp:txXfrm>
    </dsp:sp>
    <dsp:sp modelId="{F08D4F9D-F701-45EA-ACA9-E6F7AF0E55B2}">
      <dsp:nvSpPr>
        <dsp:cNvPr id="0" name=""/>
        <dsp:cNvSpPr/>
      </dsp:nvSpPr>
      <dsp:spPr>
        <a:xfrm>
          <a:off x="1468336" y="963801"/>
          <a:ext cx="2495543" cy="2467674"/>
        </a:xfrm>
        <a:prstGeom prst="roundRect">
          <a:avLst/>
        </a:prstGeom>
        <a:blipFill rotWithShape="0">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3840" tIns="243840" rIns="243840" bIns="243840" numCol="1" spcCol="1270" anchor="ctr" anchorCtr="0">
          <a:noAutofit/>
        </a:bodyPr>
        <a:lstStyle/>
        <a:p>
          <a:pPr lvl="0" algn="ctr" defTabSz="2844800">
            <a:lnSpc>
              <a:spcPct val="90000"/>
            </a:lnSpc>
            <a:spcBef>
              <a:spcPct val="0"/>
            </a:spcBef>
            <a:spcAft>
              <a:spcPct val="35000"/>
            </a:spcAft>
          </a:pPr>
          <a:r>
            <a:rPr lang="en-GB" sz="6400" kern="1200"/>
            <a:t> </a:t>
          </a:r>
        </a:p>
      </dsp:txBody>
      <dsp:txXfrm>
        <a:off x="1588798" y="1084263"/>
        <a:ext cx="2254619" cy="222675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96</TotalTime>
  <Pages>6</Pages>
  <Words>2109</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14671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Da Silva, Margaux</dc:creator>
  <cp:keywords>C2018, C18</cp:keywords>
  <dc:description/>
  <cp:lastModifiedBy>Geneux</cp:lastModifiedBy>
  <cp:revision>15</cp:revision>
  <cp:lastPrinted>2018-04-11T11:27:00Z</cp:lastPrinted>
  <dcterms:created xsi:type="dcterms:W3CDTF">2018-04-10T14:02:00Z</dcterms:created>
  <dcterms:modified xsi:type="dcterms:W3CDTF">2018-04-11T12:21:00Z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