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E623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E6230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E62307" w:rsidRPr="00E62307">
              <w:rPr>
                <w:rFonts w:eastAsiaTheme="minorEastAsia"/>
                <w:b/>
                <w:bCs/>
                <w:lang w:eastAsia="zh-CN" w:bidi="ar-EG"/>
              </w:rPr>
              <w:t>PL 4.2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E623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62307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4814E1" w:rsidP="004814E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b/>
                <w:bCs/>
                <w:lang w:bidi="ar-SY"/>
              </w:rPr>
              <w:t>1</w:t>
            </w:r>
            <w:r>
              <w:rPr>
                <w:b/>
                <w:bCs/>
                <w:lang w:bidi="ar-SY"/>
              </w:rPr>
              <w:t>1</w:t>
            </w:r>
            <w:bookmarkStart w:id="1" w:name="_GoBack"/>
            <w:bookmarkEnd w:id="1"/>
            <w:r>
              <w:rPr>
                <w:rFonts w:hint="cs"/>
                <w:b/>
                <w:bCs/>
                <w:rtl/>
                <w:lang w:bidi="ar-SY"/>
              </w:rPr>
              <w:t xml:space="preserve"> يناير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E623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E62307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E62307" w:rsidP="00E62307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E62307">
              <w:rPr>
                <w:rFonts w:eastAsiaTheme="minorEastAsia" w:hint="cs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E62307" w:rsidP="00E62307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E62307">
              <w:rPr>
                <w:rFonts w:eastAsiaTheme="minorEastAsia"/>
                <w:rtl/>
                <w:lang w:eastAsia="zh-CN" w:bidi="ar-SA"/>
              </w:rPr>
              <w:t>قرارات المجلس ومقرراته التي انتهى مفعولها</w:t>
            </w:r>
          </w:p>
        </w:tc>
      </w:tr>
      <w:tr w:rsidR="00C63F51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C63F51" w:rsidRPr="00E62307" w:rsidRDefault="00C63F51" w:rsidP="00C63F51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E62307" w:rsidP="00E623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 w:rsidRPr="00E62307">
              <w:rPr>
                <w:rFonts w:eastAsiaTheme="minorEastAsia"/>
                <w:rtl/>
                <w:lang w:eastAsia="zh-CN"/>
              </w:rPr>
              <w:t>بعد كل دورة عادية من دورات المجلس، ت</w:t>
            </w:r>
            <w:r w:rsidRPr="00E62307">
              <w:rPr>
                <w:rFonts w:eastAsiaTheme="minorEastAsia" w:hint="cs"/>
                <w:rtl/>
                <w:lang w:eastAsia="zh-CN"/>
              </w:rPr>
              <w:t>ُ</w:t>
            </w:r>
            <w:r w:rsidRPr="00E62307">
              <w:rPr>
                <w:rFonts w:eastAsiaTheme="minorEastAsia"/>
                <w:rtl/>
                <w:lang w:eastAsia="zh-CN"/>
              </w:rPr>
              <w:t>لغى القرارات والمقر</w:t>
            </w:r>
            <w:r w:rsidRPr="00E62307">
              <w:rPr>
                <w:rFonts w:eastAsiaTheme="minorEastAsia" w:hint="cs"/>
                <w:rtl/>
                <w:lang w:eastAsia="zh-CN"/>
              </w:rPr>
              <w:t>ّ</w:t>
            </w:r>
            <w:r w:rsidRPr="00E62307">
              <w:rPr>
                <w:rFonts w:eastAsiaTheme="minorEastAsia"/>
                <w:rtl/>
                <w:lang w:eastAsia="zh-CN"/>
              </w:rPr>
              <w:t>رات التي انتهى تنفيذها ثم</w:t>
            </w:r>
            <w:r w:rsidRPr="00E62307">
              <w:rPr>
                <w:rFonts w:eastAsiaTheme="minorEastAsia" w:hint="cs"/>
                <w:rtl/>
                <w:lang w:eastAsia="zh-CN"/>
              </w:rPr>
              <w:t> </w:t>
            </w:r>
            <w:r w:rsidRPr="00E62307">
              <w:rPr>
                <w:rFonts w:eastAsiaTheme="minorEastAsia"/>
                <w:rtl/>
                <w:lang w:eastAsia="zh-CN"/>
              </w:rPr>
              <w:t>تُحذف من مجلد</w:t>
            </w:r>
            <w:r w:rsidRPr="00E62307">
              <w:rPr>
                <w:rFonts w:eastAsiaTheme="minorEastAsia" w:hint="cs"/>
                <w:rtl/>
                <w:lang w:eastAsia="zh-CN"/>
              </w:rPr>
              <w:t> </w:t>
            </w:r>
            <w:r w:rsidRPr="00E62307">
              <w:rPr>
                <w:rFonts w:eastAsiaTheme="minorEastAsia"/>
                <w:rtl/>
                <w:lang w:eastAsia="zh-CN"/>
              </w:rPr>
              <w:t>القرارات والمقر</w:t>
            </w:r>
            <w:r w:rsidRPr="00E62307">
              <w:rPr>
                <w:rFonts w:eastAsiaTheme="minorEastAsia" w:hint="cs"/>
                <w:rtl/>
                <w:lang w:eastAsia="zh-CN"/>
              </w:rPr>
              <w:t>ّ</w:t>
            </w:r>
            <w:r w:rsidRPr="00E62307">
              <w:rPr>
                <w:rFonts w:eastAsiaTheme="minorEastAsia"/>
                <w:rtl/>
                <w:lang w:eastAsia="zh-CN"/>
              </w:rPr>
              <w:t>رات الصادرة عن المجلس.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E62307" w:rsidRDefault="00E62307" w:rsidP="00E6230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rtl/>
                <w:lang w:eastAsia="zh-CN" w:bidi="ar-SY"/>
              </w:rPr>
            </w:pPr>
            <w:r w:rsidRPr="00E62307">
              <w:rPr>
                <w:rFonts w:eastAsiaTheme="minorEastAsia"/>
                <w:rtl/>
                <w:lang w:eastAsia="zh-CN"/>
              </w:rPr>
              <w:t xml:space="preserve">تُعرض على </w:t>
            </w:r>
            <w:r w:rsidRPr="00E62307">
              <w:rPr>
                <w:rFonts w:eastAsiaTheme="minorEastAsia" w:hint="cs"/>
                <w:rtl/>
                <w:lang w:eastAsia="zh-CN"/>
              </w:rPr>
              <w:t>المجلس</w:t>
            </w:r>
            <w:r w:rsidRPr="00E62307">
              <w:rPr>
                <w:rFonts w:eastAsiaTheme="minorEastAsia"/>
                <w:rtl/>
                <w:lang w:eastAsia="zh-CN"/>
              </w:rPr>
              <w:t xml:space="preserve"> </w:t>
            </w:r>
            <w:r w:rsidRPr="00E62307">
              <w:rPr>
                <w:rFonts w:eastAsiaTheme="minorEastAsia" w:hint="cs"/>
                <w:rtl/>
                <w:lang w:eastAsia="zh-CN"/>
              </w:rPr>
              <w:t>قائمة</w:t>
            </w:r>
            <w:r w:rsidRPr="00E62307">
              <w:rPr>
                <w:rFonts w:eastAsiaTheme="minorEastAsia"/>
                <w:rtl/>
                <w:lang w:eastAsia="zh-CN"/>
              </w:rPr>
              <w:t xml:space="preserve"> القرارات والمقررات التي ينبغي إلغاؤها وبالتالي حذفها من المجلد، وي</w:t>
            </w:r>
            <w:r w:rsidRPr="00E62307">
              <w:rPr>
                <w:rFonts w:eastAsiaTheme="minorEastAsia" w:hint="cs"/>
                <w:rtl/>
                <w:lang w:eastAsia="zh-CN"/>
              </w:rPr>
              <w:t>ُ</w:t>
            </w:r>
            <w:r w:rsidRPr="00E62307">
              <w:rPr>
                <w:rFonts w:eastAsiaTheme="minorEastAsia"/>
                <w:rtl/>
                <w:lang w:eastAsia="zh-CN"/>
              </w:rPr>
              <w:t xml:space="preserve">رجى من المجلس </w:t>
            </w:r>
            <w:r w:rsidRPr="00E62307">
              <w:rPr>
                <w:rFonts w:eastAsiaTheme="minorEastAsia"/>
                <w:b/>
                <w:bCs/>
                <w:rtl/>
                <w:lang w:eastAsia="zh-CN"/>
              </w:rPr>
              <w:t>النظر</w:t>
            </w:r>
            <w:r w:rsidRPr="00E62307">
              <w:rPr>
                <w:rFonts w:eastAsiaTheme="minorEastAsia"/>
                <w:rtl/>
                <w:lang w:eastAsia="zh-CN"/>
              </w:rPr>
              <w:t xml:space="preserve"> فيها </w:t>
            </w:r>
            <w:r w:rsidRPr="00E62307">
              <w:rPr>
                <w:rFonts w:eastAsiaTheme="minorEastAsia"/>
                <w:b/>
                <w:bCs/>
                <w:rtl/>
                <w:lang w:eastAsia="zh-CN"/>
              </w:rPr>
              <w:t>وإقرارها</w:t>
            </w:r>
            <w:r w:rsidRPr="00E62307">
              <w:rPr>
                <w:rFonts w:eastAsiaTheme="minorEastAsia"/>
                <w:rtl/>
                <w:lang w:eastAsia="zh-CN"/>
              </w:rPr>
              <w:t>.</w:t>
            </w:r>
          </w:p>
        </w:tc>
      </w:tr>
    </w:tbl>
    <w:p w:rsidR="00E62307" w:rsidRPr="00E62307" w:rsidRDefault="00E62307" w:rsidP="00B63B29">
      <w:pPr>
        <w:pStyle w:val="Heading2"/>
        <w:pageBreakBefore/>
        <w:spacing w:before="360" w:after="120"/>
        <w:ind w:left="0" w:firstLine="0"/>
        <w:jc w:val="center"/>
        <w:rPr>
          <w:rFonts w:eastAsiaTheme="minorEastAsia"/>
          <w:rtl/>
          <w:lang w:eastAsia="zh-CN" w:bidi="ar-SY"/>
        </w:rPr>
      </w:pPr>
      <w:r w:rsidRPr="00E62307">
        <w:rPr>
          <w:rFonts w:eastAsiaTheme="minorEastAsia"/>
          <w:rtl/>
          <w:lang w:eastAsia="zh-CN"/>
        </w:rPr>
        <w:lastRenderedPageBreak/>
        <w:t xml:space="preserve">القرارات والمقررات </w:t>
      </w:r>
      <w:r w:rsidRPr="00E62307">
        <w:rPr>
          <w:rFonts w:eastAsiaTheme="minorEastAsia" w:hint="cs"/>
          <w:rtl/>
          <w:lang w:eastAsia="zh-CN"/>
        </w:rPr>
        <w:t>التي ينبغي</w:t>
      </w:r>
      <w:r w:rsidRPr="00E62307">
        <w:rPr>
          <w:rFonts w:eastAsiaTheme="minorEastAsia"/>
          <w:rtl/>
          <w:lang w:eastAsia="zh-CN"/>
        </w:rPr>
        <w:t xml:space="preserve"> </w:t>
      </w:r>
      <w:r w:rsidRPr="00E62307">
        <w:rPr>
          <w:rFonts w:eastAsiaTheme="minorEastAsia" w:hint="cs"/>
          <w:rtl/>
          <w:lang w:eastAsia="zh-CN"/>
        </w:rPr>
        <w:t>إلغاؤها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720"/>
        <w:gridCol w:w="6663"/>
      </w:tblGrid>
      <w:tr w:rsidR="00E62307" w:rsidRPr="00E62307" w:rsidTr="00D67973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D9D9D9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b/>
                <w:bCs/>
                <w:lang w:eastAsia="zh-CN" w:bidi="ar-SY"/>
              </w:rPr>
            </w:pPr>
            <w:r w:rsidRPr="00E62307">
              <w:rPr>
                <w:rFonts w:eastAsiaTheme="minorEastAsia"/>
                <w:b/>
                <w:bCs/>
                <w:rtl/>
                <w:lang w:eastAsia="zh-CN"/>
              </w:rPr>
              <w:t>القسم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b/>
                <w:bCs/>
                <w:lang w:eastAsia="zh-CN" w:bidi="ar-SY"/>
              </w:rPr>
            </w:pPr>
            <w:r w:rsidRPr="00E62307">
              <w:rPr>
                <w:rFonts w:eastAsiaTheme="minorEastAsia"/>
                <w:b/>
                <w:bCs/>
                <w:rtl/>
                <w:lang w:eastAsia="zh-CN"/>
              </w:rPr>
              <w:t>القرارات/المقررات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D9D9D9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62307">
              <w:rPr>
                <w:rFonts w:eastAsiaTheme="minorEastAsia"/>
                <w:b/>
                <w:bCs/>
                <w:rtl/>
                <w:lang w:eastAsia="zh-CN"/>
              </w:rPr>
              <w:t>العن</w:t>
            </w:r>
            <w:r w:rsidRPr="00E62307">
              <w:rPr>
                <w:rFonts w:eastAsiaTheme="minorEastAsia" w:hint="cs"/>
                <w:b/>
                <w:bCs/>
                <w:rtl/>
                <w:lang w:eastAsia="zh-CN"/>
              </w:rPr>
              <w:t>ـ</w:t>
            </w:r>
            <w:r w:rsidRPr="00E62307">
              <w:rPr>
                <w:rFonts w:eastAsiaTheme="minorEastAsia"/>
                <w:b/>
                <w:bCs/>
                <w:rtl/>
                <w:lang w:eastAsia="zh-CN"/>
              </w:rPr>
              <w:t>وان</w:t>
            </w:r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r w:rsidRPr="00E62307">
              <w:rPr>
                <w:rFonts w:eastAsiaTheme="minorEastAsia"/>
                <w:lang w:eastAsia="zh-CN" w:bidi="ar-SY"/>
              </w:rPr>
              <w:t>2.1</w:t>
            </w:r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r w:rsidRPr="00E62307">
              <w:rPr>
                <w:rFonts w:eastAsiaTheme="minorEastAsia"/>
                <w:rtl/>
                <w:lang w:eastAsia="zh-CN" w:bidi="ar-SY"/>
              </w:rPr>
              <w:t xml:space="preserve">المقرر </w:t>
            </w:r>
            <w:r w:rsidRPr="00E62307">
              <w:rPr>
                <w:rFonts w:eastAsiaTheme="minorEastAsia"/>
                <w:lang w:eastAsia="zh-CN" w:bidi="ar-SY"/>
              </w:rPr>
              <w:t>592</w:t>
            </w:r>
          </w:p>
        </w:tc>
        <w:tc>
          <w:tcPr>
            <w:tcW w:w="6663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rtl/>
                <w:lang w:eastAsia="zh-CN" w:bidi="ar-SY"/>
              </w:rPr>
            </w:pPr>
            <w:bookmarkStart w:id="2" w:name="_Toc423445858"/>
            <w:bookmarkStart w:id="3" w:name="_Toc458432522"/>
            <w:r w:rsidRPr="00E62307">
              <w:rPr>
                <w:rFonts w:eastAsiaTheme="minorEastAsia" w:hint="cs"/>
                <w:rtl/>
                <w:lang w:eastAsia="zh-CN" w:bidi="ar-SY"/>
              </w:rPr>
              <w:t>إلغاء الفوائد على المتأخرات والديون غير القابلة للاسترداد</w:t>
            </w:r>
            <w:bookmarkEnd w:id="2"/>
            <w:bookmarkEnd w:id="3"/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bookmarkStart w:id="4" w:name="lt_pId043"/>
            <w:r w:rsidRPr="00E62307">
              <w:rPr>
                <w:rFonts w:eastAsiaTheme="minorEastAsia"/>
                <w:lang w:eastAsia="zh-CN" w:bidi="ar-SY"/>
              </w:rPr>
              <w:t>1.</w:t>
            </w:r>
            <w:bookmarkEnd w:id="4"/>
            <w:r w:rsidRPr="00E62307">
              <w:rPr>
                <w:rFonts w:eastAsiaTheme="minorEastAsia"/>
                <w:lang w:eastAsia="zh-CN" w:bidi="ar-SY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bookmarkStart w:id="5" w:name="lt_pId044"/>
            <w:r w:rsidRPr="00E62307">
              <w:rPr>
                <w:rFonts w:eastAsiaTheme="minorEastAsia"/>
                <w:rtl/>
                <w:lang w:eastAsia="zh-CN" w:bidi="ar-SY"/>
              </w:rPr>
              <w:t>القرار</w:t>
            </w:r>
            <w:bookmarkEnd w:id="5"/>
            <w:r w:rsidR="00B63B29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63B29" w:rsidRPr="00B63B29">
              <w:rPr>
                <w:rStyle w:val="FootnoteReference"/>
                <w:lang w:eastAsia="zh-CN" w:bidi="ar-SY"/>
              </w:rPr>
              <w:footnoteReference w:id="1"/>
            </w:r>
            <w:r w:rsidRPr="00E62307">
              <w:rPr>
                <w:rFonts w:eastAsiaTheme="minorEastAsia"/>
                <w:lang w:eastAsia="zh-CN" w:bidi="ar-SY"/>
              </w:rPr>
              <w:t>1388</w:t>
            </w:r>
          </w:p>
        </w:tc>
        <w:tc>
          <w:tcPr>
            <w:tcW w:w="6663" w:type="dxa"/>
            <w:shd w:val="clear" w:color="auto" w:fill="auto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lang w:eastAsia="zh-CN" w:bidi="ar-SY"/>
              </w:rPr>
            </w:pPr>
            <w:bookmarkStart w:id="6" w:name="_Toc458432550"/>
            <w:r w:rsidRPr="00E62307">
              <w:rPr>
                <w:rFonts w:eastAsiaTheme="minorEastAsia" w:hint="cs"/>
                <w:rtl/>
                <w:lang w:eastAsia="zh-CN" w:bidi="ar-SY"/>
              </w:rPr>
              <w:t>شروط خدمة المسؤولين المنتخبين في الاتحاد</w:t>
            </w:r>
            <w:bookmarkEnd w:id="6"/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bookmarkStart w:id="7" w:name="lt_pId046"/>
            <w:r w:rsidRPr="00E62307">
              <w:rPr>
                <w:rFonts w:eastAsiaTheme="minorEastAsia"/>
                <w:lang w:eastAsia="zh-CN" w:bidi="ar-SY"/>
              </w:rPr>
              <w:t>1.</w:t>
            </w:r>
            <w:bookmarkEnd w:id="7"/>
            <w:r w:rsidRPr="00E62307">
              <w:rPr>
                <w:rFonts w:eastAsiaTheme="minorEastAsia"/>
                <w:lang w:eastAsia="zh-CN" w:bidi="ar-SY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bookmarkStart w:id="8" w:name="lt_pId047"/>
            <w:r w:rsidRPr="00E62307">
              <w:rPr>
                <w:rFonts w:eastAsiaTheme="minorEastAsia"/>
                <w:rtl/>
                <w:lang w:eastAsia="zh-CN" w:bidi="ar-SY"/>
              </w:rPr>
              <w:t>المقرر</w:t>
            </w:r>
            <w:bookmarkEnd w:id="8"/>
            <w:r w:rsidR="00B63B29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62307">
              <w:rPr>
                <w:rFonts w:eastAsiaTheme="minorEastAsia"/>
                <w:lang w:eastAsia="zh-CN" w:bidi="ar-SY"/>
              </w:rPr>
              <w:t>579</w:t>
            </w:r>
          </w:p>
        </w:tc>
        <w:tc>
          <w:tcPr>
            <w:tcW w:w="6663" w:type="dxa"/>
            <w:shd w:val="clear" w:color="auto" w:fill="auto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lang w:eastAsia="zh-CN" w:bidi="ar-SY"/>
              </w:rPr>
            </w:pPr>
            <w:bookmarkStart w:id="9" w:name="_Toc364416722"/>
            <w:bookmarkStart w:id="10" w:name="_Toc405196366"/>
            <w:bookmarkStart w:id="11" w:name="_Toc423445888"/>
            <w:bookmarkStart w:id="12" w:name="_Toc490216640"/>
            <w:r w:rsidRPr="00E62307">
              <w:rPr>
                <w:rFonts w:eastAsiaTheme="minorEastAsia" w:hint="cs"/>
                <w:rtl/>
                <w:lang w:eastAsia="zh-CN" w:bidi="ar-SY"/>
              </w:rPr>
              <w:t>السن الإلزامية للتقاعد في الاتحاد الدولي للاتصالات</w:t>
            </w:r>
            <w:bookmarkEnd w:id="9"/>
            <w:bookmarkEnd w:id="10"/>
            <w:bookmarkEnd w:id="11"/>
            <w:bookmarkEnd w:id="12"/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r w:rsidRPr="00E62307">
              <w:rPr>
                <w:rFonts w:eastAsiaTheme="minorEastAsia"/>
                <w:lang w:eastAsia="zh-CN" w:bidi="ar-SY"/>
              </w:rPr>
              <w:t>1.2</w:t>
            </w:r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r w:rsidRPr="00E62307">
              <w:rPr>
                <w:rFonts w:eastAsiaTheme="minorEastAsia"/>
                <w:rtl/>
                <w:lang w:eastAsia="zh-CN" w:bidi="ar-SY"/>
              </w:rPr>
              <w:t>المقرر</w:t>
            </w:r>
            <w:r w:rsidRPr="00E62307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E62307">
              <w:rPr>
                <w:rFonts w:eastAsiaTheme="minorEastAsia"/>
                <w:lang w:eastAsia="zh-CN" w:bidi="ar-SY"/>
              </w:rPr>
              <w:t>594</w:t>
            </w:r>
          </w:p>
        </w:tc>
        <w:tc>
          <w:tcPr>
            <w:tcW w:w="6663" w:type="dxa"/>
            <w:shd w:val="clear" w:color="auto" w:fill="auto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lang w:eastAsia="zh-CN" w:bidi="ar-SY"/>
              </w:rPr>
            </w:pPr>
            <w:r w:rsidRPr="00E62307">
              <w:rPr>
                <w:rFonts w:eastAsiaTheme="minorEastAsia" w:hint="cs"/>
                <w:rtl/>
                <w:lang w:eastAsia="zh-CN" w:bidi="ar-SY"/>
              </w:rPr>
              <w:t>السن الإلزامية للتقاعد في الاتحاد الدولي للاتصالات</w:t>
            </w:r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bookmarkStart w:id="13" w:name="lt_pId049"/>
            <w:r w:rsidRPr="00E62307">
              <w:rPr>
                <w:rFonts w:eastAsiaTheme="minorEastAsia"/>
                <w:lang w:eastAsia="zh-CN" w:bidi="ar-SY"/>
              </w:rPr>
              <w:t>2.</w:t>
            </w:r>
            <w:bookmarkEnd w:id="13"/>
            <w:r w:rsidRPr="00E62307">
              <w:rPr>
                <w:rFonts w:eastAsiaTheme="minorEastAsia"/>
                <w:lang w:eastAsia="zh-CN" w:bidi="ar-SY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bookmarkStart w:id="14" w:name="lt_pId050"/>
            <w:r w:rsidRPr="00E62307">
              <w:rPr>
                <w:rFonts w:eastAsiaTheme="minorEastAsia" w:hint="cs"/>
                <w:rtl/>
                <w:lang w:eastAsia="zh-CN" w:bidi="ar-SY"/>
              </w:rPr>
              <w:t>المقرر</w:t>
            </w:r>
            <w:r w:rsidRPr="00E62307">
              <w:rPr>
                <w:rFonts w:eastAsiaTheme="minorEastAsia"/>
                <w:rtl/>
                <w:lang w:eastAsia="zh-CN" w:bidi="ar-SY"/>
              </w:rPr>
              <w:t xml:space="preserve"> </w:t>
            </w:r>
            <w:bookmarkEnd w:id="14"/>
            <w:r w:rsidRPr="00E62307">
              <w:rPr>
                <w:rFonts w:eastAsiaTheme="minorEastAsia"/>
                <w:lang w:eastAsia="zh-CN" w:bidi="ar-SY"/>
              </w:rPr>
              <w:t>599</w:t>
            </w:r>
            <w:r w:rsidRPr="00B63B29">
              <w:rPr>
                <w:rStyle w:val="FootnoteReference"/>
                <w:rtl/>
                <w:lang w:eastAsia="zh-CN" w:bidi="ar-SY"/>
              </w:rPr>
              <w:footnoteReference w:id="2"/>
            </w:r>
          </w:p>
        </w:tc>
        <w:tc>
          <w:tcPr>
            <w:tcW w:w="6663" w:type="dxa"/>
            <w:shd w:val="clear" w:color="auto" w:fill="auto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lang w:eastAsia="zh-CN" w:bidi="ar-SY"/>
              </w:rPr>
            </w:pPr>
            <w:bookmarkStart w:id="15" w:name="_Toc458432660"/>
            <w:r w:rsidRPr="00E62307">
              <w:rPr>
                <w:rFonts w:eastAsiaTheme="minorEastAsia" w:hint="cs"/>
                <w:rtl/>
                <w:lang w:eastAsia="zh-CN"/>
              </w:rPr>
              <w:t>مواعيد انعقاد دورات المجلس للأعوام </w:t>
            </w:r>
            <w:r w:rsidRPr="00E62307">
              <w:rPr>
                <w:rFonts w:eastAsiaTheme="minorEastAsia"/>
                <w:lang w:val="en-GB" w:eastAsia="zh-CN" w:bidi="ar-SY"/>
              </w:rPr>
              <w:t>2018</w:t>
            </w:r>
            <w:r w:rsidRPr="00E62307">
              <w:rPr>
                <w:rFonts w:eastAsiaTheme="minorEastAsia" w:hint="cs"/>
                <w:rtl/>
                <w:lang w:eastAsia="zh-CN"/>
              </w:rPr>
              <w:t xml:space="preserve"> و</w:t>
            </w:r>
            <w:r w:rsidRPr="00E62307">
              <w:rPr>
                <w:rFonts w:eastAsiaTheme="minorEastAsia"/>
                <w:lang w:val="en-GB" w:eastAsia="zh-CN" w:bidi="ar-SY"/>
              </w:rPr>
              <w:t>2019</w:t>
            </w:r>
            <w:r w:rsidRPr="00E62307">
              <w:rPr>
                <w:rFonts w:eastAsiaTheme="minorEastAsia" w:hint="cs"/>
                <w:rtl/>
                <w:lang w:eastAsia="zh-CN"/>
              </w:rPr>
              <w:t xml:space="preserve"> و</w:t>
            </w:r>
            <w:r w:rsidRPr="00E62307">
              <w:rPr>
                <w:rFonts w:eastAsiaTheme="minorEastAsia"/>
                <w:lang w:val="en-GB" w:eastAsia="zh-CN" w:bidi="ar-SY"/>
              </w:rPr>
              <w:t>2020</w:t>
            </w:r>
            <w:r w:rsidRPr="00E62307">
              <w:rPr>
                <w:rFonts w:eastAsiaTheme="minorEastAsia" w:hint="cs"/>
                <w:rtl/>
                <w:lang w:eastAsia="zh-CN"/>
              </w:rPr>
              <w:t xml:space="preserve"> ومدتها</w:t>
            </w:r>
            <w:bookmarkEnd w:id="15"/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bookmarkStart w:id="16" w:name="lt_pId052"/>
            <w:r w:rsidRPr="00E62307">
              <w:rPr>
                <w:rFonts w:eastAsiaTheme="minorEastAsia"/>
                <w:lang w:eastAsia="zh-CN" w:bidi="ar-SY"/>
              </w:rPr>
              <w:t>4</w:t>
            </w:r>
            <w:bookmarkEnd w:id="16"/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bookmarkStart w:id="17" w:name="lt_pId053"/>
            <w:r w:rsidRPr="00E62307">
              <w:rPr>
                <w:rFonts w:eastAsiaTheme="minorEastAsia"/>
                <w:rtl/>
                <w:lang w:eastAsia="zh-CN" w:bidi="ar-SY"/>
              </w:rPr>
              <w:t xml:space="preserve">القرار </w:t>
            </w:r>
            <w:bookmarkEnd w:id="17"/>
            <w:r w:rsidRPr="00E62307">
              <w:rPr>
                <w:rFonts w:eastAsiaTheme="minorEastAsia"/>
                <w:lang w:eastAsia="zh-CN" w:bidi="ar-SY"/>
              </w:rPr>
              <w:t>1378</w:t>
            </w:r>
            <w:r w:rsidRPr="00B63B29">
              <w:rPr>
                <w:rStyle w:val="FootnoteReference"/>
                <w:rtl/>
                <w:lang w:eastAsia="zh-CN"/>
              </w:rPr>
              <w:footnoteReference w:id="3"/>
            </w:r>
          </w:p>
        </w:tc>
        <w:tc>
          <w:tcPr>
            <w:tcW w:w="6663" w:type="dxa"/>
            <w:shd w:val="clear" w:color="auto" w:fill="auto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rtl/>
                <w:lang w:eastAsia="zh-CN" w:bidi="ar-SY"/>
              </w:rPr>
            </w:pPr>
            <w:bookmarkStart w:id="18" w:name="_Toc423445999"/>
            <w:bookmarkStart w:id="19" w:name="_Toc458432675"/>
            <w:r w:rsidRPr="00E62307">
              <w:rPr>
                <w:rFonts w:eastAsiaTheme="minorEastAsia"/>
                <w:rtl/>
                <w:lang w:eastAsia="zh-CN" w:bidi="ar-SY"/>
              </w:rPr>
              <w:t>الخط</w:t>
            </w:r>
            <w:r w:rsidRPr="00E62307">
              <w:rPr>
                <w:rFonts w:eastAsiaTheme="minorEastAsia" w:hint="cs"/>
                <w:rtl/>
                <w:lang w:eastAsia="zh-CN" w:bidi="ar-SY"/>
              </w:rPr>
              <w:t>ط</w:t>
            </w:r>
            <w:r w:rsidRPr="00E62307">
              <w:rPr>
                <w:rFonts w:eastAsiaTheme="minorEastAsia"/>
                <w:rtl/>
                <w:lang w:eastAsia="zh-CN" w:bidi="ar-SY"/>
              </w:rPr>
              <w:t xml:space="preserve"> التشغيلية الرباعية المتجددة لقطاع </w:t>
            </w:r>
            <w:r w:rsidRPr="00E62307">
              <w:rPr>
                <w:rFonts w:eastAsiaTheme="minorEastAsia" w:hint="cs"/>
                <w:rtl/>
                <w:lang w:eastAsia="zh-CN" w:bidi="ar-SY"/>
              </w:rPr>
              <w:t xml:space="preserve">الاتصالات الراديوية وقطاع تقييس الاتصالات وقطاع </w:t>
            </w:r>
            <w:r w:rsidRPr="00E62307">
              <w:rPr>
                <w:rFonts w:eastAsiaTheme="minorEastAsia"/>
                <w:rtl/>
                <w:lang w:eastAsia="zh-CN" w:bidi="ar-SY"/>
              </w:rPr>
              <w:t>تنمية الاتصالات</w:t>
            </w:r>
            <w:r w:rsidRPr="00E62307">
              <w:rPr>
                <w:rFonts w:eastAsiaTheme="minorEastAsia" w:hint="cs"/>
                <w:rtl/>
                <w:lang w:eastAsia="zh-CN" w:bidi="ar-SY"/>
              </w:rPr>
              <w:t xml:space="preserve"> والأمانة العامة للفترة </w:t>
            </w:r>
            <w:r w:rsidRPr="00E62307">
              <w:rPr>
                <w:rFonts w:eastAsiaTheme="minorEastAsia"/>
                <w:lang w:val="fr-CH" w:eastAsia="zh-CN" w:bidi="ar-SY"/>
              </w:rPr>
              <w:t>2020-2017</w:t>
            </w:r>
            <w:bookmarkEnd w:id="18"/>
            <w:bookmarkEnd w:id="19"/>
          </w:p>
        </w:tc>
      </w:tr>
      <w:tr w:rsidR="00E62307" w:rsidRPr="00E62307" w:rsidTr="00D67973">
        <w:trPr>
          <w:jc w:val="center"/>
        </w:trPr>
        <w:tc>
          <w:tcPr>
            <w:tcW w:w="1115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lang w:eastAsia="zh-CN" w:bidi="ar-SY"/>
              </w:rPr>
            </w:pPr>
            <w:r w:rsidRPr="00E62307">
              <w:rPr>
                <w:rFonts w:eastAsiaTheme="minorEastAsia"/>
                <w:lang w:eastAsia="zh-CN" w:bidi="ar-SY"/>
              </w:rPr>
              <w:t>2.6</w:t>
            </w:r>
          </w:p>
        </w:tc>
        <w:tc>
          <w:tcPr>
            <w:tcW w:w="1720" w:type="dxa"/>
            <w:shd w:val="clear" w:color="auto" w:fill="FFFFFF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EastAsia"/>
                <w:rtl/>
                <w:lang w:eastAsia="zh-CN"/>
              </w:rPr>
            </w:pPr>
            <w:r w:rsidRPr="00E62307">
              <w:rPr>
                <w:rFonts w:eastAsiaTheme="minorEastAsia" w:hint="cs"/>
                <w:rtl/>
                <w:lang w:eastAsia="zh-CN" w:bidi="ar-SY"/>
              </w:rPr>
              <w:t>المقرر</w:t>
            </w:r>
            <w:r w:rsidRPr="00E62307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62307">
              <w:rPr>
                <w:rFonts w:eastAsiaTheme="minorEastAsia"/>
                <w:lang w:eastAsia="zh-CN" w:bidi="ar-SY"/>
              </w:rPr>
              <w:t>590</w:t>
            </w:r>
            <w:r w:rsidRPr="00B63B29">
              <w:rPr>
                <w:rStyle w:val="FootnoteReference"/>
                <w:rtl/>
                <w:lang w:eastAsia="zh-CN"/>
              </w:rPr>
              <w:footnoteReference w:id="4"/>
            </w:r>
          </w:p>
        </w:tc>
        <w:tc>
          <w:tcPr>
            <w:tcW w:w="6663" w:type="dxa"/>
            <w:shd w:val="clear" w:color="auto" w:fill="auto"/>
          </w:tcPr>
          <w:p w:rsidR="00E62307" w:rsidRPr="00E62307" w:rsidRDefault="00E62307" w:rsidP="00B63B2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rtl/>
                <w:lang w:eastAsia="zh-CN"/>
              </w:rPr>
            </w:pPr>
            <w:bookmarkStart w:id="20" w:name="_Toc490216840"/>
            <w:r w:rsidRPr="00E62307">
              <w:rPr>
                <w:rFonts w:eastAsiaTheme="minorEastAsia" w:hint="cs"/>
                <w:rtl/>
                <w:lang w:eastAsia="zh-CN"/>
              </w:rPr>
              <w:t>اتفاق تعاون بين الاتحاد الدولي للاتصالات والمنظمة الدولية للشرطة الجنائية</w:t>
            </w:r>
            <w:bookmarkEnd w:id="20"/>
          </w:p>
        </w:tc>
      </w:tr>
    </w:tbl>
    <w:p w:rsidR="000E4FF0" w:rsidRDefault="00E62307" w:rsidP="00E62307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07" w:rsidRDefault="00E62307" w:rsidP="00E07379">
      <w:pPr>
        <w:spacing w:before="0" w:line="240" w:lineRule="auto"/>
      </w:pPr>
      <w:r>
        <w:separator/>
      </w:r>
    </w:p>
  </w:endnote>
  <w:endnote w:type="continuationSeparator" w:id="0">
    <w:p w:rsidR="00E62307" w:rsidRDefault="00E6230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63F51" w:rsidRDefault="00C63F51" w:rsidP="00C63F51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63F51">
      <w:rPr>
        <w:lang w:val="fr-CH"/>
      </w:rPr>
      <w:instrText xml:space="preserve"> FILENAME \p \* MERGEFORMAT </w:instrText>
    </w:r>
    <w:r>
      <w:fldChar w:fldCharType="separate"/>
    </w:r>
    <w:r w:rsidRPr="00C63F51">
      <w:rPr>
        <w:noProof/>
        <w:lang w:val="fr-CH"/>
      </w:rPr>
      <w:t>P:\ARA\SG\CONSEIL\C18\000\003A.docx</w:t>
    </w:r>
    <w:r>
      <w:rPr>
        <w:noProof/>
      </w:rPr>
      <w:fldChar w:fldCharType="end"/>
    </w:r>
    <w:r w:rsidR="00BD0C50" w:rsidRPr="00C63F51">
      <w:rPr>
        <w:lang w:val="fr-CH"/>
      </w:rPr>
      <w:t xml:space="preserve">   (</w:t>
    </w:r>
    <w:r>
      <w:rPr>
        <w:lang w:val="fr-CH"/>
      </w:rPr>
      <w:t>425064</w:t>
    </w:r>
    <w:r w:rsidR="00BD0C50" w:rsidRPr="00C63F51">
      <w:rPr>
        <w:lang w:val="fr-CH"/>
      </w:rPr>
      <w:t>)</w:t>
    </w:r>
    <w:r w:rsidR="00BD0C50" w:rsidRPr="00C63F5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814E1">
      <w:rPr>
        <w:noProof/>
      </w:rPr>
      <w:t>19.12.17</w:t>
    </w:r>
    <w:r w:rsidR="00BD0C50" w:rsidRPr="00665956">
      <w:fldChar w:fldCharType="end"/>
    </w:r>
    <w:r w:rsidR="00BD0C50" w:rsidRPr="00C63F5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C63F51">
    <w:pPr>
      <w:pStyle w:val="Footer"/>
      <w:tabs>
        <w:tab w:val="center" w:pos="5529"/>
      </w:tabs>
      <w:spacing w:before="240"/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C63F51">
      <w:rPr>
        <w:rFonts w:cs="Calibri"/>
        <w:noProof/>
        <w:vanish/>
        <w:lang w:val="fr-FR"/>
      </w:rPr>
      <w:t>P:\ARA\SG\CONSEIL\C18\000\003A.docx</w:t>
    </w:r>
    <w:r w:rsidRPr="00C66157">
      <w:rPr>
        <w:rFonts w:cs="Calibri"/>
        <w:vanish/>
      </w:rPr>
      <w:fldChar w:fldCharType="end"/>
    </w:r>
    <w:r w:rsidRPr="00C63F51">
      <w:rPr>
        <w:rFonts w:cs="Calibri"/>
        <w:vanish/>
        <w:lang w:val="fr-CH"/>
      </w:rPr>
      <w:t xml:space="preserve">  </w:t>
    </w:r>
    <w:r w:rsidRPr="00C66157">
      <w:rPr>
        <w:rFonts w:cs="Calibri"/>
        <w:vanish/>
        <w:lang w:val="fr-FR"/>
      </w:rPr>
      <w:t xml:space="preserve"> (</w:t>
    </w:r>
    <w:r w:rsidR="00C63F51">
      <w:rPr>
        <w:rFonts w:cs="Calibri"/>
        <w:vanish/>
        <w:lang w:val="fr-FR"/>
      </w:rPr>
      <w:t>425064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4814E1">
      <w:rPr>
        <w:rFonts w:cs="Calibri"/>
        <w:noProof/>
        <w:vanish/>
        <w:lang w:val="fr-FR"/>
      </w:rPr>
      <w:t>19.12.17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C63F51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07" w:rsidRDefault="00E62307" w:rsidP="00E07379">
      <w:pPr>
        <w:spacing w:before="0" w:line="240" w:lineRule="auto"/>
      </w:pPr>
      <w:r>
        <w:separator/>
      </w:r>
    </w:p>
  </w:footnote>
  <w:footnote w:type="continuationSeparator" w:id="0">
    <w:p w:rsidR="00E62307" w:rsidRDefault="00E62307" w:rsidP="00E07379">
      <w:pPr>
        <w:spacing w:before="0" w:line="240" w:lineRule="auto"/>
      </w:pPr>
      <w:r>
        <w:continuationSeparator/>
      </w:r>
    </w:p>
  </w:footnote>
  <w:footnote w:id="1">
    <w:p w:rsidR="00B63B29" w:rsidRPr="00B63B29" w:rsidRDefault="00B63B29" w:rsidP="00B63B29">
      <w:pPr>
        <w:pStyle w:val="FootnoteText"/>
        <w:rPr>
          <w:rtl/>
        </w:rPr>
      </w:pPr>
      <w:r w:rsidRPr="00B63B29">
        <w:rPr>
          <w:rStyle w:val="FootnoteReference"/>
        </w:rPr>
        <w:footnoteRef/>
      </w:r>
      <w:r w:rsidRPr="00B63B29">
        <w:rPr>
          <w:rtl/>
        </w:rPr>
        <w:tab/>
      </w:r>
      <w:r w:rsidRPr="00B63B29">
        <w:rPr>
          <w:rFonts w:hint="cs"/>
          <w:i/>
          <w:iCs/>
          <w:rtl/>
        </w:rPr>
        <w:t>فور اعتماد قرار جديد.</w:t>
      </w:r>
    </w:p>
  </w:footnote>
  <w:footnote w:id="2">
    <w:p w:rsidR="00E62307" w:rsidRPr="00B63B29" w:rsidRDefault="00E62307" w:rsidP="00B63B29">
      <w:pPr>
        <w:pStyle w:val="FootnoteText"/>
      </w:pPr>
      <w:r w:rsidRPr="00B63B29">
        <w:rPr>
          <w:rStyle w:val="FootnoteReference"/>
        </w:rPr>
        <w:footnoteRef/>
      </w:r>
      <w:r w:rsidRPr="00B63B29">
        <w:rPr>
          <w:rtl/>
        </w:rPr>
        <w:tab/>
      </w:r>
      <w:r w:rsidRPr="00B63B29">
        <w:rPr>
          <w:rFonts w:hint="cs"/>
          <w:i/>
          <w:iCs/>
          <w:rtl/>
        </w:rPr>
        <w:t>فور اعتماد مقرر جديد.</w:t>
      </w:r>
    </w:p>
  </w:footnote>
  <w:footnote w:id="3">
    <w:p w:rsidR="00E62307" w:rsidRPr="00B63B29" w:rsidRDefault="00E62307" w:rsidP="00B63B29">
      <w:pPr>
        <w:pStyle w:val="FootnoteText"/>
        <w:rPr>
          <w:rtl/>
          <w:lang w:bidi="ar-SA"/>
        </w:rPr>
      </w:pPr>
      <w:r w:rsidRPr="00B63B29">
        <w:rPr>
          <w:rStyle w:val="FootnoteReference"/>
        </w:rPr>
        <w:footnoteRef/>
      </w:r>
      <w:r w:rsidRPr="00B63B29">
        <w:rPr>
          <w:rtl/>
        </w:rPr>
        <w:t xml:space="preserve"> </w:t>
      </w:r>
      <w:r w:rsidRPr="00B63B29">
        <w:rPr>
          <w:rtl/>
          <w:lang w:bidi="ar-SA"/>
        </w:rPr>
        <w:tab/>
      </w:r>
      <w:r w:rsidR="00B63B29" w:rsidRPr="00B63B29">
        <w:rPr>
          <w:rFonts w:hint="cs"/>
          <w:i/>
          <w:iCs/>
          <w:rtl/>
        </w:rPr>
        <w:t>يستعاض عنه بالقرار المعني بالخطط</w:t>
      </w:r>
      <w:r w:rsidRPr="00B63B29">
        <w:rPr>
          <w:rFonts w:hint="cs"/>
          <w:i/>
          <w:iCs/>
          <w:rtl/>
        </w:rPr>
        <w:t xml:space="preserve"> التشغيلية للفترة </w:t>
      </w:r>
      <w:r w:rsidRPr="00B63B29">
        <w:rPr>
          <w:i/>
          <w:iCs/>
        </w:rPr>
        <w:t>2021-2018</w:t>
      </w:r>
      <w:r w:rsidRPr="00B63B29">
        <w:rPr>
          <w:rFonts w:hint="cs"/>
          <w:i/>
          <w:iCs/>
          <w:rtl/>
          <w:lang w:bidi="ar-SA"/>
        </w:rPr>
        <w:t>.</w:t>
      </w:r>
    </w:p>
  </w:footnote>
  <w:footnote w:id="4">
    <w:p w:rsidR="00E62307" w:rsidRPr="00B63B29" w:rsidRDefault="00E62307" w:rsidP="00B63B29">
      <w:pPr>
        <w:pStyle w:val="FootnoteText"/>
        <w:rPr>
          <w:rtl/>
          <w:lang w:bidi="ar-SA"/>
        </w:rPr>
      </w:pPr>
      <w:r w:rsidRPr="00B63B29">
        <w:rPr>
          <w:rStyle w:val="FootnoteReference"/>
        </w:rPr>
        <w:footnoteRef/>
      </w:r>
      <w:r w:rsidRPr="00B63B29">
        <w:rPr>
          <w:rtl/>
        </w:rPr>
        <w:t xml:space="preserve"> </w:t>
      </w:r>
      <w:r w:rsidRPr="00B63B29">
        <w:rPr>
          <w:rtl/>
          <w:lang w:bidi="ar-SA"/>
        </w:rPr>
        <w:tab/>
      </w:r>
      <w:r w:rsidR="00B63B29" w:rsidRPr="00B63B29">
        <w:rPr>
          <w:rFonts w:hint="cs"/>
          <w:i/>
          <w:iCs/>
          <w:rtl/>
          <w:lang w:bidi="ar-SA"/>
        </w:rPr>
        <w:t xml:space="preserve">يستعاض </w:t>
      </w:r>
      <w:r w:rsidRPr="00B63B29">
        <w:rPr>
          <w:rFonts w:hint="cs"/>
          <w:i/>
          <w:iCs/>
          <w:rtl/>
          <w:lang w:bidi="ar-SA"/>
        </w:rPr>
        <w:t xml:space="preserve">عنه بالمقرر </w:t>
      </w:r>
      <w:r w:rsidRPr="00B63B29">
        <w:rPr>
          <w:i/>
          <w:iCs/>
          <w:lang w:bidi="ar-SA"/>
        </w:rPr>
        <w:t>598</w:t>
      </w:r>
      <w:r w:rsidRPr="00B63B29">
        <w:rPr>
          <w:rFonts w:hint="cs"/>
          <w:i/>
          <w:iCs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A63FF9" w:rsidP="00C63F51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A63FF9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9E2930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63F51"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0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686F"/>
    <w:rsid w:val="004367CE"/>
    <w:rsid w:val="00443869"/>
    <w:rsid w:val="004712C6"/>
    <w:rsid w:val="004814E1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E2930"/>
    <w:rsid w:val="009F1C12"/>
    <w:rsid w:val="00A124CB"/>
    <w:rsid w:val="00A2167A"/>
    <w:rsid w:val="00A25A43"/>
    <w:rsid w:val="00A3295B"/>
    <w:rsid w:val="00A42AE5"/>
    <w:rsid w:val="00A52B61"/>
    <w:rsid w:val="00A63FF9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3B29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3F51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257"/>
    <w:rsid w:val="00E62307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980174-F436-45CC-AC68-39E61DC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e10a323-94a9-4e93-88b4-ea964576960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E88A0B-2428-4AE4-8C4D-3CD5EB2C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and Decisions</dc:title>
  <dc:subject>World Telecommunication Standardization Assembly</dc:subject>
  <dc:creator>Imad RIZ</dc:creator>
  <cp:keywords>C2018, C18</cp:keywords>
  <dc:description/>
  <cp:lastModifiedBy>Janin</cp:lastModifiedBy>
  <cp:revision>3</cp:revision>
  <cp:lastPrinted>2016-06-07T13:25:00Z</cp:lastPrinted>
  <dcterms:created xsi:type="dcterms:W3CDTF">2018-01-31T12:56:00Z</dcterms:created>
  <dcterms:modified xsi:type="dcterms:W3CDTF">2018-01-31T12:57:00Z</dcterms:modified>
  <cp:category>Conference document</cp:category>
</cp:coreProperties>
</file>