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490" w:type="dxa"/>
        <w:tblLayout w:type="fixed"/>
        <w:tblLook w:val="0000" w:firstRow="0" w:lastRow="0" w:firstColumn="0" w:lastColumn="0" w:noHBand="0" w:noVBand="0"/>
      </w:tblPr>
      <w:tblGrid>
        <w:gridCol w:w="6629"/>
        <w:gridCol w:w="3861"/>
      </w:tblGrid>
      <w:tr w:rsidR="00CE0C9F" w:rsidRPr="00764C43" w14:paraId="19126186" w14:textId="77777777" w:rsidTr="00824F12">
        <w:trPr>
          <w:cantSplit/>
        </w:trPr>
        <w:tc>
          <w:tcPr>
            <w:tcW w:w="6629" w:type="dxa"/>
          </w:tcPr>
          <w:p w14:paraId="392D34A5" w14:textId="77777777" w:rsidR="00CE0C9F" w:rsidRPr="00E544AC" w:rsidRDefault="00CE0C9F" w:rsidP="000F5A05">
            <w:pPr>
              <w:spacing w:before="0"/>
              <w:rPr>
                <w:rFonts w:asciiTheme="minorHAnsi" w:hAnsiTheme="minorHAnsi"/>
                <w:b/>
                <w:position w:val="6"/>
                <w:sz w:val="26"/>
                <w:szCs w:val="26"/>
              </w:rPr>
            </w:pPr>
            <w:bookmarkStart w:id="0" w:name="dc06"/>
            <w:bookmarkEnd w:id="0"/>
            <w:r w:rsidRPr="000478D5">
              <w:rPr>
                <w:rFonts w:asciiTheme="minorHAnsi" w:hAnsiTheme="minorHAnsi"/>
                <w:b/>
                <w:position w:val="6"/>
                <w:sz w:val="26"/>
                <w:szCs w:val="26"/>
                <w:lang w:val="en-US"/>
              </w:rPr>
              <w:t>COUNCIL WORKING GROUP ON THE USE OF</w:t>
            </w:r>
            <w:r w:rsidRPr="000478D5">
              <w:rPr>
                <w:rFonts w:asciiTheme="minorHAnsi" w:hAnsiTheme="minorHAnsi"/>
                <w:b/>
                <w:position w:val="6"/>
                <w:sz w:val="26"/>
                <w:szCs w:val="26"/>
                <w:lang w:val="en-US"/>
              </w:rPr>
              <w:br/>
              <w:t>THE SIX OFFICIAL LANGUAGES OF THE UNION (RES. 1238)</w:t>
            </w:r>
            <w:r w:rsidRPr="000478D5">
              <w:rPr>
                <w:rFonts w:asciiTheme="minorHAnsi" w:hAnsiTheme="minorHAnsi"/>
                <w:b/>
                <w:position w:val="6"/>
                <w:sz w:val="26"/>
                <w:szCs w:val="26"/>
                <w:lang w:val="en-US"/>
              </w:rPr>
              <w:br/>
            </w:r>
            <w:r w:rsidR="000F5A05">
              <w:rPr>
                <w:rFonts w:asciiTheme="minorHAnsi" w:hAnsiTheme="minorHAnsi" w:cs="Times New Roman Bold"/>
                <w:bCs/>
                <w:szCs w:val="24"/>
                <w:lang w:val="en-US"/>
              </w:rPr>
              <w:t>7</w:t>
            </w:r>
            <w:proofErr w:type="spellStart"/>
            <w:r w:rsidRPr="000478D5">
              <w:rPr>
                <w:rFonts w:asciiTheme="minorHAnsi" w:hAnsiTheme="minorHAnsi" w:cs="Times New Roman Bold"/>
                <w:bCs/>
                <w:szCs w:val="24"/>
                <w:vertAlign w:val="superscript"/>
              </w:rPr>
              <w:t>th</w:t>
            </w:r>
            <w:proofErr w:type="spellEnd"/>
            <w:r w:rsidRPr="000478D5">
              <w:rPr>
                <w:rFonts w:asciiTheme="minorHAnsi" w:hAnsiTheme="minorHAnsi" w:cs="Times New Roman Bold"/>
                <w:bCs/>
                <w:szCs w:val="24"/>
              </w:rPr>
              <w:t xml:space="preserve"> meeting, Geneva, </w:t>
            </w:r>
            <w:r w:rsidR="000F5A05">
              <w:rPr>
                <w:rFonts w:asciiTheme="minorHAnsi" w:hAnsiTheme="minorHAnsi" w:cs="Times New Roman Bold"/>
                <w:bCs/>
                <w:szCs w:val="24"/>
              </w:rPr>
              <w:t>1</w:t>
            </w:r>
            <w:r>
              <w:rPr>
                <w:rFonts w:asciiTheme="minorHAnsi" w:hAnsiTheme="minorHAnsi" w:cs="Times New Roman Bold"/>
                <w:bCs/>
                <w:szCs w:val="24"/>
              </w:rPr>
              <w:t xml:space="preserve"> February</w:t>
            </w:r>
            <w:r w:rsidRPr="000478D5">
              <w:rPr>
                <w:rFonts w:asciiTheme="minorHAnsi" w:hAnsiTheme="minorHAnsi" w:cs="Times New Roman Bold"/>
                <w:bCs/>
                <w:szCs w:val="24"/>
              </w:rPr>
              <w:t xml:space="preserve"> 201</w:t>
            </w:r>
            <w:r w:rsidR="000F5A05">
              <w:rPr>
                <w:rFonts w:asciiTheme="minorHAnsi" w:hAnsiTheme="minorHAnsi" w:cs="Times New Roman Bold"/>
                <w:bCs/>
                <w:szCs w:val="24"/>
              </w:rPr>
              <w:t>7</w:t>
            </w:r>
          </w:p>
        </w:tc>
        <w:tc>
          <w:tcPr>
            <w:tcW w:w="3861" w:type="dxa"/>
          </w:tcPr>
          <w:p w14:paraId="16496773" w14:textId="77777777" w:rsidR="00CE0C9F" w:rsidRPr="000A0692" w:rsidRDefault="00CE0C9F" w:rsidP="00CE0C9F">
            <w:pPr>
              <w:spacing w:before="0" w:line="240" w:lineRule="atLeast"/>
            </w:pPr>
            <w:bookmarkStart w:id="1" w:name="ditulogo"/>
            <w:bookmarkEnd w:id="1"/>
            <w:r w:rsidRPr="003E757E">
              <w:rPr>
                <w:rFonts w:eastAsia="SimSun" w:cs="Calibri"/>
                <w:noProof/>
                <w:szCs w:val="24"/>
                <w:lang w:val="en-US" w:eastAsia="zh-CN"/>
              </w:rPr>
              <w:drawing>
                <wp:inline distT="0" distB="0" distL="0" distR="0" wp14:anchorId="4DD6238D" wp14:editId="2B1EA6AD">
                  <wp:extent cx="1760220" cy="746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CE0C9F" w:rsidRPr="00764C43" w14:paraId="59892AB0" w14:textId="77777777" w:rsidTr="00824F12">
        <w:trPr>
          <w:cantSplit/>
        </w:trPr>
        <w:tc>
          <w:tcPr>
            <w:tcW w:w="6629" w:type="dxa"/>
            <w:tcBorders>
              <w:bottom w:val="single" w:sz="12" w:space="0" w:color="auto"/>
            </w:tcBorders>
          </w:tcPr>
          <w:p w14:paraId="713414BD" w14:textId="77777777" w:rsidR="00CE0C9F" w:rsidRPr="00E544AC" w:rsidRDefault="00CE0C9F" w:rsidP="00CE0C9F">
            <w:pPr>
              <w:spacing w:before="0" w:line="240" w:lineRule="atLeast"/>
              <w:rPr>
                <w:rFonts w:asciiTheme="minorHAnsi" w:hAnsiTheme="minorHAnsi"/>
                <w:b/>
                <w:smallCaps/>
                <w:szCs w:val="24"/>
              </w:rPr>
            </w:pPr>
            <w:r w:rsidRPr="0020628E">
              <w:rPr>
                <w:rFonts w:asciiTheme="minorHAnsi" w:hAnsiTheme="minorHAnsi" w:cs="Times New Roman Bold"/>
                <w:bCs/>
                <w:szCs w:val="24"/>
              </w:rPr>
              <w:t>INTERNATIONAL TELECOMMUNICATION UNION</w:t>
            </w:r>
          </w:p>
        </w:tc>
        <w:tc>
          <w:tcPr>
            <w:tcW w:w="3861" w:type="dxa"/>
            <w:tcBorders>
              <w:bottom w:val="single" w:sz="12" w:space="0" w:color="auto"/>
            </w:tcBorders>
          </w:tcPr>
          <w:p w14:paraId="760C864D" w14:textId="77777777" w:rsidR="00CE0C9F" w:rsidRPr="00617BE4" w:rsidRDefault="00CE0C9F" w:rsidP="00CE0C9F">
            <w:pPr>
              <w:spacing w:before="0" w:line="240" w:lineRule="atLeast"/>
              <w:rPr>
                <w:rFonts w:ascii="Verdana" w:hAnsi="Verdana"/>
                <w:szCs w:val="24"/>
              </w:rPr>
            </w:pPr>
          </w:p>
        </w:tc>
      </w:tr>
      <w:tr w:rsidR="00CE0C9F" w:rsidRPr="00764C43" w14:paraId="4F738205" w14:textId="77777777" w:rsidTr="00824F12">
        <w:trPr>
          <w:cantSplit/>
        </w:trPr>
        <w:tc>
          <w:tcPr>
            <w:tcW w:w="6629" w:type="dxa"/>
            <w:tcBorders>
              <w:top w:val="single" w:sz="12" w:space="0" w:color="auto"/>
            </w:tcBorders>
          </w:tcPr>
          <w:p w14:paraId="7E377F5F" w14:textId="77777777" w:rsidR="00CE0C9F" w:rsidRPr="00617BE4" w:rsidRDefault="00CE0C9F" w:rsidP="00CE0C9F">
            <w:pPr>
              <w:spacing w:before="0" w:line="240" w:lineRule="atLeast"/>
              <w:rPr>
                <w:b/>
                <w:smallCaps/>
                <w:szCs w:val="24"/>
              </w:rPr>
            </w:pPr>
          </w:p>
        </w:tc>
        <w:tc>
          <w:tcPr>
            <w:tcW w:w="3861" w:type="dxa"/>
            <w:tcBorders>
              <w:top w:val="single" w:sz="12" w:space="0" w:color="auto"/>
            </w:tcBorders>
          </w:tcPr>
          <w:p w14:paraId="321E4CC2" w14:textId="77777777" w:rsidR="00CE0C9F" w:rsidRPr="00617BE4" w:rsidRDefault="00CE0C9F" w:rsidP="00CE0C9F">
            <w:pPr>
              <w:spacing w:before="0" w:line="240" w:lineRule="atLeast"/>
              <w:rPr>
                <w:rFonts w:ascii="Verdana" w:hAnsi="Verdana"/>
                <w:szCs w:val="24"/>
              </w:rPr>
            </w:pPr>
          </w:p>
        </w:tc>
      </w:tr>
      <w:tr w:rsidR="00CE0C9F" w:rsidRPr="000726CF" w14:paraId="37A6DC27" w14:textId="77777777" w:rsidTr="00824F12">
        <w:trPr>
          <w:cantSplit/>
          <w:trHeight w:val="23"/>
        </w:trPr>
        <w:tc>
          <w:tcPr>
            <w:tcW w:w="6629" w:type="dxa"/>
            <w:vMerge w:val="restart"/>
          </w:tcPr>
          <w:p w14:paraId="1D4FE7F7" w14:textId="763FF5E8" w:rsidR="00CE0C9F" w:rsidRPr="000478D5" w:rsidRDefault="00CE0C9F" w:rsidP="00CE0C9F">
            <w:pPr>
              <w:tabs>
                <w:tab w:val="left" w:pos="851"/>
              </w:tabs>
              <w:spacing w:before="0" w:line="240" w:lineRule="atLeast"/>
              <w:rPr>
                <w:rFonts w:asciiTheme="minorHAnsi" w:hAnsiTheme="minorHAnsi"/>
                <w:b/>
                <w:szCs w:val="24"/>
              </w:rPr>
            </w:pPr>
            <w:bookmarkStart w:id="2" w:name="dmeeting" w:colFirst="0" w:colLast="0"/>
            <w:bookmarkStart w:id="3" w:name="dnum" w:colFirst="1" w:colLast="1"/>
          </w:p>
        </w:tc>
        <w:tc>
          <w:tcPr>
            <w:tcW w:w="3861" w:type="dxa"/>
          </w:tcPr>
          <w:p w14:paraId="1D82A2A9" w14:textId="1CAF35C2" w:rsidR="00CE0C9F" w:rsidRPr="000478D5" w:rsidRDefault="00CE0C9F" w:rsidP="000F5A05">
            <w:pPr>
              <w:tabs>
                <w:tab w:val="left" w:pos="851"/>
              </w:tabs>
              <w:spacing w:before="0" w:line="240" w:lineRule="atLeast"/>
              <w:rPr>
                <w:rFonts w:asciiTheme="minorHAnsi" w:hAnsiTheme="minorHAnsi"/>
                <w:b/>
                <w:szCs w:val="24"/>
                <w:lang w:val="de-CH"/>
              </w:rPr>
            </w:pPr>
            <w:r w:rsidRPr="000478D5">
              <w:rPr>
                <w:rFonts w:asciiTheme="minorHAnsi" w:hAnsiTheme="minorHAnsi"/>
                <w:b/>
                <w:szCs w:val="24"/>
                <w:lang w:val="de-CH"/>
              </w:rPr>
              <w:t>Document CWG-LANG/</w:t>
            </w:r>
            <w:r w:rsidR="000F5A05">
              <w:rPr>
                <w:rFonts w:asciiTheme="minorHAnsi" w:hAnsiTheme="minorHAnsi"/>
                <w:b/>
                <w:szCs w:val="24"/>
                <w:lang w:val="de-CH"/>
              </w:rPr>
              <w:t>7</w:t>
            </w:r>
            <w:r>
              <w:rPr>
                <w:rFonts w:asciiTheme="minorHAnsi" w:hAnsiTheme="minorHAnsi"/>
                <w:b/>
                <w:szCs w:val="24"/>
                <w:lang w:val="de-CH"/>
              </w:rPr>
              <w:t>/</w:t>
            </w:r>
            <w:r w:rsidR="008B0EB9">
              <w:rPr>
                <w:rFonts w:asciiTheme="minorHAnsi" w:hAnsiTheme="minorHAnsi"/>
                <w:b/>
                <w:szCs w:val="24"/>
                <w:lang w:val="de-CH"/>
              </w:rPr>
              <w:t>2</w:t>
            </w:r>
            <w:r w:rsidRPr="000478D5">
              <w:rPr>
                <w:rFonts w:asciiTheme="minorHAnsi" w:hAnsiTheme="minorHAnsi"/>
                <w:b/>
                <w:szCs w:val="24"/>
                <w:lang w:val="de-CH"/>
              </w:rPr>
              <w:t>-E</w:t>
            </w:r>
          </w:p>
        </w:tc>
      </w:tr>
      <w:tr w:rsidR="00CE0C9F" w:rsidRPr="00764C43" w14:paraId="48231B2E" w14:textId="77777777" w:rsidTr="00824F12">
        <w:trPr>
          <w:cantSplit/>
          <w:trHeight w:val="23"/>
        </w:trPr>
        <w:tc>
          <w:tcPr>
            <w:tcW w:w="6629" w:type="dxa"/>
            <w:vMerge/>
          </w:tcPr>
          <w:p w14:paraId="175884D5" w14:textId="77777777" w:rsidR="00CE0C9F" w:rsidRPr="00764C43" w:rsidRDefault="00CE0C9F" w:rsidP="00CE0C9F">
            <w:pPr>
              <w:tabs>
                <w:tab w:val="left" w:pos="851"/>
              </w:tabs>
              <w:spacing w:line="240" w:lineRule="atLeast"/>
              <w:rPr>
                <w:rFonts w:asciiTheme="minorHAnsi" w:hAnsiTheme="minorHAnsi"/>
                <w:b/>
                <w:szCs w:val="24"/>
                <w:lang w:val="de-CH"/>
              </w:rPr>
            </w:pPr>
            <w:bookmarkStart w:id="4" w:name="ddate" w:colFirst="1" w:colLast="1"/>
            <w:bookmarkEnd w:id="2"/>
            <w:bookmarkEnd w:id="3"/>
          </w:p>
        </w:tc>
        <w:tc>
          <w:tcPr>
            <w:tcW w:w="3861" w:type="dxa"/>
          </w:tcPr>
          <w:p w14:paraId="39ECAFDA" w14:textId="4FE6D0D5" w:rsidR="00CE0C9F" w:rsidRPr="00CE0C9F" w:rsidRDefault="000726CF" w:rsidP="009030F6">
            <w:pPr>
              <w:tabs>
                <w:tab w:val="left" w:pos="993"/>
              </w:tabs>
              <w:spacing w:before="0"/>
              <w:rPr>
                <w:rFonts w:asciiTheme="minorHAnsi" w:hAnsiTheme="minorHAnsi"/>
                <w:b/>
                <w:szCs w:val="24"/>
              </w:rPr>
            </w:pPr>
            <w:r>
              <w:rPr>
                <w:rFonts w:asciiTheme="minorHAnsi" w:hAnsiTheme="minorHAnsi"/>
                <w:b/>
                <w:szCs w:val="24"/>
              </w:rPr>
              <w:t>14</w:t>
            </w:r>
            <w:r w:rsidR="00CE0C9F">
              <w:rPr>
                <w:rFonts w:asciiTheme="minorHAnsi" w:hAnsiTheme="minorHAnsi"/>
                <w:b/>
                <w:szCs w:val="24"/>
              </w:rPr>
              <w:t xml:space="preserve"> </w:t>
            </w:r>
            <w:r w:rsidR="009030F6">
              <w:rPr>
                <w:rFonts w:asciiTheme="minorHAnsi" w:hAnsiTheme="minorHAnsi"/>
                <w:b/>
                <w:szCs w:val="24"/>
              </w:rPr>
              <w:t>December</w:t>
            </w:r>
            <w:r w:rsidR="00CE0C9F">
              <w:rPr>
                <w:rFonts w:asciiTheme="minorHAnsi" w:hAnsiTheme="minorHAnsi"/>
                <w:b/>
                <w:szCs w:val="24"/>
              </w:rPr>
              <w:t xml:space="preserve"> </w:t>
            </w:r>
            <w:r w:rsidR="00CE0C9F" w:rsidRPr="000478D5">
              <w:rPr>
                <w:rFonts w:asciiTheme="minorHAnsi" w:hAnsiTheme="minorHAnsi"/>
                <w:b/>
                <w:szCs w:val="24"/>
              </w:rPr>
              <w:t>201</w:t>
            </w:r>
            <w:r w:rsidR="00CE0C9F">
              <w:rPr>
                <w:rFonts w:asciiTheme="minorHAnsi" w:hAnsiTheme="minorHAnsi"/>
                <w:b/>
                <w:szCs w:val="24"/>
              </w:rPr>
              <w:t>6</w:t>
            </w:r>
          </w:p>
        </w:tc>
      </w:tr>
      <w:tr w:rsidR="00CE0C9F" w:rsidRPr="00764C43" w14:paraId="6F93E44A" w14:textId="77777777" w:rsidTr="00824F12">
        <w:trPr>
          <w:cantSplit/>
          <w:trHeight w:val="80"/>
        </w:trPr>
        <w:tc>
          <w:tcPr>
            <w:tcW w:w="6629" w:type="dxa"/>
            <w:vMerge/>
          </w:tcPr>
          <w:p w14:paraId="05D69D83" w14:textId="77777777" w:rsidR="00CE0C9F" w:rsidRPr="00764C43" w:rsidRDefault="00CE0C9F" w:rsidP="00CE0C9F">
            <w:pPr>
              <w:tabs>
                <w:tab w:val="left" w:pos="851"/>
              </w:tabs>
              <w:spacing w:line="240" w:lineRule="atLeast"/>
              <w:rPr>
                <w:rFonts w:asciiTheme="minorHAnsi" w:hAnsiTheme="minorHAnsi"/>
                <w:b/>
                <w:szCs w:val="24"/>
              </w:rPr>
            </w:pPr>
            <w:bookmarkStart w:id="5" w:name="dorlang" w:colFirst="1" w:colLast="1"/>
            <w:bookmarkEnd w:id="4"/>
          </w:p>
        </w:tc>
        <w:tc>
          <w:tcPr>
            <w:tcW w:w="3861" w:type="dxa"/>
          </w:tcPr>
          <w:p w14:paraId="1565705A" w14:textId="77777777" w:rsidR="00CE0C9F" w:rsidRPr="00764C43" w:rsidRDefault="00CE0C9F" w:rsidP="00CE0C9F">
            <w:pPr>
              <w:tabs>
                <w:tab w:val="left" w:pos="993"/>
              </w:tabs>
              <w:spacing w:before="0"/>
              <w:rPr>
                <w:rFonts w:asciiTheme="minorHAnsi" w:hAnsiTheme="minorHAnsi"/>
                <w:b/>
                <w:szCs w:val="24"/>
              </w:rPr>
            </w:pPr>
            <w:r w:rsidRPr="000478D5">
              <w:rPr>
                <w:rFonts w:asciiTheme="minorHAnsi" w:hAnsiTheme="minorHAnsi"/>
                <w:b/>
                <w:szCs w:val="24"/>
              </w:rPr>
              <w:t>English only</w:t>
            </w:r>
          </w:p>
        </w:tc>
      </w:tr>
    </w:tbl>
    <w:bookmarkEnd w:id="5"/>
    <w:p w14:paraId="17A9E28C" w14:textId="49C9F11C" w:rsidR="007F0840" w:rsidRPr="006016CC" w:rsidRDefault="00224D2B" w:rsidP="008B0EB9">
      <w:pPr>
        <w:spacing w:before="840"/>
        <w:jc w:val="center"/>
        <w:rPr>
          <w:rFonts w:asciiTheme="minorHAnsi" w:hAnsiTheme="minorHAnsi"/>
          <w:b/>
          <w:sz w:val="28"/>
          <w:szCs w:val="28"/>
        </w:rPr>
      </w:pPr>
      <w:r w:rsidRPr="006016CC">
        <w:rPr>
          <w:rFonts w:asciiTheme="minorHAnsi" w:hAnsiTheme="minorHAnsi"/>
          <w:b/>
          <w:sz w:val="28"/>
          <w:szCs w:val="28"/>
        </w:rPr>
        <w:t>Report by the Secretary-General</w:t>
      </w:r>
    </w:p>
    <w:p w14:paraId="6B64CB7B" w14:textId="77777777" w:rsidR="00224D2B" w:rsidRPr="006016CC" w:rsidRDefault="00ED4F5F" w:rsidP="003216FF">
      <w:pPr>
        <w:spacing w:before="240"/>
        <w:jc w:val="center"/>
        <w:rPr>
          <w:rFonts w:asciiTheme="minorHAnsi" w:hAnsiTheme="minorHAnsi"/>
          <w:sz w:val="28"/>
          <w:szCs w:val="28"/>
        </w:rPr>
      </w:pPr>
      <w:r w:rsidRPr="006016CC">
        <w:rPr>
          <w:rFonts w:asciiTheme="minorHAnsi" w:hAnsiTheme="minorHAnsi"/>
          <w:bCs/>
          <w:sz w:val="28"/>
          <w:szCs w:val="28"/>
        </w:rPr>
        <w:t xml:space="preserve">PURSUANT TO </w:t>
      </w:r>
      <w:r w:rsidR="00224D2B" w:rsidRPr="006016CC">
        <w:rPr>
          <w:rFonts w:asciiTheme="minorHAnsi" w:hAnsiTheme="minorHAnsi"/>
          <w:bCs/>
          <w:sz w:val="28"/>
          <w:szCs w:val="28"/>
        </w:rPr>
        <w:t>RESOLUTION 154 (REV. BUSAN, 2014</w:t>
      </w:r>
      <w:proofErr w:type="gramStart"/>
      <w:r w:rsidR="00224D2B" w:rsidRPr="006016CC">
        <w:rPr>
          <w:rFonts w:asciiTheme="minorHAnsi" w:hAnsiTheme="minorHAnsi"/>
          <w:bCs/>
          <w:sz w:val="28"/>
          <w:szCs w:val="28"/>
        </w:rPr>
        <w:t>)</w:t>
      </w:r>
      <w:proofErr w:type="gramEnd"/>
      <w:r w:rsidR="00CC1EB2" w:rsidRPr="006016CC">
        <w:rPr>
          <w:rFonts w:asciiTheme="minorHAnsi" w:hAnsiTheme="minorHAnsi"/>
          <w:bCs/>
          <w:sz w:val="28"/>
          <w:szCs w:val="28"/>
        </w:rPr>
        <w:br/>
      </w:r>
      <w:r w:rsidR="00CE0C9F" w:rsidRPr="006016CC">
        <w:rPr>
          <w:rFonts w:asciiTheme="minorHAnsi" w:hAnsiTheme="minorHAnsi"/>
          <w:bCs/>
          <w:sz w:val="28"/>
          <w:szCs w:val="28"/>
        </w:rPr>
        <w:t xml:space="preserve">AND </w:t>
      </w:r>
      <w:r w:rsidRPr="006016CC">
        <w:rPr>
          <w:rFonts w:asciiTheme="minorHAnsi" w:hAnsiTheme="minorHAnsi"/>
          <w:bCs/>
          <w:sz w:val="28"/>
          <w:szCs w:val="28"/>
        </w:rPr>
        <w:t>RESOLUTION 1372</w:t>
      </w:r>
    </w:p>
    <w:p w14:paraId="14DF177C" w14:textId="77777777" w:rsidR="00421A21" w:rsidRPr="006016CC" w:rsidRDefault="00C14446" w:rsidP="008B0EB9">
      <w:pPr>
        <w:spacing w:before="240"/>
        <w:jc w:val="both"/>
        <w:rPr>
          <w:rFonts w:asciiTheme="minorHAnsi" w:hAnsiTheme="minorHAnsi"/>
          <w:szCs w:val="24"/>
          <w:lang w:val="en-US"/>
        </w:rPr>
      </w:pPr>
      <w:r w:rsidRPr="006016CC">
        <w:rPr>
          <w:rFonts w:asciiTheme="minorHAnsi" w:hAnsiTheme="minorHAnsi"/>
          <w:spacing w:val="-2"/>
          <w:szCs w:val="24"/>
          <w:lang w:val="en-US"/>
        </w:rPr>
        <w:t>The present report, submitted by the Secretary-General through the good offices of the</w:t>
      </w:r>
      <w:r w:rsidRPr="006016CC">
        <w:rPr>
          <w:rFonts w:asciiTheme="minorHAnsi" w:hAnsiTheme="minorHAnsi"/>
          <w:spacing w:val="4"/>
          <w:szCs w:val="24"/>
          <w:lang w:val="en-US"/>
        </w:rPr>
        <w:t xml:space="preserve"> CWG-LANG, aims at updating the ITU Council on the implementation of Resolution 154 (Rev. Busan, 2014)</w:t>
      </w:r>
      <w:r w:rsidR="00CA0003" w:rsidRPr="006016CC">
        <w:rPr>
          <w:rFonts w:asciiTheme="minorHAnsi" w:hAnsiTheme="minorHAnsi"/>
          <w:spacing w:val="4"/>
          <w:szCs w:val="24"/>
          <w:lang w:val="en-US"/>
        </w:rPr>
        <w:t xml:space="preserve"> </w:t>
      </w:r>
      <w:r w:rsidR="005314DE" w:rsidRPr="006016CC">
        <w:rPr>
          <w:rFonts w:asciiTheme="minorHAnsi" w:hAnsiTheme="minorHAnsi"/>
          <w:spacing w:val="4"/>
          <w:szCs w:val="24"/>
          <w:lang w:val="en-US"/>
        </w:rPr>
        <w:t>regarding the use of ITU’s six official languages on an equal footing</w:t>
      </w:r>
      <w:r w:rsidR="00754CD7" w:rsidRPr="006016CC">
        <w:rPr>
          <w:rFonts w:asciiTheme="minorHAnsi" w:hAnsiTheme="minorHAnsi"/>
          <w:spacing w:val="4"/>
          <w:szCs w:val="24"/>
          <w:lang w:val="en-US"/>
        </w:rPr>
        <w:t xml:space="preserve"> </w:t>
      </w:r>
      <w:r w:rsidR="005314DE" w:rsidRPr="006016CC">
        <w:rPr>
          <w:rFonts w:asciiTheme="minorHAnsi" w:hAnsiTheme="minorHAnsi"/>
          <w:szCs w:val="24"/>
          <w:lang w:val="en-US"/>
        </w:rPr>
        <w:t xml:space="preserve">and adheres, further, to provisions in </w:t>
      </w:r>
      <w:r w:rsidR="003160B2" w:rsidRPr="006016CC">
        <w:rPr>
          <w:rFonts w:asciiTheme="minorHAnsi" w:hAnsiTheme="minorHAnsi"/>
          <w:szCs w:val="24"/>
          <w:lang w:val="en-US"/>
        </w:rPr>
        <w:t xml:space="preserve">Council </w:t>
      </w:r>
      <w:r w:rsidR="005314DE" w:rsidRPr="006016CC">
        <w:rPr>
          <w:rFonts w:asciiTheme="minorHAnsi" w:hAnsiTheme="minorHAnsi"/>
          <w:szCs w:val="24"/>
          <w:lang w:val="en-US"/>
        </w:rPr>
        <w:t>Resolution 1372</w:t>
      </w:r>
      <w:r w:rsidR="00992CA8" w:rsidRPr="006016CC">
        <w:rPr>
          <w:rFonts w:asciiTheme="minorHAnsi" w:hAnsiTheme="minorHAnsi"/>
          <w:szCs w:val="24"/>
          <w:lang w:val="en-US"/>
        </w:rPr>
        <w:t>, as revised in 2016</w:t>
      </w:r>
      <w:r w:rsidR="005314DE" w:rsidRPr="006016CC">
        <w:rPr>
          <w:rFonts w:asciiTheme="minorHAnsi" w:hAnsiTheme="minorHAnsi"/>
          <w:szCs w:val="24"/>
          <w:lang w:val="en-US"/>
        </w:rPr>
        <w:t>.</w:t>
      </w:r>
    </w:p>
    <w:p w14:paraId="4D94B5CE" w14:textId="77777777" w:rsidR="005314DE" w:rsidRPr="006016CC" w:rsidRDefault="005314DE" w:rsidP="005314DE">
      <w:pPr>
        <w:rPr>
          <w:rFonts w:asciiTheme="minorHAnsi" w:hAnsiTheme="minorHAnsi"/>
          <w:szCs w:val="24"/>
        </w:rPr>
      </w:pPr>
      <w:r w:rsidRPr="006016CC">
        <w:rPr>
          <w:rFonts w:asciiTheme="minorHAnsi" w:hAnsiTheme="minorHAnsi"/>
          <w:szCs w:val="24"/>
          <w:lang w:val="en-US"/>
        </w:rPr>
        <w:t>The Secretariat is pleased to note that steady progress continues to be made on all fronts leading to full, equitable use of ITU’s six official languages, as evidenced below:</w:t>
      </w:r>
    </w:p>
    <w:p w14:paraId="3659CC68" w14:textId="68F2EBB5" w:rsidR="008B4F08" w:rsidRPr="008B0EB9" w:rsidRDefault="000431D8" w:rsidP="008B0EB9">
      <w:pPr>
        <w:pStyle w:val="ListParagraph"/>
        <w:numPr>
          <w:ilvl w:val="0"/>
          <w:numId w:val="1"/>
        </w:numPr>
        <w:snapToGrid w:val="0"/>
        <w:spacing w:before="360" w:after="240"/>
        <w:ind w:left="357" w:hanging="357"/>
        <w:contextualSpacing w:val="0"/>
        <w:rPr>
          <w:rFonts w:asciiTheme="minorHAnsi" w:hAnsiTheme="minorHAnsi"/>
          <w:b/>
          <w:bCs/>
          <w:szCs w:val="24"/>
        </w:rPr>
      </w:pPr>
      <w:r w:rsidRPr="008B0EB9">
        <w:rPr>
          <w:rFonts w:asciiTheme="minorHAnsi" w:hAnsiTheme="minorHAnsi"/>
          <w:b/>
          <w:bCs/>
          <w:i/>
          <w:iCs/>
          <w:szCs w:val="24"/>
          <w:lang w:val="en-US"/>
        </w:rPr>
        <w:t>Evolution</w:t>
      </w:r>
      <w:r w:rsidR="00421A21" w:rsidRPr="008B0EB9">
        <w:rPr>
          <w:rFonts w:asciiTheme="minorHAnsi" w:hAnsiTheme="minorHAnsi"/>
          <w:b/>
          <w:bCs/>
          <w:i/>
          <w:iCs/>
          <w:szCs w:val="24"/>
          <w:lang w:val="en-US"/>
        </w:rPr>
        <w:t xml:space="preserve"> of the budget for translation of documents to the six official languages of the Union since 2010</w:t>
      </w:r>
      <w:r w:rsidR="009030F6" w:rsidRPr="008B0EB9">
        <w:rPr>
          <w:rFonts w:asciiTheme="minorHAnsi" w:hAnsiTheme="minorHAnsi"/>
          <w:b/>
          <w:bCs/>
          <w:i/>
          <w:iCs/>
          <w:szCs w:val="24"/>
          <w:lang w:val="en-US"/>
        </w:rPr>
        <w:t xml:space="preserve"> </w:t>
      </w:r>
    </w:p>
    <w:tbl>
      <w:tblPr>
        <w:tblStyle w:val="TableGrid"/>
        <w:tblW w:w="0" w:type="auto"/>
        <w:jc w:val="center"/>
        <w:tblLook w:val="04A0" w:firstRow="1" w:lastRow="0" w:firstColumn="1" w:lastColumn="0" w:noHBand="0" w:noVBand="1"/>
      </w:tblPr>
      <w:tblGrid>
        <w:gridCol w:w="4253"/>
        <w:gridCol w:w="284"/>
        <w:gridCol w:w="4530"/>
      </w:tblGrid>
      <w:tr w:rsidR="003B791A" w:rsidRPr="006016CC" w14:paraId="10990606" w14:textId="77777777" w:rsidTr="000431D8">
        <w:trPr>
          <w:trHeight w:val="3264"/>
          <w:jc w:val="center"/>
        </w:trPr>
        <w:tc>
          <w:tcPr>
            <w:tcW w:w="4253" w:type="dxa"/>
          </w:tcPr>
          <w:p w14:paraId="2E038EB2" w14:textId="77777777" w:rsidR="008B4F08" w:rsidRPr="006016CC" w:rsidRDefault="003B791A" w:rsidP="00E60E60">
            <w:pPr>
              <w:spacing w:before="0" w:after="240"/>
              <w:rPr>
                <w:rFonts w:asciiTheme="minorHAnsi" w:hAnsiTheme="minorHAnsi"/>
                <w:szCs w:val="24"/>
              </w:rPr>
            </w:pPr>
            <w:r w:rsidRPr="006016CC">
              <w:rPr>
                <w:noProof/>
                <w:lang w:val="en-US" w:eastAsia="zh-CN"/>
              </w:rPr>
              <w:drawing>
                <wp:inline distT="0" distB="0" distL="0" distR="0" wp14:anchorId="51ECF524" wp14:editId="3FEB3B56">
                  <wp:extent cx="2371725" cy="22288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284" w:type="dxa"/>
          </w:tcPr>
          <w:p w14:paraId="5985FF21" w14:textId="77777777" w:rsidR="008B4F08" w:rsidRPr="006016CC" w:rsidRDefault="008B4F08" w:rsidP="00E60E60">
            <w:pPr>
              <w:spacing w:before="0" w:after="240"/>
              <w:rPr>
                <w:rFonts w:asciiTheme="minorHAnsi" w:hAnsiTheme="minorHAnsi"/>
                <w:szCs w:val="24"/>
              </w:rPr>
            </w:pPr>
          </w:p>
        </w:tc>
        <w:tc>
          <w:tcPr>
            <w:tcW w:w="4530" w:type="dxa"/>
          </w:tcPr>
          <w:p w14:paraId="0499853C" w14:textId="77777777" w:rsidR="008B4F08" w:rsidRPr="006016CC" w:rsidRDefault="003B791A" w:rsidP="00770E42">
            <w:pPr>
              <w:spacing w:before="0" w:after="240"/>
              <w:jc w:val="center"/>
              <w:rPr>
                <w:rFonts w:asciiTheme="minorHAnsi" w:hAnsiTheme="minorHAnsi"/>
                <w:szCs w:val="24"/>
              </w:rPr>
            </w:pPr>
            <w:r w:rsidRPr="006016CC">
              <w:rPr>
                <w:noProof/>
                <w:lang w:val="en-US" w:eastAsia="zh-CN"/>
              </w:rPr>
              <w:drawing>
                <wp:inline distT="0" distB="0" distL="0" distR="0" wp14:anchorId="36C39718" wp14:editId="1BD7696D">
                  <wp:extent cx="2619375" cy="20859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6E9FB25E" w14:textId="77777777" w:rsidR="00E60E60" w:rsidRDefault="006016CC" w:rsidP="008B0EB9">
      <w:pPr>
        <w:spacing w:before="360" w:after="120"/>
        <w:rPr>
          <w:rFonts w:asciiTheme="minorHAnsi" w:hAnsiTheme="minorHAnsi"/>
          <w:szCs w:val="24"/>
        </w:rPr>
      </w:pPr>
      <w:r w:rsidRPr="006016CC">
        <w:rPr>
          <w:rFonts w:asciiTheme="minorHAnsi" w:hAnsiTheme="minorHAnsi"/>
          <w:szCs w:val="24"/>
        </w:rPr>
        <w:t>Translation volumes continue to reflect full equality of treatment of all 6 ITU official languages. Translation output figures between 1 January 2016 and 30 November 2016 are as follows:</w:t>
      </w:r>
    </w:p>
    <w:tbl>
      <w:tblPr>
        <w:tblpPr w:leftFromText="180" w:rightFromText="180" w:vertAnchor="text" w:horzAnchor="margin" w:tblpY="-21"/>
        <w:tblW w:w="8923" w:type="dxa"/>
        <w:tblCellMar>
          <w:left w:w="0" w:type="dxa"/>
          <w:right w:w="0" w:type="dxa"/>
        </w:tblCellMar>
        <w:tblLook w:val="04A0" w:firstRow="1" w:lastRow="0" w:firstColumn="1" w:lastColumn="0" w:noHBand="0" w:noVBand="1"/>
      </w:tblPr>
      <w:tblGrid>
        <w:gridCol w:w="2526"/>
        <w:gridCol w:w="837"/>
        <w:gridCol w:w="984"/>
        <w:gridCol w:w="903"/>
        <w:gridCol w:w="884"/>
        <w:gridCol w:w="957"/>
        <w:gridCol w:w="969"/>
        <w:gridCol w:w="863"/>
      </w:tblGrid>
      <w:tr w:rsidR="006016CC" w:rsidRPr="006016CC" w14:paraId="6111C588" w14:textId="77777777" w:rsidTr="006016CC">
        <w:trPr>
          <w:trHeight w:val="282"/>
        </w:trPr>
        <w:tc>
          <w:tcPr>
            <w:tcW w:w="2526" w:type="dxa"/>
            <w:noWrap/>
            <w:tcMar>
              <w:top w:w="0" w:type="dxa"/>
              <w:left w:w="108" w:type="dxa"/>
              <w:bottom w:w="0" w:type="dxa"/>
              <w:right w:w="108" w:type="dxa"/>
            </w:tcMar>
            <w:vAlign w:val="bottom"/>
            <w:hideMark/>
          </w:tcPr>
          <w:p w14:paraId="7F8AA11A" w14:textId="77777777" w:rsidR="006016CC" w:rsidRPr="006016CC" w:rsidRDefault="006016CC" w:rsidP="006016CC">
            <w:pPr>
              <w:keepNext/>
              <w:rPr>
                <w:rFonts w:asciiTheme="minorHAnsi" w:hAnsiTheme="minorHAnsi"/>
                <w:szCs w:val="24"/>
              </w:rPr>
            </w:pPr>
          </w:p>
        </w:tc>
        <w:tc>
          <w:tcPr>
            <w:tcW w:w="837" w:type="dxa"/>
            <w:tcBorders>
              <w:top w:val="nil"/>
              <w:left w:val="nil"/>
              <w:bottom w:val="single" w:sz="8" w:space="0" w:color="auto"/>
              <w:right w:val="nil"/>
            </w:tcBorders>
            <w:noWrap/>
            <w:tcMar>
              <w:top w:w="0" w:type="dxa"/>
              <w:left w:w="108" w:type="dxa"/>
              <w:bottom w:w="0" w:type="dxa"/>
              <w:right w:w="108" w:type="dxa"/>
            </w:tcMar>
            <w:vAlign w:val="bottom"/>
            <w:hideMark/>
          </w:tcPr>
          <w:p w14:paraId="04536473" w14:textId="77777777" w:rsidR="006016CC" w:rsidRPr="006016CC" w:rsidRDefault="006016CC" w:rsidP="006016CC">
            <w:pPr>
              <w:keepNext/>
              <w:overflowPunct/>
              <w:autoSpaceDE/>
              <w:autoSpaceDN/>
              <w:spacing w:before="0"/>
              <w:rPr>
                <w:rFonts w:asciiTheme="minorHAnsi" w:hAnsiTheme="minorHAnsi"/>
                <w:szCs w:val="24"/>
                <w:lang w:eastAsia="zh-CN"/>
              </w:rPr>
            </w:pPr>
          </w:p>
        </w:tc>
        <w:tc>
          <w:tcPr>
            <w:tcW w:w="984" w:type="dxa"/>
            <w:tcBorders>
              <w:top w:val="nil"/>
              <w:left w:val="nil"/>
              <w:bottom w:val="single" w:sz="8" w:space="0" w:color="auto"/>
              <w:right w:val="nil"/>
            </w:tcBorders>
            <w:noWrap/>
            <w:tcMar>
              <w:top w:w="0" w:type="dxa"/>
              <w:left w:w="108" w:type="dxa"/>
              <w:bottom w:w="0" w:type="dxa"/>
              <w:right w:w="108" w:type="dxa"/>
            </w:tcMar>
            <w:vAlign w:val="bottom"/>
            <w:hideMark/>
          </w:tcPr>
          <w:p w14:paraId="0E4148F3" w14:textId="77777777" w:rsidR="006016CC" w:rsidRPr="006016CC" w:rsidRDefault="006016CC" w:rsidP="006016CC">
            <w:pPr>
              <w:keepNext/>
              <w:overflowPunct/>
              <w:autoSpaceDE/>
              <w:autoSpaceDN/>
              <w:spacing w:before="0"/>
              <w:rPr>
                <w:rFonts w:asciiTheme="minorHAnsi" w:hAnsiTheme="minorHAnsi"/>
                <w:szCs w:val="24"/>
                <w:lang w:eastAsia="zh-CN"/>
              </w:rPr>
            </w:pPr>
          </w:p>
        </w:tc>
        <w:tc>
          <w:tcPr>
            <w:tcW w:w="903" w:type="dxa"/>
            <w:tcBorders>
              <w:top w:val="nil"/>
              <w:left w:val="nil"/>
              <w:bottom w:val="single" w:sz="8" w:space="0" w:color="auto"/>
              <w:right w:val="nil"/>
            </w:tcBorders>
            <w:noWrap/>
            <w:tcMar>
              <w:top w:w="0" w:type="dxa"/>
              <w:left w:w="108" w:type="dxa"/>
              <w:bottom w:w="0" w:type="dxa"/>
              <w:right w:w="108" w:type="dxa"/>
            </w:tcMar>
            <w:vAlign w:val="bottom"/>
            <w:hideMark/>
          </w:tcPr>
          <w:p w14:paraId="79985C74" w14:textId="77777777" w:rsidR="006016CC" w:rsidRPr="006016CC" w:rsidRDefault="006016CC" w:rsidP="006016CC">
            <w:pPr>
              <w:keepNext/>
              <w:overflowPunct/>
              <w:autoSpaceDE/>
              <w:autoSpaceDN/>
              <w:spacing w:before="0"/>
              <w:rPr>
                <w:rFonts w:asciiTheme="minorHAnsi" w:hAnsiTheme="minorHAnsi"/>
                <w:szCs w:val="24"/>
                <w:lang w:eastAsia="zh-CN"/>
              </w:rPr>
            </w:pPr>
          </w:p>
        </w:tc>
        <w:tc>
          <w:tcPr>
            <w:tcW w:w="884" w:type="dxa"/>
            <w:tcBorders>
              <w:top w:val="nil"/>
              <w:left w:val="nil"/>
              <w:bottom w:val="single" w:sz="8" w:space="0" w:color="auto"/>
              <w:right w:val="nil"/>
            </w:tcBorders>
            <w:noWrap/>
            <w:tcMar>
              <w:top w:w="0" w:type="dxa"/>
              <w:left w:w="108" w:type="dxa"/>
              <w:bottom w:w="0" w:type="dxa"/>
              <w:right w:w="108" w:type="dxa"/>
            </w:tcMar>
            <w:vAlign w:val="bottom"/>
            <w:hideMark/>
          </w:tcPr>
          <w:p w14:paraId="651FC799" w14:textId="77777777" w:rsidR="006016CC" w:rsidRPr="006016CC" w:rsidRDefault="006016CC" w:rsidP="006016CC">
            <w:pPr>
              <w:keepNext/>
              <w:overflowPunct/>
              <w:autoSpaceDE/>
              <w:autoSpaceDN/>
              <w:spacing w:before="0"/>
              <w:rPr>
                <w:rFonts w:asciiTheme="minorHAnsi" w:hAnsiTheme="minorHAnsi"/>
                <w:szCs w:val="24"/>
                <w:lang w:eastAsia="zh-CN"/>
              </w:rPr>
            </w:pPr>
          </w:p>
        </w:tc>
        <w:tc>
          <w:tcPr>
            <w:tcW w:w="957" w:type="dxa"/>
            <w:tcBorders>
              <w:top w:val="nil"/>
              <w:left w:val="nil"/>
              <w:bottom w:val="single" w:sz="8" w:space="0" w:color="auto"/>
              <w:right w:val="nil"/>
            </w:tcBorders>
            <w:noWrap/>
            <w:tcMar>
              <w:top w:w="0" w:type="dxa"/>
              <w:left w:w="108" w:type="dxa"/>
              <w:bottom w:w="0" w:type="dxa"/>
              <w:right w:w="108" w:type="dxa"/>
            </w:tcMar>
            <w:vAlign w:val="bottom"/>
            <w:hideMark/>
          </w:tcPr>
          <w:p w14:paraId="0F39235C" w14:textId="77777777" w:rsidR="006016CC" w:rsidRPr="006016CC" w:rsidRDefault="006016CC" w:rsidP="006016CC">
            <w:pPr>
              <w:keepNext/>
              <w:overflowPunct/>
              <w:autoSpaceDE/>
              <w:autoSpaceDN/>
              <w:spacing w:before="0"/>
              <w:rPr>
                <w:rFonts w:asciiTheme="minorHAnsi" w:hAnsiTheme="minorHAnsi"/>
                <w:szCs w:val="24"/>
                <w:lang w:eastAsia="zh-CN"/>
              </w:rPr>
            </w:pPr>
          </w:p>
        </w:tc>
        <w:tc>
          <w:tcPr>
            <w:tcW w:w="969" w:type="dxa"/>
            <w:tcBorders>
              <w:top w:val="nil"/>
              <w:left w:val="nil"/>
              <w:bottom w:val="single" w:sz="8" w:space="0" w:color="auto"/>
              <w:right w:val="nil"/>
            </w:tcBorders>
            <w:noWrap/>
            <w:tcMar>
              <w:top w:w="0" w:type="dxa"/>
              <w:left w:w="108" w:type="dxa"/>
              <w:bottom w:w="0" w:type="dxa"/>
              <w:right w:w="108" w:type="dxa"/>
            </w:tcMar>
            <w:vAlign w:val="bottom"/>
            <w:hideMark/>
          </w:tcPr>
          <w:p w14:paraId="1E0E2DAE" w14:textId="77777777" w:rsidR="006016CC" w:rsidRPr="006016CC" w:rsidRDefault="006016CC" w:rsidP="006016CC">
            <w:pPr>
              <w:keepNext/>
              <w:overflowPunct/>
              <w:autoSpaceDE/>
              <w:autoSpaceDN/>
              <w:spacing w:before="0"/>
              <w:rPr>
                <w:rFonts w:asciiTheme="minorHAnsi" w:hAnsiTheme="minorHAnsi"/>
                <w:szCs w:val="24"/>
                <w:lang w:eastAsia="zh-CN"/>
              </w:rPr>
            </w:pPr>
          </w:p>
        </w:tc>
        <w:tc>
          <w:tcPr>
            <w:tcW w:w="863" w:type="dxa"/>
            <w:tcBorders>
              <w:top w:val="nil"/>
              <w:left w:val="nil"/>
              <w:bottom w:val="single" w:sz="8" w:space="0" w:color="auto"/>
              <w:right w:val="nil"/>
            </w:tcBorders>
            <w:noWrap/>
            <w:tcMar>
              <w:top w:w="0" w:type="dxa"/>
              <w:left w:w="108" w:type="dxa"/>
              <w:bottom w:w="0" w:type="dxa"/>
              <w:right w:w="108" w:type="dxa"/>
            </w:tcMar>
            <w:vAlign w:val="bottom"/>
            <w:hideMark/>
          </w:tcPr>
          <w:p w14:paraId="20FB3AF6" w14:textId="77777777" w:rsidR="006016CC" w:rsidRPr="006016CC" w:rsidRDefault="006016CC" w:rsidP="006016CC">
            <w:pPr>
              <w:keepNext/>
              <w:overflowPunct/>
              <w:autoSpaceDE/>
              <w:autoSpaceDN/>
              <w:spacing w:before="0"/>
              <w:rPr>
                <w:rFonts w:asciiTheme="minorHAnsi" w:hAnsiTheme="minorHAnsi"/>
                <w:szCs w:val="24"/>
                <w:lang w:eastAsia="zh-CN"/>
              </w:rPr>
            </w:pPr>
          </w:p>
        </w:tc>
      </w:tr>
      <w:tr w:rsidR="006016CC" w:rsidRPr="006016CC" w14:paraId="72DC249C" w14:textId="77777777" w:rsidTr="006016CC">
        <w:trPr>
          <w:trHeight w:val="210"/>
        </w:trPr>
        <w:tc>
          <w:tcPr>
            <w:tcW w:w="252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D3EE44" w14:textId="77777777" w:rsidR="006016CC" w:rsidRPr="006016CC" w:rsidRDefault="006016CC" w:rsidP="006016CC">
            <w:pPr>
              <w:keepNext/>
              <w:overflowPunct/>
              <w:autoSpaceDE/>
              <w:spacing w:before="0"/>
              <w:rPr>
                <w:rFonts w:asciiTheme="minorHAnsi" w:eastAsiaTheme="minorEastAsia" w:hAnsiTheme="minorHAnsi"/>
                <w:b/>
                <w:bCs/>
                <w:szCs w:val="24"/>
                <w:lang w:eastAsia="zh-CN"/>
              </w:rPr>
            </w:pPr>
            <w:r w:rsidRPr="006016CC">
              <w:rPr>
                <w:rFonts w:asciiTheme="minorHAnsi" w:hAnsiTheme="minorHAnsi"/>
                <w:b/>
                <w:bCs/>
                <w:szCs w:val="24"/>
                <w:lang w:eastAsia="zh-CN"/>
              </w:rPr>
              <w:t> </w:t>
            </w:r>
          </w:p>
        </w:tc>
        <w:tc>
          <w:tcPr>
            <w:tcW w:w="837"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3A6863D8" w14:textId="77777777" w:rsidR="006016CC" w:rsidRPr="006016CC" w:rsidRDefault="006016CC" w:rsidP="006016CC">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Arabic</w:t>
            </w:r>
          </w:p>
        </w:tc>
        <w:tc>
          <w:tcPr>
            <w:tcW w:w="984"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51CB37B4" w14:textId="77777777" w:rsidR="006016CC" w:rsidRPr="006016CC" w:rsidRDefault="006016CC" w:rsidP="006016CC">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Chinese</w:t>
            </w:r>
          </w:p>
        </w:tc>
        <w:tc>
          <w:tcPr>
            <w:tcW w:w="903"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7C24C3E3" w14:textId="77777777" w:rsidR="006016CC" w:rsidRPr="006016CC" w:rsidRDefault="006016CC" w:rsidP="006016CC">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English</w:t>
            </w:r>
          </w:p>
        </w:tc>
        <w:tc>
          <w:tcPr>
            <w:tcW w:w="884"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297BD0F4" w14:textId="77777777" w:rsidR="006016CC" w:rsidRPr="006016CC" w:rsidRDefault="006016CC" w:rsidP="006016CC">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French</w:t>
            </w:r>
          </w:p>
        </w:tc>
        <w:tc>
          <w:tcPr>
            <w:tcW w:w="957"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0E0BF34A" w14:textId="77777777" w:rsidR="006016CC" w:rsidRPr="006016CC" w:rsidRDefault="006016CC" w:rsidP="006016CC">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Russian</w:t>
            </w:r>
          </w:p>
        </w:tc>
        <w:tc>
          <w:tcPr>
            <w:tcW w:w="969"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7B811EC4" w14:textId="77777777" w:rsidR="006016CC" w:rsidRPr="006016CC" w:rsidRDefault="006016CC" w:rsidP="006016CC">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Spanish</w:t>
            </w:r>
          </w:p>
        </w:tc>
        <w:tc>
          <w:tcPr>
            <w:tcW w:w="863" w:type="dxa"/>
            <w:tcBorders>
              <w:top w:val="nil"/>
              <w:left w:val="nil"/>
              <w:bottom w:val="single" w:sz="8" w:space="0" w:color="auto"/>
              <w:right w:val="single" w:sz="8" w:space="0" w:color="auto"/>
            </w:tcBorders>
            <w:shd w:val="clear" w:color="auto" w:fill="DFDFDF"/>
            <w:noWrap/>
            <w:tcMar>
              <w:top w:w="0" w:type="dxa"/>
              <w:left w:w="108" w:type="dxa"/>
              <w:bottom w:w="0" w:type="dxa"/>
              <w:right w:w="108" w:type="dxa"/>
            </w:tcMar>
            <w:vAlign w:val="bottom"/>
            <w:hideMark/>
          </w:tcPr>
          <w:p w14:paraId="238650F2" w14:textId="77777777" w:rsidR="006016CC" w:rsidRPr="006016CC" w:rsidRDefault="006016CC" w:rsidP="006016CC">
            <w:pPr>
              <w:keepNext/>
              <w:overflowPunct/>
              <w:autoSpaceDE/>
              <w:spacing w:before="0"/>
              <w:jc w:val="center"/>
              <w:rPr>
                <w:rFonts w:asciiTheme="minorHAnsi" w:hAnsiTheme="minorHAnsi"/>
                <w:b/>
                <w:bCs/>
                <w:szCs w:val="24"/>
                <w:lang w:eastAsia="zh-CN"/>
              </w:rPr>
            </w:pPr>
            <w:r w:rsidRPr="006016CC">
              <w:rPr>
                <w:rFonts w:asciiTheme="minorHAnsi" w:hAnsiTheme="minorHAnsi"/>
                <w:b/>
                <w:bCs/>
                <w:szCs w:val="24"/>
                <w:lang w:eastAsia="zh-CN"/>
              </w:rPr>
              <w:t>TOTAL</w:t>
            </w:r>
          </w:p>
        </w:tc>
      </w:tr>
      <w:tr w:rsidR="006016CC" w:rsidRPr="006016CC" w14:paraId="4791C965" w14:textId="77777777" w:rsidTr="006016CC">
        <w:trPr>
          <w:trHeight w:val="240"/>
        </w:trPr>
        <w:tc>
          <w:tcPr>
            <w:tcW w:w="2526"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14:paraId="02756691" w14:textId="77777777" w:rsidR="006016CC" w:rsidRPr="006016CC" w:rsidRDefault="006016CC" w:rsidP="006016CC">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Number of Translated Pages</w:t>
            </w:r>
          </w:p>
        </w:tc>
        <w:tc>
          <w:tcPr>
            <w:tcW w:w="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EC7FBF" w14:textId="77777777" w:rsidR="006016CC" w:rsidRPr="006016CC" w:rsidRDefault="006016CC" w:rsidP="006016CC">
            <w:pPr>
              <w:keepNext/>
              <w:overflowPunct/>
              <w:autoSpaceDE/>
              <w:spacing w:before="0"/>
              <w:jc w:val="center"/>
              <w:rPr>
                <w:rFonts w:asciiTheme="minorHAnsi" w:hAnsiTheme="minorHAnsi"/>
                <w:szCs w:val="24"/>
                <w:lang w:eastAsia="zh-CN"/>
              </w:rPr>
            </w:pPr>
            <w:r w:rsidRPr="006016CC">
              <w:rPr>
                <w:rFonts w:asciiTheme="minorHAnsi" w:hAnsiTheme="minorHAnsi"/>
                <w:szCs w:val="24"/>
                <w:lang w:eastAsia="zh-CN"/>
              </w:rPr>
              <w:t>6343</w:t>
            </w:r>
          </w:p>
        </w:tc>
        <w:tc>
          <w:tcPr>
            <w:tcW w:w="9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DAFA2" w14:textId="77777777" w:rsidR="006016CC" w:rsidRPr="006016CC" w:rsidRDefault="006016CC" w:rsidP="006016CC">
            <w:pPr>
              <w:keepNext/>
              <w:overflowPunct/>
              <w:autoSpaceDE/>
              <w:spacing w:before="0"/>
              <w:jc w:val="right"/>
              <w:rPr>
                <w:rFonts w:asciiTheme="minorHAnsi" w:hAnsiTheme="minorHAnsi"/>
                <w:szCs w:val="24"/>
                <w:lang w:eastAsia="zh-CN"/>
              </w:rPr>
            </w:pPr>
            <w:r w:rsidRPr="006016CC">
              <w:rPr>
                <w:rFonts w:asciiTheme="minorHAnsi" w:hAnsiTheme="minorHAnsi"/>
                <w:szCs w:val="24"/>
                <w:lang w:eastAsia="zh-CN"/>
              </w:rPr>
              <w:t>6482</w:t>
            </w:r>
          </w:p>
        </w:tc>
        <w:tc>
          <w:tcPr>
            <w:tcW w:w="90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77C454" w14:textId="77777777" w:rsidR="006016CC" w:rsidRPr="006016CC" w:rsidRDefault="006016CC" w:rsidP="006016CC">
            <w:pPr>
              <w:keepNext/>
              <w:overflowPunct/>
              <w:autoSpaceDE/>
              <w:spacing w:before="0"/>
              <w:jc w:val="right"/>
              <w:rPr>
                <w:rFonts w:asciiTheme="minorHAnsi" w:hAnsiTheme="minorHAnsi"/>
                <w:szCs w:val="24"/>
                <w:lang w:eastAsia="zh-CN"/>
              </w:rPr>
            </w:pPr>
            <w:r w:rsidRPr="006016CC">
              <w:rPr>
                <w:rFonts w:asciiTheme="minorHAnsi" w:hAnsiTheme="minorHAnsi"/>
                <w:szCs w:val="24"/>
                <w:lang w:eastAsia="zh-CN"/>
              </w:rPr>
              <w:t>2101</w:t>
            </w:r>
          </w:p>
        </w:tc>
        <w:tc>
          <w:tcPr>
            <w:tcW w:w="8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B38244" w14:textId="77777777" w:rsidR="006016CC" w:rsidRPr="006016CC" w:rsidRDefault="006016CC" w:rsidP="006016CC">
            <w:pPr>
              <w:keepNext/>
              <w:overflowPunct/>
              <w:autoSpaceDE/>
              <w:spacing w:before="0"/>
              <w:jc w:val="right"/>
              <w:rPr>
                <w:rFonts w:asciiTheme="minorHAnsi" w:hAnsiTheme="minorHAnsi"/>
                <w:szCs w:val="24"/>
                <w:lang w:eastAsia="zh-CN"/>
              </w:rPr>
            </w:pPr>
            <w:r w:rsidRPr="006016CC">
              <w:rPr>
                <w:rFonts w:asciiTheme="minorHAnsi" w:hAnsiTheme="minorHAnsi"/>
                <w:szCs w:val="24"/>
                <w:lang w:eastAsia="zh-CN"/>
              </w:rPr>
              <w:t>7313</w:t>
            </w:r>
          </w:p>
        </w:tc>
        <w:tc>
          <w:tcPr>
            <w:tcW w:w="9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992392" w14:textId="77777777" w:rsidR="006016CC" w:rsidRPr="006016CC" w:rsidRDefault="006016CC" w:rsidP="006016CC">
            <w:pPr>
              <w:keepNext/>
              <w:overflowPunct/>
              <w:autoSpaceDE/>
              <w:spacing w:before="0"/>
              <w:jc w:val="right"/>
              <w:rPr>
                <w:rFonts w:asciiTheme="minorHAnsi" w:hAnsiTheme="minorHAnsi"/>
                <w:szCs w:val="24"/>
                <w:lang w:eastAsia="zh-CN"/>
              </w:rPr>
            </w:pPr>
            <w:r w:rsidRPr="006016CC">
              <w:rPr>
                <w:rFonts w:asciiTheme="minorHAnsi" w:hAnsiTheme="minorHAnsi"/>
                <w:szCs w:val="24"/>
                <w:lang w:eastAsia="zh-CN"/>
              </w:rPr>
              <w:t>6507</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F69313" w14:textId="77777777" w:rsidR="006016CC" w:rsidRPr="006016CC" w:rsidRDefault="006016CC" w:rsidP="006016CC">
            <w:pPr>
              <w:keepNext/>
              <w:overflowPunct/>
              <w:autoSpaceDE/>
              <w:spacing w:before="0"/>
              <w:jc w:val="right"/>
              <w:rPr>
                <w:rFonts w:asciiTheme="minorHAnsi" w:hAnsiTheme="minorHAnsi"/>
                <w:szCs w:val="24"/>
                <w:lang w:eastAsia="zh-CN"/>
              </w:rPr>
            </w:pPr>
            <w:r w:rsidRPr="006016CC">
              <w:rPr>
                <w:rFonts w:asciiTheme="minorHAnsi" w:hAnsiTheme="minorHAnsi"/>
                <w:szCs w:val="24"/>
                <w:lang w:eastAsia="zh-CN"/>
              </w:rPr>
              <w:t>6556</w:t>
            </w:r>
          </w:p>
        </w:tc>
        <w:tc>
          <w:tcPr>
            <w:tcW w:w="8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51420" w14:textId="77777777" w:rsidR="006016CC" w:rsidRPr="006016CC" w:rsidRDefault="006016CC" w:rsidP="006016CC">
            <w:pPr>
              <w:keepNext/>
              <w:overflowPunct/>
              <w:autoSpaceDE/>
              <w:spacing w:before="0"/>
              <w:jc w:val="right"/>
              <w:rPr>
                <w:rFonts w:asciiTheme="minorHAnsi" w:hAnsiTheme="minorHAnsi"/>
                <w:b/>
                <w:bCs/>
                <w:szCs w:val="24"/>
                <w:lang w:eastAsia="zh-CN"/>
              </w:rPr>
            </w:pPr>
            <w:r w:rsidRPr="006016CC">
              <w:rPr>
                <w:rFonts w:asciiTheme="minorHAnsi" w:hAnsiTheme="minorHAnsi"/>
                <w:b/>
                <w:bCs/>
                <w:szCs w:val="24"/>
                <w:lang w:eastAsia="zh-CN"/>
              </w:rPr>
              <w:t>35302</w:t>
            </w:r>
          </w:p>
        </w:tc>
      </w:tr>
    </w:tbl>
    <w:p w14:paraId="3EE80341" w14:textId="77777777" w:rsidR="006016CC" w:rsidRDefault="006016CC" w:rsidP="00E60E60">
      <w:pPr>
        <w:spacing w:before="0" w:after="240"/>
        <w:rPr>
          <w:rFonts w:asciiTheme="minorHAnsi" w:hAnsiTheme="minorHAnsi"/>
          <w:szCs w:val="24"/>
        </w:rPr>
      </w:pPr>
    </w:p>
    <w:p w14:paraId="65D1AD1A" w14:textId="77777777" w:rsidR="006016CC" w:rsidRPr="006016CC" w:rsidRDefault="006016CC" w:rsidP="00E60E60">
      <w:pPr>
        <w:spacing w:before="0" w:after="240"/>
        <w:rPr>
          <w:rFonts w:asciiTheme="minorHAnsi" w:hAnsiTheme="minorHAnsi"/>
          <w:szCs w:val="24"/>
        </w:rPr>
      </w:pPr>
    </w:p>
    <w:p w14:paraId="37EAAC24" w14:textId="77777777" w:rsidR="00144EB6" w:rsidRPr="006016CC" w:rsidRDefault="00144EB6" w:rsidP="00553A09"/>
    <w:p w14:paraId="40DAB7EC" w14:textId="77777777" w:rsidR="00144EB6" w:rsidRPr="006016CC" w:rsidRDefault="00144EB6" w:rsidP="008B0EB9">
      <w:pPr>
        <w:pStyle w:val="ListParagraph"/>
        <w:numPr>
          <w:ilvl w:val="0"/>
          <w:numId w:val="4"/>
        </w:numPr>
        <w:tabs>
          <w:tab w:val="clear" w:pos="794"/>
          <w:tab w:val="clear" w:pos="1191"/>
          <w:tab w:val="clear" w:pos="1588"/>
          <w:tab w:val="clear" w:pos="1985"/>
        </w:tabs>
        <w:overflowPunct/>
        <w:autoSpaceDE/>
        <w:adjustRightInd/>
        <w:spacing w:before="240" w:after="120" w:line="252" w:lineRule="auto"/>
        <w:textAlignment w:val="auto"/>
        <w:rPr>
          <w:rFonts w:asciiTheme="minorHAnsi" w:hAnsiTheme="minorHAnsi"/>
          <w:szCs w:val="24"/>
        </w:rPr>
      </w:pPr>
      <w:r w:rsidRPr="006016CC">
        <w:rPr>
          <w:rFonts w:asciiTheme="minorHAnsi" w:hAnsiTheme="minorHAnsi"/>
          <w:szCs w:val="24"/>
        </w:rPr>
        <w:lastRenderedPageBreak/>
        <w:t xml:space="preserve">On average, approximately </w:t>
      </w:r>
      <w:r w:rsidR="00D2484B" w:rsidRPr="006016CC">
        <w:rPr>
          <w:rFonts w:asciiTheme="minorHAnsi" w:hAnsiTheme="minorHAnsi"/>
          <w:szCs w:val="24"/>
        </w:rPr>
        <w:t>20</w:t>
      </w:r>
      <w:r w:rsidRPr="006016CC">
        <w:rPr>
          <w:rFonts w:asciiTheme="minorHAnsi" w:hAnsiTheme="minorHAnsi"/>
          <w:szCs w:val="24"/>
        </w:rPr>
        <w:t xml:space="preserve">% of the work was outsourced (with that percentage exceeding </w:t>
      </w:r>
      <w:r w:rsidR="00D2484B" w:rsidRPr="006016CC">
        <w:rPr>
          <w:rFonts w:asciiTheme="minorHAnsi" w:hAnsiTheme="minorHAnsi"/>
          <w:szCs w:val="24"/>
        </w:rPr>
        <w:t>28</w:t>
      </w:r>
      <w:r w:rsidRPr="006016CC">
        <w:rPr>
          <w:rFonts w:asciiTheme="minorHAnsi" w:hAnsiTheme="minorHAnsi"/>
          <w:szCs w:val="24"/>
        </w:rPr>
        <w:t xml:space="preserve">% in the case of some languages). </w:t>
      </w:r>
    </w:p>
    <w:p w14:paraId="21CEA038" w14:textId="77777777" w:rsidR="00421A21" w:rsidRPr="006016CC" w:rsidRDefault="00905846" w:rsidP="008B2466">
      <w:pPr>
        <w:jc w:val="both"/>
        <w:rPr>
          <w:rFonts w:asciiTheme="minorHAnsi" w:hAnsiTheme="minorHAnsi"/>
          <w:szCs w:val="24"/>
        </w:rPr>
      </w:pPr>
      <w:r w:rsidRPr="006016CC">
        <w:rPr>
          <w:rFonts w:asciiTheme="minorHAnsi" w:hAnsiTheme="minorHAnsi"/>
          <w:szCs w:val="24"/>
        </w:rPr>
        <w:t xml:space="preserve">Translation operations continue to show consistent savings, with actual disbursements revealing savings of as much as </w:t>
      </w:r>
      <w:r w:rsidR="00653B59" w:rsidRPr="006016CC">
        <w:rPr>
          <w:rFonts w:asciiTheme="minorHAnsi" w:hAnsiTheme="minorHAnsi"/>
          <w:szCs w:val="24"/>
        </w:rPr>
        <w:t>1</w:t>
      </w:r>
      <w:r w:rsidR="008B2466" w:rsidRPr="006016CC">
        <w:rPr>
          <w:rFonts w:asciiTheme="minorHAnsi" w:hAnsiTheme="minorHAnsi"/>
          <w:szCs w:val="24"/>
        </w:rPr>
        <w:t>4</w:t>
      </w:r>
      <w:r w:rsidR="003216FF" w:rsidRPr="006016CC">
        <w:rPr>
          <w:rFonts w:asciiTheme="minorHAnsi" w:hAnsiTheme="minorHAnsi"/>
          <w:szCs w:val="24"/>
        </w:rPr>
        <w:t>% for 201</w:t>
      </w:r>
      <w:r w:rsidR="00754CD7" w:rsidRPr="006016CC">
        <w:rPr>
          <w:rFonts w:asciiTheme="minorHAnsi" w:hAnsiTheme="minorHAnsi"/>
          <w:szCs w:val="24"/>
        </w:rPr>
        <w:t>6</w:t>
      </w:r>
      <w:r w:rsidRPr="006016CC">
        <w:rPr>
          <w:rFonts w:asciiTheme="minorHAnsi" w:hAnsiTheme="minorHAnsi"/>
          <w:szCs w:val="24"/>
        </w:rPr>
        <w:t xml:space="preserve">. </w:t>
      </w:r>
    </w:p>
    <w:p w14:paraId="0EE542C3" w14:textId="77777777" w:rsidR="00421A21" w:rsidRPr="006016CC" w:rsidRDefault="00421A21" w:rsidP="008B0EB9">
      <w:pPr>
        <w:pStyle w:val="ListParagraph"/>
        <w:numPr>
          <w:ilvl w:val="0"/>
          <w:numId w:val="1"/>
        </w:numPr>
        <w:snapToGrid w:val="0"/>
        <w:spacing w:before="360" w:after="120"/>
        <w:contextualSpacing w:val="0"/>
        <w:rPr>
          <w:rFonts w:asciiTheme="minorHAnsi" w:hAnsiTheme="minorHAnsi"/>
          <w:b/>
          <w:bCs/>
          <w:i/>
          <w:iCs/>
          <w:szCs w:val="24"/>
          <w:lang w:val="en-US"/>
        </w:rPr>
      </w:pPr>
      <w:r w:rsidRPr="006016CC">
        <w:rPr>
          <w:rFonts w:asciiTheme="minorHAnsi" w:hAnsiTheme="minorHAnsi"/>
          <w:b/>
          <w:bCs/>
          <w:i/>
          <w:iCs/>
          <w:szCs w:val="24"/>
          <w:lang w:val="en-US"/>
        </w:rPr>
        <w:t>Procedures adopted by other international organizations inside and outside of the United Nations system and benchmark studies on their costs of translation</w:t>
      </w:r>
      <w:r w:rsidR="00987F7A" w:rsidRPr="006016CC">
        <w:rPr>
          <w:rFonts w:asciiTheme="minorHAnsi" w:hAnsiTheme="minorHAnsi"/>
          <w:b/>
          <w:bCs/>
          <w:i/>
          <w:iCs/>
          <w:szCs w:val="24"/>
          <w:lang w:val="en-US"/>
        </w:rPr>
        <w:t xml:space="preserve"> </w:t>
      </w:r>
    </w:p>
    <w:p w14:paraId="0C3EF215" w14:textId="77777777" w:rsidR="00A22278" w:rsidRPr="006016CC" w:rsidRDefault="00871F1B" w:rsidP="008B0EB9">
      <w:pPr>
        <w:snapToGrid w:val="0"/>
        <w:spacing w:after="120"/>
        <w:jc w:val="both"/>
        <w:rPr>
          <w:rFonts w:asciiTheme="minorHAnsi" w:hAnsiTheme="minorHAnsi"/>
          <w:szCs w:val="24"/>
          <w:lang w:val="en-US" w:eastAsia="zh-CN"/>
        </w:rPr>
      </w:pPr>
      <w:r w:rsidRPr="006016CC">
        <w:rPr>
          <w:rFonts w:asciiTheme="minorHAnsi" w:hAnsiTheme="minorHAnsi"/>
          <w:szCs w:val="24"/>
        </w:rPr>
        <w:t>Through its</w:t>
      </w:r>
      <w:r w:rsidR="003160B2" w:rsidRPr="006016CC">
        <w:rPr>
          <w:rFonts w:asciiTheme="minorHAnsi" w:hAnsiTheme="minorHAnsi"/>
          <w:szCs w:val="24"/>
        </w:rPr>
        <w:t xml:space="preserve"> active</w:t>
      </w:r>
      <w:r w:rsidRPr="006016CC">
        <w:rPr>
          <w:rFonts w:asciiTheme="minorHAnsi" w:hAnsiTheme="minorHAnsi"/>
          <w:szCs w:val="24"/>
        </w:rPr>
        <w:t xml:space="preserve"> participation in the International Annual Meeting on Language Arrangements, Documentation and Publications (IAMLADP) and </w:t>
      </w:r>
      <w:r w:rsidR="003242DF" w:rsidRPr="006016CC">
        <w:rPr>
          <w:rFonts w:asciiTheme="minorHAnsi" w:hAnsiTheme="minorHAnsi"/>
          <w:szCs w:val="24"/>
        </w:rPr>
        <w:t>its working groups and task-forces, plus the</w:t>
      </w:r>
      <w:r w:rsidRPr="006016CC">
        <w:rPr>
          <w:rFonts w:asciiTheme="minorHAnsi" w:hAnsiTheme="minorHAnsi"/>
          <w:szCs w:val="24"/>
        </w:rPr>
        <w:t xml:space="preserve"> </w:t>
      </w:r>
      <w:r w:rsidR="00144EB6" w:rsidRPr="006016CC">
        <w:rPr>
          <w:rFonts w:asciiTheme="minorHAnsi" w:hAnsiTheme="minorHAnsi"/>
          <w:szCs w:val="24"/>
        </w:rPr>
        <w:t>Joint Inter-Agency Meeting on Computer-Aided Translation and Terminology (JIAMCATT), ITU keeps abreast of procedures and IT tools adopted by other IOs</w:t>
      </w:r>
      <w:r w:rsidR="006D2FDD" w:rsidRPr="006016CC">
        <w:rPr>
          <w:rFonts w:asciiTheme="minorHAnsi" w:hAnsiTheme="minorHAnsi"/>
          <w:szCs w:val="24"/>
        </w:rPr>
        <w:t xml:space="preserve"> and</w:t>
      </w:r>
      <w:r w:rsidR="00144EB6" w:rsidRPr="006016CC">
        <w:rPr>
          <w:rFonts w:asciiTheme="minorHAnsi" w:hAnsiTheme="minorHAnsi"/>
          <w:szCs w:val="24"/>
        </w:rPr>
        <w:t xml:space="preserve"> adapt</w:t>
      </w:r>
      <w:r w:rsidR="00770E42" w:rsidRPr="006016CC">
        <w:rPr>
          <w:rFonts w:asciiTheme="minorHAnsi" w:hAnsiTheme="minorHAnsi"/>
          <w:szCs w:val="24"/>
        </w:rPr>
        <w:t>s</w:t>
      </w:r>
      <w:r w:rsidR="00144EB6" w:rsidRPr="006016CC">
        <w:rPr>
          <w:rFonts w:asciiTheme="minorHAnsi" w:hAnsiTheme="minorHAnsi"/>
          <w:szCs w:val="24"/>
        </w:rPr>
        <w:t xml:space="preserve"> its business model and procedures to the best practices resulting from such interaction.</w:t>
      </w:r>
    </w:p>
    <w:p w14:paraId="65D9CECB" w14:textId="77777777" w:rsidR="00871F1B" w:rsidRPr="006016CC" w:rsidRDefault="008C5A49" w:rsidP="008B0EB9">
      <w:pPr>
        <w:snapToGrid w:val="0"/>
        <w:spacing w:after="120"/>
        <w:jc w:val="both"/>
        <w:rPr>
          <w:rFonts w:asciiTheme="minorHAnsi" w:hAnsiTheme="minorHAnsi"/>
          <w:szCs w:val="24"/>
        </w:rPr>
      </w:pPr>
      <w:r w:rsidRPr="006016CC">
        <w:rPr>
          <w:rFonts w:asciiTheme="minorHAnsi" w:hAnsiTheme="minorHAnsi"/>
          <w:szCs w:val="24"/>
          <w:lang w:val="en-US" w:eastAsia="zh-CN"/>
        </w:rPr>
        <w:t xml:space="preserve">A Statement on multilingualism was adopted at IAMLADP’s last meeting (UNOV, Vienna, 20-22 June 2016), in order to reinstate the </w:t>
      </w:r>
      <w:r w:rsidRPr="006016CC">
        <w:rPr>
          <w:rFonts w:asciiTheme="minorHAnsi" w:hAnsiTheme="minorHAnsi"/>
          <w:b/>
          <w:bCs/>
          <w:szCs w:val="24"/>
          <w:lang w:val="en-US" w:eastAsia="zh-CN"/>
        </w:rPr>
        <w:t>importance of multilingualism</w:t>
      </w:r>
      <w:r w:rsidRPr="006016CC">
        <w:rPr>
          <w:rFonts w:asciiTheme="minorHAnsi" w:hAnsiTheme="minorHAnsi"/>
          <w:szCs w:val="24"/>
          <w:lang w:val="en-US" w:eastAsia="zh-CN"/>
        </w:rPr>
        <w:t xml:space="preserve"> for Member Organizations and their Member States, and to obtain from the respective Governing Bodies the promulgation of a clear multilingualism policy framework.</w:t>
      </w:r>
    </w:p>
    <w:p w14:paraId="6FDF204E" w14:textId="77777777" w:rsidR="002F4015" w:rsidRPr="006016CC" w:rsidRDefault="002F4015" w:rsidP="008B0EB9">
      <w:pPr>
        <w:snapToGrid w:val="0"/>
        <w:spacing w:after="120"/>
        <w:jc w:val="both"/>
        <w:rPr>
          <w:rFonts w:asciiTheme="minorHAnsi" w:hAnsiTheme="minorHAnsi"/>
          <w:szCs w:val="24"/>
          <w:lang w:val="en-US" w:eastAsia="zh-CN"/>
        </w:rPr>
      </w:pPr>
      <w:r w:rsidRPr="006016CC">
        <w:rPr>
          <w:rFonts w:asciiTheme="minorHAnsi" w:hAnsiTheme="minorHAnsi"/>
          <w:szCs w:val="24"/>
          <w:lang w:val="en-US" w:eastAsia="zh-CN"/>
        </w:rPr>
        <w:t xml:space="preserve">The system-wide Agreement governing the hiring of short-term interpreters by the UN agencies will expire at the end of June, 2017. Formal negotiations are already underway between the UN organizations and AIIC (the International Association of Conference Interpreters) with a view to redrafting the Agreement that will be enforced for five years </w:t>
      </w:r>
      <w:r w:rsidR="00AD278E" w:rsidRPr="006016CC">
        <w:rPr>
          <w:rFonts w:asciiTheme="minorHAnsi" w:hAnsiTheme="minorHAnsi"/>
          <w:szCs w:val="24"/>
          <w:lang w:val="en-US" w:eastAsia="zh-CN"/>
        </w:rPr>
        <w:t>as of</w:t>
      </w:r>
      <w:r w:rsidRPr="006016CC">
        <w:rPr>
          <w:rFonts w:asciiTheme="minorHAnsi" w:hAnsiTheme="minorHAnsi"/>
          <w:szCs w:val="24"/>
          <w:lang w:val="en-US" w:eastAsia="zh-CN"/>
        </w:rPr>
        <w:t xml:space="preserve"> July</w:t>
      </w:r>
      <w:r w:rsidR="00AD278E" w:rsidRPr="006016CC">
        <w:rPr>
          <w:rFonts w:asciiTheme="minorHAnsi" w:hAnsiTheme="minorHAnsi"/>
          <w:szCs w:val="24"/>
          <w:lang w:val="en-US" w:eastAsia="zh-CN"/>
        </w:rPr>
        <w:t xml:space="preserve"> 2017</w:t>
      </w:r>
      <w:r w:rsidRPr="006016CC">
        <w:rPr>
          <w:rFonts w:asciiTheme="minorHAnsi" w:hAnsiTheme="minorHAnsi"/>
          <w:szCs w:val="24"/>
          <w:lang w:val="en-US" w:eastAsia="zh-CN"/>
        </w:rPr>
        <w:t xml:space="preserve">. Under the leadership of the UN DGACM, ITU is articulating with its sister agencies a common framework of measures towards more economical and streamlined provisions. </w:t>
      </w:r>
      <w:r w:rsidR="00650641" w:rsidRPr="00553A09">
        <w:rPr>
          <w:rFonts w:asciiTheme="minorHAnsi" w:hAnsiTheme="minorHAnsi"/>
          <w:szCs w:val="24"/>
          <w:lang w:val="en-US" w:eastAsia="zh-CN"/>
        </w:rPr>
        <w:t>Highlights</w:t>
      </w:r>
      <w:r w:rsidR="00650641" w:rsidRPr="006016CC">
        <w:rPr>
          <w:rFonts w:asciiTheme="minorHAnsi" w:hAnsiTheme="minorHAnsi"/>
          <w:szCs w:val="24"/>
          <w:lang w:val="en-US" w:eastAsia="zh-CN"/>
        </w:rPr>
        <w:t xml:space="preserve"> </w:t>
      </w:r>
      <w:r w:rsidRPr="006016CC">
        <w:rPr>
          <w:rFonts w:asciiTheme="minorHAnsi" w:hAnsiTheme="minorHAnsi"/>
          <w:szCs w:val="24"/>
          <w:lang w:val="en-US" w:eastAsia="zh-CN"/>
        </w:rPr>
        <w:t>of the new Agreement will be summarized in the next report.</w:t>
      </w:r>
    </w:p>
    <w:p w14:paraId="5DE73304" w14:textId="6AB8D9AD" w:rsidR="00421A21" w:rsidRPr="008B0EB9" w:rsidRDefault="00653B59" w:rsidP="008B0EB9">
      <w:pPr>
        <w:pStyle w:val="ListParagraph"/>
        <w:numPr>
          <w:ilvl w:val="0"/>
          <w:numId w:val="1"/>
        </w:numPr>
        <w:tabs>
          <w:tab w:val="clear" w:pos="794"/>
          <w:tab w:val="clear" w:pos="1191"/>
          <w:tab w:val="clear" w:pos="1588"/>
          <w:tab w:val="clear" w:pos="1985"/>
        </w:tabs>
        <w:snapToGrid w:val="0"/>
        <w:spacing w:before="360" w:after="120"/>
        <w:ind w:left="357" w:hanging="357"/>
        <w:contextualSpacing w:val="0"/>
        <w:rPr>
          <w:rFonts w:asciiTheme="minorHAnsi" w:hAnsiTheme="minorHAnsi" w:cs="Times New Roman Bold"/>
          <w:b/>
          <w:bCs/>
          <w:i/>
          <w:iCs/>
          <w:spacing w:val="-2"/>
          <w:szCs w:val="24"/>
          <w:lang w:val="en-US"/>
        </w:rPr>
      </w:pPr>
      <w:r w:rsidRPr="008B0EB9">
        <w:rPr>
          <w:rFonts w:asciiTheme="minorHAnsi" w:hAnsiTheme="minorHAnsi" w:cs="Times New Roman Bold"/>
          <w:b/>
          <w:bCs/>
          <w:i/>
          <w:iCs/>
          <w:spacing w:val="-2"/>
          <w:szCs w:val="24"/>
          <w:lang w:val="en-US"/>
        </w:rPr>
        <w:t>In</w:t>
      </w:r>
      <w:r w:rsidR="00421A21" w:rsidRPr="008B0EB9">
        <w:rPr>
          <w:rFonts w:asciiTheme="minorHAnsi" w:hAnsiTheme="minorHAnsi" w:cs="Times New Roman Bold"/>
          <w:b/>
          <w:bCs/>
          <w:i/>
          <w:iCs/>
          <w:spacing w:val="-2"/>
          <w:szCs w:val="24"/>
          <w:lang w:val="en-US"/>
        </w:rPr>
        <w:t xml:space="preserve">itiatives undertaken by the General Secretariat and the three Bureaux to increase efficiencies and cost savings on the implementation of </w:t>
      </w:r>
      <w:r w:rsidR="00CA0003" w:rsidRPr="008B0EB9">
        <w:rPr>
          <w:rFonts w:asciiTheme="minorHAnsi" w:hAnsiTheme="minorHAnsi" w:cs="Times New Roman Bold"/>
          <w:b/>
          <w:bCs/>
          <w:i/>
          <w:iCs/>
          <w:spacing w:val="-2"/>
          <w:szCs w:val="24"/>
          <w:lang w:val="en-US"/>
        </w:rPr>
        <w:t>Res.154 (R</w:t>
      </w:r>
      <w:r w:rsidR="00775FCA" w:rsidRPr="008B0EB9">
        <w:rPr>
          <w:rFonts w:asciiTheme="minorHAnsi" w:hAnsiTheme="minorHAnsi" w:cs="Times New Roman Bold"/>
          <w:b/>
          <w:bCs/>
          <w:i/>
          <w:iCs/>
          <w:spacing w:val="-2"/>
          <w:szCs w:val="24"/>
          <w:lang w:val="en-US"/>
        </w:rPr>
        <w:t>ev. Busan, 2014) and Res.</w:t>
      </w:r>
      <w:r w:rsidR="000726CF" w:rsidRPr="008B0EB9">
        <w:rPr>
          <w:rFonts w:asciiTheme="minorHAnsi" w:hAnsiTheme="minorHAnsi" w:cs="Times New Roman Bold"/>
          <w:b/>
          <w:bCs/>
          <w:i/>
          <w:iCs/>
          <w:spacing w:val="-2"/>
          <w:szCs w:val="24"/>
          <w:lang w:val="en-US"/>
        </w:rPr>
        <w:t> </w:t>
      </w:r>
      <w:r w:rsidR="00775FCA" w:rsidRPr="008B0EB9">
        <w:rPr>
          <w:rFonts w:asciiTheme="minorHAnsi" w:hAnsiTheme="minorHAnsi" w:cs="Times New Roman Bold"/>
          <w:b/>
          <w:bCs/>
          <w:i/>
          <w:iCs/>
          <w:spacing w:val="-2"/>
          <w:szCs w:val="24"/>
          <w:lang w:val="en-US"/>
        </w:rPr>
        <w:t>1372</w:t>
      </w:r>
      <w:r w:rsidR="00987F7A" w:rsidRPr="008B0EB9">
        <w:rPr>
          <w:rFonts w:asciiTheme="minorHAnsi" w:hAnsiTheme="minorHAnsi" w:cs="Times New Roman Bold"/>
          <w:b/>
          <w:bCs/>
          <w:i/>
          <w:iCs/>
          <w:spacing w:val="-2"/>
          <w:szCs w:val="24"/>
          <w:lang w:val="en-US"/>
        </w:rPr>
        <w:t xml:space="preserve"> </w:t>
      </w:r>
    </w:p>
    <w:p w14:paraId="099D02D6" w14:textId="77777777" w:rsidR="00D1374F" w:rsidRPr="006016CC" w:rsidRDefault="006D2FDD" w:rsidP="008B0EB9">
      <w:pPr>
        <w:snapToGrid w:val="0"/>
        <w:spacing w:after="120"/>
        <w:jc w:val="both"/>
        <w:rPr>
          <w:rFonts w:asciiTheme="minorHAnsi" w:hAnsiTheme="minorHAnsi"/>
          <w:szCs w:val="24"/>
          <w:lang w:val="en-US"/>
        </w:rPr>
      </w:pPr>
      <w:r w:rsidRPr="006016CC">
        <w:rPr>
          <w:rFonts w:asciiTheme="minorHAnsi" w:hAnsiTheme="minorHAnsi"/>
          <w:szCs w:val="24"/>
          <w:lang w:val="en-US"/>
        </w:rPr>
        <w:t>In 2016</w:t>
      </w:r>
      <w:r w:rsidR="00D16269" w:rsidRPr="006016CC">
        <w:rPr>
          <w:rFonts w:asciiTheme="minorHAnsi" w:hAnsiTheme="minorHAnsi"/>
          <w:szCs w:val="24"/>
          <w:lang w:val="en-US"/>
        </w:rPr>
        <w:t>, the Secretariat introduced a</w:t>
      </w:r>
      <w:r w:rsidRPr="006016CC">
        <w:rPr>
          <w:rFonts w:asciiTheme="minorHAnsi" w:hAnsiTheme="minorHAnsi"/>
          <w:szCs w:val="24"/>
          <w:lang w:val="en-US"/>
        </w:rPr>
        <w:t>nother</w:t>
      </w:r>
      <w:r w:rsidR="00D16269" w:rsidRPr="006016CC">
        <w:rPr>
          <w:rFonts w:asciiTheme="minorHAnsi" w:hAnsiTheme="minorHAnsi"/>
          <w:szCs w:val="24"/>
          <w:lang w:val="en-US"/>
        </w:rPr>
        <w:t xml:space="preserve"> </w:t>
      </w:r>
      <w:r w:rsidR="003160B2" w:rsidRPr="006016CC">
        <w:rPr>
          <w:rFonts w:asciiTheme="minorHAnsi" w:hAnsiTheme="minorHAnsi"/>
          <w:szCs w:val="24"/>
          <w:lang w:val="en-US"/>
        </w:rPr>
        <w:t xml:space="preserve">set </w:t>
      </w:r>
      <w:r w:rsidR="00D16269" w:rsidRPr="006016CC">
        <w:rPr>
          <w:rFonts w:asciiTheme="minorHAnsi" w:hAnsiTheme="minorHAnsi"/>
          <w:szCs w:val="24"/>
          <w:lang w:val="en-US"/>
        </w:rPr>
        <w:t xml:space="preserve">of initiatives </w:t>
      </w:r>
      <w:r w:rsidR="00D1374F" w:rsidRPr="006016CC">
        <w:rPr>
          <w:rFonts w:asciiTheme="minorHAnsi" w:hAnsiTheme="minorHAnsi"/>
          <w:szCs w:val="24"/>
          <w:lang w:val="en-US"/>
        </w:rPr>
        <w:t xml:space="preserve">aiming </w:t>
      </w:r>
      <w:r w:rsidR="00D16269" w:rsidRPr="006016CC">
        <w:rPr>
          <w:rFonts w:asciiTheme="minorHAnsi" w:hAnsiTheme="minorHAnsi"/>
          <w:szCs w:val="24"/>
          <w:lang w:val="en-US"/>
        </w:rPr>
        <w:t xml:space="preserve">to increase efficiency and reduce costs while promoting the equitable use of ITU official languages. The Secretariat notes, with satisfaction, that </w:t>
      </w:r>
      <w:r w:rsidR="00D1374F" w:rsidRPr="006016CC">
        <w:rPr>
          <w:rFonts w:asciiTheme="minorHAnsi" w:hAnsiTheme="minorHAnsi"/>
          <w:szCs w:val="24"/>
          <w:lang w:val="en-US"/>
        </w:rPr>
        <w:t xml:space="preserve">all </w:t>
      </w:r>
      <w:r w:rsidR="00D16269" w:rsidRPr="006016CC">
        <w:rPr>
          <w:rFonts w:asciiTheme="minorHAnsi" w:hAnsiTheme="minorHAnsi"/>
          <w:szCs w:val="24"/>
          <w:lang w:val="en-US"/>
        </w:rPr>
        <w:t>proposed measures have</w:t>
      </w:r>
      <w:r w:rsidR="00D1374F" w:rsidRPr="006016CC">
        <w:rPr>
          <w:rFonts w:asciiTheme="minorHAnsi" w:hAnsiTheme="minorHAnsi"/>
          <w:szCs w:val="24"/>
          <w:lang w:val="en-US"/>
        </w:rPr>
        <w:t xml:space="preserve"> attained the intended results partly or fully, as noted below: </w:t>
      </w:r>
    </w:p>
    <w:p w14:paraId="6782922C" w14:textId="77777777" w:rsidR="00AF2509" w:rsidRPr="006016CC" w:rsidRDefault="00455692" w:rsidP="008B0EB9">
      <w:pPr>
        <w:pStyle w:val="ListParagraph"/>
        <w:numPr>
          <w:ilvl w:val="0"/>
          <w:numId w:val="2"/>
        </w:numPr>
        <w:snapToGrid w:val="0"/>
        <w:spacing w:after="120"/>
        <w:contextualSpacing w:val="0"/>
        <w:jc w:val="both"/>
        <w:rPr>
          <w:rFonts w:asciiTheme="minorHAnsi" w:hAnsiTheme="minorHAnsi"/>
          <w:szCs w:val="24"/>
        </w:rPr>
      </w:pPr>
      <w:r w:rsidRPr="006016CC">
        <w:rPr>
          <w:rFonts w:asciiTheme="minorHAnsi" w:hAnsiTheme="minorHAnsi"/>
          <w:szCs w:val="24"/>
        </w:rPr>
        <w:t xml:space="preserve">The </w:t>
      </w:r>
      <w:r w:rsidR="00650641" w:rsidRPr="006016CC">
        <w:rPr>
          <w:rFonts w:asciiTheme="minorHAnsi" w:hAnsiTheme="minorHAnsi"/>
          <w:szCs w:val="24"/>
        </w:rPr>
        <w:t xml:space="preserve">consideration </w:t>
      </w:r>
      <w:r w:rsidRPr="006016CC">
        <w:rPr>
          <w:rFonts w:asciiTheme="minorHAnsi" w:hAnsiTheme="minorHAnsi"/>
          <w:szCs w:val="24"/>
        </w:rPr>
        <w:t xml:space="preserve">of a new </w:t>
      </w:r>
      <w:r w:rsidRPr="006016CC">
        <w:rPr>
          <w:rFonts w:asciiTheme="minorHAnsi" w:hAnsiTheme="minorHAnsi"/>
          <w:b/>
          <w:bCs/>
          <w:szCs w:val="24"/>
        </w:rPr>
        <w:t>D</w:t>
      </w:r>
      <w:r w:rsidR="006F73CB" w:rsidRPr="006016CC">
        <w:rPr>
          <w:rFonts w:asciiTheme="minorHAnsi" w:hAnsiTheme="minorHAnsi"/>
          <w:b/>
          <w:bCs/>
          <w:szCs w:val="24"/>
        </w:rPr>
        <w:t>ocument Production System</w:t>
      </w:r>
      <w:r w:rsidR="006F73CB" w:rsidRPr="006016CC">
        <w:rPr>
          <w:rFonts w:asciiTheme="minorHAnsi" w:hAnsiTheme="minorHAnsi"/>
          <w:szCs w:val="24"/>
        </w:rPr>
        <w:t xml:space="preserve"> </w:t>
      </w:r>
      <w:r w:rsidRPr="006016CC">
        <w:rPr>
          <w:rFonts w:asciiTheme="minorHAnsi" w:hAnsiTheme="minorHAnsi"/>
          <w:szCs w:val="24"/>
        </w:rPr>
        <w:t xml:space="preserve">in ITU </w:t>
      </w:r>
      <w:r w:rsidR="00650641" w:rsidRPr="006016CC">
        <w:rPr>
          <w:rFonts w:asciiTheme="minorHAnsi" w:hAnsiTheme="minorHAnsi"/>
          <w:szCs w:val="24"/>
        </w:rPr>
        <w:t>is continuing</w:t>
      </w:r>
      <w:r w:rsidRPr="006016CC">
        <w:rPr>
          <w:rFonts w:asciiTheme="minorHAnsi" w:hAnsiTheme="minorHAnsi"/>
          <w:szCs w:val="24"/>
        </w:rPr>
        <w:t xml:space="preserve"> and a negotiation for buying an existent software developed by UNODC in Vienna was done during 2016. This software is already in use in UN Vienna, UN New York, UNECA in Addis</w:t>
      </w:r>
      <w:r w:rsidR="006F73CB" w:rsidRPr="006016CC">
        <w:rPr>
          <w:rFonts w:asciiTheme="minorHAnsi" w:hAnsiTheme="minorHAnsi"/>
          <w:szCs w:val="24"/>
        </w:rPr>
        <w:t xml:space="preserve"> </w:t>
      </w:r>
      <w:r w:rsidR="00650641" w:rsidRPr="006016CC">
        <w:rPr>
          <w:rFonts w:asciiTheme="minorHAnsi" w:hAnsiTheme="minorHAnsi"/>
          <w:szCs w:val="24"/>
        </w:rPr>
        <w:t>Ababa</w:t>
      </w:r>
      <w:r w:rsidRPr="006016CC">
        <w:rPr>
          <w:rFonts w:asciiTheme="minorHAnsi" w:hAnsiTheme="minorHAnsi"/>
          <w:szCs w:val="24"/>
        </w:rPr>
        <w:t xml:space="preserve"> and UN Geneva for this purpose. The software needs customization to meet ITU needs in terms of document and publications workflow. This customization is being carried presently with the interested parties and the roll-out is expected in 2017</w:t>
      </w:r>
      <w:r w:rsidR="00BF1C91" w:rsidRPr="006016CC">
        <w:rPr>
          <w:rFonts w:asciiTheme="minorHAnsi" w:hAnsiTheme="minorHAnsi"/>
          <w:szCs w:val="24"/>
        </w:rPr>
        <w:t>.</w:t>
      </w:r>
    </w:p>
    <w:p w14:paraId="172E984D" w14:textId="77777777" w:rsidR="002F4015" w:rsidRPr="006016CC" w:rsidRDefault="002F4015" w:rsidP="008B0EB9">
      <w:pPr>
        <w:pStyle w:val="ListParagraph"/>
        <w:numPr>
          <w:ilvl w:val="0"/>
          <w:numId w:val="2"/>
        </w:numPr>
        <w:snapToGrid w:val="0"/>
        <w:spacing w:after="120"/>
        <w:contextualSpacing w:val="0"/>
        <w:jc w:val="both"/>
        <w:rPr>
          <w:rFonts w:asciiTheme="minorHAnsi" w:hAnsiTheme="minorHAnsi"/>
          <w:szCs w:val="24"/>
        </w:rPr>
      </w:pPr>
      <w:r w:rsidRPr="006016CC">
        <w:rPr>
          <w:rFonts w:asciiTheme="minorHAnsi" w:hAnsiTheme="minorHAnsi"/>
          <w:szCs w:val="24"/>
        </w:rPr>
        <w:t xml:space="preserve">Efforts to </w:t>
      </w:r>
      <w:r w:rsidR="00AD278E" w:rsidRPr="006016CC">
        <w:rPr>
          <w:rFonts w:asciiTheme="minorHAnsi" w:hAnsiTheme="minorHAnsi"/>
          <w:b/>
          <w:bCs/>
          <w:szCs w:val="24"/>
        </w:rPr>
        <w:t>reduce</w:t>
      </w:r>
      <w:r w:rsidRPr="006016CC">
        <w:rPr>
          <w:rFonts w:asciiTheme="minorHAnsi" w:hAnsiTheme="minorHAnsi"/>
          <w:b/>
          <w:bCs/>
          <w:szCs w:val="24"/>
        </w:rPr>
        <w:t xml:space="preserve"> the use of paper documents by ITU interpreters</w:t>
      </w:r>
      <w:r w:rsidRPr="006016CC">
        <w:rPr>
          <w:rFonts w:asciiTheme="minorHAnsi" w:hAnsiTheme="minorHAnsi"/>
          <w:szCs w:val="24"/>
        </w:rPr>
        <w:t xml:space="preserve"> have been the subject of another two weeks of tests during ITU-D meetings. C&amp;P continues to engage with the interpreters and the Bureaux in search of the ideal balance.</w:t>
      </w:r>
    </w:p>
    <w:p w14:paraId="71956E2D" w14:textId="77777777" w:rsidR="000C199E" w:rsidRPr="006016CC" w:rsidRDefault="006D2FDD" w:rsidP="008B0EB9">
      <w:pPr>
        <w:pStyle w:val="ListParagraph"/>
        <w:numPr>
          <w:ilvl w:val="0"/>
          <w:numId w:val="2"/>
        </w:numPr>
        <w:snapToGrid w:val="0"/>
        <w:spacing w:after="120"/>
        <w:contextualSpacing w:val="0"/>
        <w:jc w:val="both"/>
        <w:rPr>
          <w:rFonts w:asciiTheme="minorHAnsi" w:hAnsiTheme="minorHAnsi"/>
          <w:szCs w:val="24"/>
        </w:rPr>
      </w:pPr>
      <w:r w:rsidRPr="006016CC">
        <w:rPr>
          <w:rFonts w:asciiTheme="minorHAnsi" w:hAnsiTheme="minorHAnsi"/>
          <w:szCs w:val="24"/>
        </w:rPr>
        <w:t xml:space="preserve">C&amp;P has initiated </w:t>
      </w:r>
      <w:r w:rsidR="00F5243E" w:rsidRPr="006016CC">
        <w:rPr>
          <w:rFonts w:asciiTheme="minorHAnsi" w:hAnsiTheme="minorHAnsi"/>
          <w:szCs w:val="24"/>
        </w:rPr>
        <w:t xml:space="preserve">consultations with actors involved and other agencies with a view to define qualitative and quantitative </w:t>
      </w:r>
      <w:r w:rsidR="00F5243E" w:rsidRPr="006016CC">
        <w:rPr>
          <w:rFonts w:asciiTheme="minorHAnsi" w:hAnsiTheme="minorHAnsi"/>
          <w:b/>
          <w:bCs/>
          <w:szCs w:val="24"/>
        </w:rPr>
        <w:t>performance indicators</w:t>
      </w:r>
      <w:r w:rsidR="00F5243E" w:rsidRPr="006016CC">
        <w:rPr>
          <w:rFonts w:asciiTheme="minorHAnsi" w:hAnsiTheme="minorHAnsi"/>
          <w:szCs w:val="24"/>
        </w:rPr>
        <w:t xml:space="preserve"> </w:t>
      </w:r>
      <w:r w:rsidR="00AD278E" w:rsidRPr="006016CC">
        <w:rPr>
          <w:rFonts w:asciiTheme="minorHAnsi" w:hAnsiTheme="minorHAnsi"/>
          <w:szCs w:val="24"/>
        </w:rPr>
        <w:t xml:space="preserve">both for translation and interpretation </w:t>
      </w:r>
      <w:r w:rsidR="00F5243E" w:rsidRPr="006016CC">
        <w:rPr>
          <w:rFonts w:asciiTheme="minorHAnsi" w:hAnsiTheme="minorHAnsi"/>
          <w:szCs w:val="24"/>
        </w:rPr>
        <w:t xml:space="preserve">with regard to </w:t>
      </w:r>
      <w:r w:rsidR="008B4F08" w:rsidRPr="006016CC">
        <w:rPr>
          <w:rFonts w:asciiTheme="minorHAnsi" w:hAnsiTheme="minorHAnsi"/>
          <w:szCs w:val="24"/>
        </w:rPr>
        <w:t>productivity</w:t>
      </w:r>
      <w:r w:rsidR="00F5243E" w:rsidRPr="006016CC">
        <w:rPr>
          <w:rFonts w:asciiTheme="minorHAnsi" w:hAnsiTheme="minorHAnsi"/>
          <w:szCs w:val="24"/>
        </w:rPr>
        <w:t xml:space="preserve">, timely delivery, </w:t>
      </w:r>
      <w:r w:rsidR="008B4F08" w:rsidRPr="006016CC">
        <w:rPr>
          <w:rFonts w:asciiTheme="minorHAnsi" w:hAnsiTheme="minorHAnsi"/>
          <w:szCs w:val="24"/>
        </w:rPr>
        <w:t>and use of ITU’s Conference Proposal Interface (CPI)</w:t>
      </w:r>
      <w:r w:rsidR="00AD278E" w:rsidRPr="006016CC">
        <w:rPr>
          <w:rFonts w:asciiTheme="minorHAnsi" w:hAnsiTheme="minorHAnsi"/>
          <w:szCs w:val="24"/>
        </w:rPr>
        <w:t>, among others</w:t>
      </w:r>
      <w:r w:rsidR="00F5243E" w:rsidRPr="006016CC">
        <w:rPr>
          <w:rFonts w:asciiTheme="minorHAnsi" w:hAnsiTheme="minorHAnsi"/>
          <w:szCs w:val="24"/>
        </w:rPr>
        <w:t>.</w:t>
      </w:r>
      <w:r w:rsidR="000C199E" w:rsidRPr="006016CC">
        <w:rPr>
          <w:rFonts w:asciiTheme="minorHAnsi" w:hAnsiTheme="minorHAnsi"/>
          <w:szCs w:val="24"/>
        </w:rPr>
        <w:t xml:space="preserve"> </w:t>
      </w:r>
    </w:p>
    <w:p w14:paraId="0CB0BAFF" w14:textId="1835AED6" w:rsidR="00421A21" w:rsidRPr="006016CC" w:rsidRDefault="007A3F35" w:rsidP="008B0EB9">
      <w:pPr>
        <w:pStyle w:val="ListParagraph"/>
        <w:keepNext/>
        <w:keepLines/>
        <w:numPr>
          <w:ilvl w:val="0"/>
          <w:numId w:val="1"/>
        </w:numPr>
        <w:snapToGrid w:val="0"/>
        <w:spacing w:after="120"/>
        <w:contextualSpacing w:val="0"/>
        <w:jc w:val="both"/>
        <w:rPr>
          <w:rFonts w:asciiTheme="minorHAnsi" w:hAnsiTheme="minorHAnsi"/>
          <w:b/>
          <w:bCs/>
          <w:i/>
          <w:iCs/>
          <w:szCs w:val="24"/>
          <w:lang w:val="en-US"/>
        </w:rPr>
      </w:pPr>
      <w:r w:rsidRPr="006016CC">
        <w:rPr>
          <w:rFonts w:asciiTheme="minorHAnsi" w:hAnsiTheme="minorHAnsi"/>
          <w:b/>
          <w:bCs/>
          <w:i/>
          <w:iCs/>
          <w:szCs w:val="24"/>
          <w:lang w:val="en-US"/>
        </w:rPr>
        <w:t xml:space="preserve">Alternative </w:t>
      </w:r>
      <w:r w:rsidR="00421A21" w:rsidRPr="006016CC">
        <w:rPr>
          <w:rFonts w:asciiTheme="minorHAnsi" w:hAnsiTheme="minorHAnsi"/>
          <w:b/>
          <w:bCs/>
          <w:i/>
          <w:iCs/>
          <w:szCs w:val="24"/>
          <w:lang w:val="en-US"/>
        </w:rPr>
        <w:t xml:space="preserve">translation procedures </w:t>
      </w:r>
    </w:p>
    <w:p w14:paraId="73028BD8" w14:textId="77777777" w:rsidR="000A1906" w:rsidRPr="006016CC" w:rsidRDefault="002C1C67" w:rsidP="008B0EB9">
      <w:pPr>
        <w:keepNext/>
        <w:keepLines/>
        <w:snapToGrid w:val="0"/>
        <w:spacing w:after="120"/>
        <w:jc w:val="both"/>
        <w:rPr>
          <w:rFonts w:asciiTheme="minorHAnsi" w:hAnsiTheme="minorHAnsi"/>
          <w:szCs w:val="24"/>
        </w:rPr>
      </w:pPr>
      <w:r w:rsidRPr="006016CC">
        <w:rPr>
          <w:rFonts w:asciiTheme="minorHAnsi" w:hAnsiTheme="minorHAnsi"/>
          <w:szCs w:val="24"/>
        </w:rPr>
        <w:t xml:space="preserve">The Union </w:t>
      </w:r>
      <w:r w:rsidR="00CF7B85" w:rsidRPr="006016CC">
        <w:rPr>
          <w:rFonts w:asciiTheme="minorHAnsi" w:hAnsiTheme="minorHAnsi"/>
          <w:szCs w:val="24"/>
        </w:rPr>
        <w:t>is constantly evaluating</w:t>
      </w:r>
      <w:r w:rsidRPr="006016CC">
        <w:rPr>
          <w:rFonts w:asciiTheme="minorHAnsi" w:hAnsiTheme="minorHAnsi"/>
          <w:szCs w:val="24"/>
        </w:rPr>
        <w:t>, test</w:t>
      </w:r>
      <w:r w:rsidR="00CF7B85" w:rsidRPr="006016CC">
        <w:rPr>
          <w:rFonts w:asciiTheme="minorHAnsi" w:hAnsiTheme="minorHAnsi"/>
          <w:szCs w:val="24"/>
        </w:rPr>
        <w:t>ing</w:t>
      </w:r>
      <w:r w:rsidRPr="006016CC">
        <w:rPr>
          <w:rFonts w:asciiTheme="minorHAnsi" w:hAnsiTheme="minorHAnsi"/>
          <w:szCs w:val="24"/>
        </w:rPr>
        <w:t xml:space="preserve"> and implement</w:t>
      </w:r>
      <w:r w:rsidR="00CF7B85" w:rsidRPr="006016CC">
        <w:rPr>
          <w:rFonts w:asciiTheme="minorHAnsi" w:hAnsiTheme="minorHAnsi"/>
          <w:szCs w:val="24"/>
        </w:rPr>
        <w:t>ing</w:t>
      </w:r>
      <w:r w:rsidRPr="006016CC">
        <w:rPr>
          <w:rFonts w:asciiTheme="minorHAnsi" w:hAnsiTheme="minorHAnsi"/>
          <w:szCs w:val="24"/>
        </w:rPr>
        <w:t xml:space="preserve"> viable </w:t>
      </w:r>
      <w:r w:rsidR="00064B17" w:rsidRPr="006016CC">
        <w:rPr>
          <w:rFonts w:asciiTheme="minorHAnsi" w:hAnsiTheme="minorHAnsi"/>
          <w:szCs w:val="24"/>
        </w:rPr>
        <w:t xml:space="preserve">and </w:t>
      </w:r>
      <w:r w:rsidRPr="006016CC">
        <w:rPr>
          <w:rFonts w:asciiTheme="minorHAnsi" w:hAnsiTheme="minorHAnsi"/>
          <w:szCs w:val="24"/>
        </w:rPr>
        <w:t xml:space="preserve">innovative translation procedures. </w:t>
      </w:r>
      <w:r w:rsidR="000A1906" w:rsidRPr="006016CC">
        <w:rPr>
          <w:rFonts w:asciiTheme="minorHAnsi" w:hAnsiTheme="minorHAnsi"/>
          <w:szCs w:val="24"/>
        </w:rPr>
        <w:t xml:space="preserve">In addition to outsourcing of translation work to </w:t>
      </w:r>
      <w:r w:rsidRPr="006016CC">
        <w:rPr>
          <w:rFonts w:asciiTheme="minorHAnsi" w:hAnsiTheme="minorHAnsi"/>
          <w:szCs w:val="24"/>
        </w:rPr>
        <w:t xml:space="preserve">recognized </w:t>
      </w:r>
      <w:r w:rsidR="000A1906" w:rsidRPr="006016CC">
        <w:rPr>
          <w:rFonts w:asciiTheme="minorHAnsi" w:hAnsiTheme="minorHAnsi"/>
          <w:szCs w:val="24"/>
        </w:rPr>
        <w:t xml:space="preserve">translation </w:t>
      </w:r>
      <w:r w:rsidRPr="006016CC">
        <w:rPr>
          <w:rFonts w:asciiTheme="minorHAnsi" w:hAnsiTheme="minorHAnsi"/>
          <w:szCs w:val="24"/>
        </w:rPr>
        <w:t xml:space="preserve">companies </w:t>
      </w:r>
      <w:r w:rsidR="00CF7B85" w:rsidRPr="006016CC">
        <w:rPr>
          <w:rFonts w:asciiTheme="minorHAnsi" w:hAnsiTheme="minorHAnsi"/>
          <w:szCs w:val="24"/>
        </w:rPr>
        <w:t xml:space="preserve">and freelance translators </w:t>
      </w:r>
      <w:r w:rsidRPr="006016CC">
        <w:rPr>
          <w:rFonts w:asciiTheme="minorHAnsi" w:hAnsiTheme="minorHAnsi"/>
          <w:szCs w:val="24"/>
        </w:rPr>
        <w:t xml:space="preserve">through calls for </w:t>
      </w:r>
      <w:r w:rsidR="000A1906" w:rsidRPr="006016CC">
        <w:rPr>
          <w:rFonts w:asciiTheme="minorHAnsi" w:hAnsiTheme="minorHAnsi"/>
          <w:szCs w:val="24"/>
        </w:rPr>
        <w:t>tender, significant progress is noted in the areas below:</w:t>
      </w:r>
    </w:p>
    <w:p w14:paraId="43BBDB0C" w14:textId="77777777" w:rsidR="008B2466" w:rsidRPr="006016CC" w:rsidRDefault="00817A3A" w:rsidP="008B0EB9">
      <w:pPr>
        <w:pStyle w:val="ListParagraph"/>
        <w:numPr>
          <w:ilvl w:val="0"/>
          <w:numId w:val="3"/>
        </w:numPr>
        <w:snapToGrid w:val="0"/>
        <w:spacing w:after="120"/>
        <w:contextualSpacing w:val="0"/>
        <w:jc w:val="both"/>
        <w:rPr>
          <w:rFonts w:asciiTheme="minorHAnsi" w:hAnsiTheme="minorHAnsi"/>
          <w:szCs w:val="24"/>
          <w:lang w:val="en-US"/>
        </w:rPr>
      </w:pPr>
      <w:r w:rsidRPr="006016CC">
        <w:rPr>
          <w:rFonts w:asciiTheme="minorHAnsi" w:hAnsiTheme="minorHAnsi"/>
          <w:szCs w:val="24"/>
          <w:lang w:val="en-US"/>
        </w:rPr>
        <w:t xml:space="preserve">ITU keeps abreast of developments in </w:t>
      </w:r>
      <w:r w:rsidRPr="006016CC">
        <w:rPr>
          <w:rFonts w:asciiTheme="minorHAnsi" w:hAnsiTheme="minorHAnsi"/>
          <w:b/>
          <w:bCs/>
          <w:szCs w:val="24"/>
          <w:lang w:val="en-US"/>
        </w:rPr>
        <w:t>computer-aided translation and machine translation</w:t>
      </w:r>
      <w:r w:rsidRPr="006016CC">
        <w:rPr>
          <w:rFonts w:asciiTheme="minorHAnsi" w:hAnsiTheme="minorHAnsi"/>
          <w:szCs w:val="24"/>
          <w:lang w:val="en-US"/>
        </w:rPr>
        <w:t xml:space="preserve">, and of their viability for possible integration in the translation workflow. To that effect, a project to improve the translators’ working environment is ongoing. For the moment, the ITU terminology database (Termite) has been integrated into </w:t>
      </w:r>
      <w:proofErr w:type="spellStart"/>
      <w:r w:rsidRPr="006016CC">
        <w:rPr>
          <w:rFonts w:asciiTheme="minorHAnsi" w:hAnsiTheme="minorHAnsi"/>
          <w:b/>
          <w:bCs/>
          <w:szCs w:val="24"/>
          <w:lang w:val="en-US"/>
        </w:rPr>
        <w:t>LogiTerm</w:t>
      </w:r>
      <w:proofErr w:type="spellEnd"/>
      <w:r w:rsidRPr="006016CC">
        <w:rPr>
          <w:rFonts w:asciiTheme="minorHAnsi" w:hAnsiTheme="minorHAnsi"/>
          <w:szCs w:val="24"/>
          <w:lang w:val="en-US"/>
        </w:rPr>
        <w:t xml:space="preserve">, the main computer-aided translation tool used, thus making all resources available to the translator within only one interface. Moreover, a training was given in November to translators to initiate them to even more functions of the tool that could help them saving time in their daily work. </w:t>
      </w:r>
    </w:p>
    <w:p w14:paraId="18CF45AF" w14:textId="453EA687" w:rsidR="005C54BE" w:rsidRPr="006016CC" w:rsidRDefault="00817A3A" w:rsidP="008B0EB9">
      <w:pPr>
        <w:pStyle w:val="ListParagraph"/>
        <w:snapToGrid w:val="0"/>
        <w:spacing w:after="120"/>
        <w:contextualSpacing w:val="0"/>
        <w:jc w:val="both"/>
        <w:rPr>
          <w:rFonts w:asciiTheme="minorHAnsi" w:hAnsiTheme="minorHAnsi"/>
          <w:szCs w:val="24"/>
        </w:rPr>
      </w:pPr>
      <w:r w:rsidRPr="006016CC">
        <w:rPr>
          <w:rFonts w:asciiTheme="minorHAnsi" w:hAnsiTheme="minorHAnsi"/>
          <w:szCs w:val="24"/>
          <w:lang w:val="en-US"/>
        </w:rPr>
        <w:t xml:space="preserve">With regards to the current </w:t>
      </w:r>
      <w:r w:rsidRPr="006016CC">
        <w:rPr>
          <w:rFonts w:asciiTheme="minorHAnsi" w:hAnsiTheme="minorHAnsi"/>
          <w:b/>
          <w:bCs/>
          <w:szCs w:val="24"/>
          <w:lang w:val="en-US"/>
        </w:rPr>
        <w:t>machine translation project</w:t>
      </w:r>
      <w:r w:rsidRPr="006016CC">
        <w:rPr>
          <w:rFonts w:asciiTheme="minorHAnsi" w:hAnsiTheme="minorHAnsi"/>
          <w:szCs w:val="24"/>
          <w:lang w:val="en-US"/>
        </w:rPr>
        <w:t xml:space="preserve"> in liaison with WIPO, more language pairs are being added (current language pairs are English to Chinese, French and Spanish). The possibility to integrate it with the translat</w:t>
      </w:r>
      <w:r w:rsidR="00CE566C">
        <w:rPr>
          <w:rFonts w:asciiTheme="minorHAnsi" w:hAnsiTheme="minorHAnsi"/>
          <w:szCs w:val="24"/>
          <w:lang w:val="en-US"/>
        </w:rPr>
        <w:t>ion tool is to be investigated.</w:t>
      </w:r>
    </w:p>
    <w:p w14:paraId="62B11ABF" w14:textId="43673D70" w:rsidR="000C5062" w:rsidRPr="006016CC" w:rsidRDefault="003C10F2" w:rsidP="008B0EB9">
      <w:pPr>
        <w:pStyle w:val="ListParagraph"/>
        <w:numPr>
          <w:ilvl w:val="0"/>
          <w:numId w:val="3"/>
        </w:numPr>
        <w:snapToGrid w:val="0"/>
        <w:spacing w:after="120"/>
        <w:contextualSpacing w:val="0"/>
        <w:jc w:val="both"/>
        <w:rPr>
          <w:rFonts w:asciiTheme="minorHAnsi" w:hAnsiTheme="minorHAnsi"/>
          <w:szCs w:val="24"/>
        </w:rPr>
      </w:pPr>
      <w:r w:rsidRPr="006016CC">
        <w:rPr>
          <w:rFonts w:asciiTheme="minorHAnsi" w:hAnsiTheme="minorHAnsi"/>
          <w:szCs w:val="24"/>
        </w:rPr>
        <w:t xml:space="preserve">Council-15 had instructed the Secretary-General and the Directors of the Bureaux “to study the </w:t>
      </w:r>
      <w:r w:rsidRPr="006016CC">
        <w:rPr>
          <w:rFonts w:asciiTheme="minorHAnsi" w:hAnsiTheme="minorHAnsi"/>
          <w:b/>
          <w:bCs/>
          <w:szCs w:val="24"/>
        </w:rPr>
        <w:t>use of remote interpretation</w:t>
      </w:r>
      <w:r w:rsidRPr="006016CC">
        <w:rPr>
          <w:rFonts w:asciiTheme="minorHAnsi" w:hAnsiTheme="minorHAnsi"/>
          <w:szCs w:val="24"/>
        </w:rPr>
        <w:t xml:space="preserve"> in consultation with CWG-LANG.” (Document C15/99-E). While cognizant of the potential legal, technical and financial difficulties involved in bringing such a system to fruition, the Secretariat commissioned a preliminary study by C&amp;P and IS. On occasion of the ITU Telecom</w:t>
      </w:r>
      <w:r w:rsidR="00770E42" w:rsidRPr="006016CC">
        <w:rPr>
          <w:rFonts w:asciiTheme="minorHAnsi" w:hAnsiTheme="minorHAnsi"/>
          <w:szCs w:val="24"/>
        </w:rPr>
        <w:t xml:space="preserve"> 20</w:t>
      </w:r>
      <w:r w:rsidR="00650641" w:rsidRPr="006016CC">
        <w:rPr>
          <w:rFonts w:asciiTheme="minorHAnsi" w:hAnsiTheme="minorHAnsi"/>
          <w:szCs w:val="24"/>
        </w:rPr>
        <w:t>16</w:t>
      </w:r>
      <w:r w:rsidRPr="006016CC">
        <w:rPr>
          <w:rFonts w:asciiTheme="minorHAnsi" w:hAnsiTheme="minorHAnsi"/>
          <w:szCs w:val="24"/>
        </w:rPr>
        <w:t xml:space="preserve">, a full remote interpretation pilot test was conducted in English and French. A team of interpreters working out of standard booths in Geneva (ITU room K) managed to service a total of two sessions taking place in Bangkok on November 16, 2016. Tests were conducted in partnership with a Zurich-based private company, which offered to showcase its cloud-based technology free of charge. From a technical point of view, results, although promising, were inconclusive. C&amp;P and IS </w:t>
      </w:r>
      <w:r w:rsidR="00C472F3">
        <w:rPr>
          <w:rFonts w:asciiTheme="minorHAnsi" w:hAnsiTheme="minorHAnsi"/>
          <w:szCs w:val="24"/>
        </w:rPr>
        <w:t xml:space="preserve">will </w:t>
      </w:r>
      <w:r w:rsidRPr="006016CC">
        <w:rPr>
          <w:rFonts w:asciiTheme="minorHAnsi" w:hAnsiTheme="minorHAnsi"/>
          <w:szCs w:val="24"/>
        </w:rPr>
        <w:t xml:space="preserve">therefore conduct </w:t>
      </w:r>
      <w:r w:rsidR="00C472F3">
        <w:rPr>
          <w:rFonts w:asciiTheme="minorHAnsi" w:hAnsiTheme="minorHAnsi"/>
          <w:szCs w:val="24"/>
        </w:rPr>
        <w:t xml:space="preserve">further tests </w:t>
      </w:r>
      <w:r w:rsidRPr="006016CC">
        <w:rPr>
          <w:rFonts w:asciiTheme="minorHAnsi" w:hAnsiTheme="minorHAnsi"/>
          <w:szCs w:val="24"/>
        </w:rPr>
        <w:t>in the future on different platforms and technologies.</w:t>
      </w:r>
    </w:p>
    <w:p w14:paraId="3F5BF8DD" w14:textId="762EC1CB" w:rsidR="00455692" w:rsidRPr="00553A09" w:rsidRDefault="00455692" w:rsidP="008B0EB9">
      <w:pPr>
        <w:pStyle w:val="ListParagraph"/>
        <w:numPr>
          <w:ilvl w:val="0"/>
          <w:numId w:val="3"/>
        </w:numPr>
        <w:snapToGrid w:val="0"/>
        <w:spacing w:after="120"/>
        <w:ind w:left="714" w:hanging="357"/>
        <w:contextualSpacing w:val="0"/>
        <w:jc w:val="both"/>
        <w:rPr>
          <w:rFonts w:asciiTheme="minorHAnsi" w:hAnsiTheme="minorHAnsi"/>
          <w:szCs w:val="24"/>
        </w:rPr>
      </w:pPr>
      <w:r w:rsidRPr="006016CC">
        <w:rPr>
          <w:rFonts w:asciiTheme="minorHAnsi" w:hAnsiTheme="minorHAnsi"/>
          <w:szCs w:val="24"/>
        </w:rPr>
        <w:t xml:space="preserve">From 21 January 2016 to 24 November 2016, a total number of 50 webpages were </w:t>
      </w:r>
      <w:r w:rsidR="00650641" w:rsidRPr="006016CC">
        <w:rPr>
          <w:rFonts w:asciiTheme="minorHAnsi" w:hAnsiTheme="minorHAnsi"/>
          <w:szCs w:val="24"/>
        </w:rPr>
        <w:t xml:space="preserve">translated </w:t>
      </w:r>
      <w:r w:rsidRPr="006016CC">
        <w:rPr>
          <w:rFonts w:asciiTheme="minorHAnsi" w:hAnsiTheme="minorHAnsi"/>
          <w:szCs w:val="24"/>
        </w:rPr>
        <w:t>into Arabic, Chinese and Spanish</w:t>
      </w:r>
      <w:r w:rsidR="00650641" w:rsidRPr="006016CC">
        <w:rPr>
          <w:rFonts w:asciiTheme="minorHAnsi" w:hAnsiTheme="minorHAnsi"/>
          <w:szCs w:val="24"/>
        </w:rPr>
        <w:t xml:space="preserve"> within the scope of the </w:t>
      </w:r>
      <w:r w:rsidR="00650641" w:rsidRPr="00553A09">
        <w:rPr>
          <w:rFonts w:asciiTheme="minorHAnsi" w:hAnsiTheme="minorHAnsi"/>
          <w:b/>
          <w:bCs/>
          <w:szCs w:val="24"/>
        </w:rPr>
        <w:t xml:space="preserve">pilot project for the translation of webpages with the help of some administrations. </w:t>
      </w:r>
      <w:r w:rsidRPr="00553A09">
        <w:rPr>
          <w:rFonts w:asciiTheme="minorHAnsi" w:hAnsiTheme="minorHAnsi"/>
          <w:b/>
          <w:bCs/>
          <w:szCs w:val="24"/>
          <w:u w:val="single"/>
        </w:rPr>
        <w:t>Arabic</w:t>
      </w:r>
      <w:r w:rsidRPr="00553A09">
        <w:rPr>
          <w:rFonts w:asciiTheme="minorHAnsi" w:hAnsiTheme="minorHAnsi"/>
          <w:szCs w:val="24"/>
        </w:rPr>
        <w:t xml:space="preserve"> translations were </w:t>
      </w:r>
      <w:r w:rsidR="00770E42" w:rsidRPr="006016CC">
        <w:rPr>
          <w:rFonts w:asciiTheme="minorHAnsi" w:hAnsiTheme="minorHAnsi"/>
          <w:szCs w:val="24"/>
        </w:rPr>
        <w:t>organized</w:t>
      </w:r>
      <w:r w:rsidR="00770E42" w:rsidRPr="00553A09">
        <w:rPr>
          <w:rFonts w:asciiTheme="minorHAnsi" w:hAnsiTheme="minorHAnsi"/>
          <w:szCs w:val="24"/>
        </w:rPr>
        <w:t xml:space="preserve"> </w:t>
      </w:r>
      <w:r w:rsidRPr="00553A09">
        <w:rPr>
          <w:rFonts w:asciiTheme="minorHAnsi" w:hAnsiTheme="minorHAnsi"/>
          <w:szCs w:val="24"/>
        </w:rPr>
        <w:t xml:space="preserve">by the </w:t>
      </w:r>
      <w:r w:rsidR="00770E42" w:rsidRPr="00553A09">
        <w:rPr>
          <w:rFonts w:asciiTheme="minorHAnsi" w:hAnsiTheme="minorHAnsi"/>
          <w:szCs w:val="24"/>
        </w:rPr>
        <w:t>Administration of</w:t>
      </w:r>
      <w:r w:rsidRPr="00553A09">
        <w:rPr>
          <w:rFonts w:asciiTheme="minorHAnsi" w:hAnsiTheme="minorHAnsi"/>
          <w:szCs w:val="24"/>
        </w:rPr>
        <w:t xml:space="preserve"> Egypt. For translation in </w:t>
      </w:r>
      <w:r w:rsidRPr="00553A09">
        <w:rPr>
          <w:rFonts w:asciiTheme="minorHAnsi" w:hAnsiTheme="minorHAnsi"/>
          <w:b/>
          <w:bCs/>
          <w:szCs w:val="24"/>
          <w:u w:val="single"/>
        </w:rPr>
        <w:t>Chinese</w:t>
      </w:r>
      <w:r w:rsidRPr="00553A09">
        <w:rPr>
          <w:rFonts w:asciiTheme="minorHAnsi" w:hAnsiTheme="minorHAnsi"/>
          <w:szCs w:val="24"/>
        </w:rPr>
        <w:t xml:space="preserve">, </w:t>
      </w:r>
      <w:r w:rsidR="00770E42" w:rsidRPr="006016CC">
        <w:rPr>
          <w:rFonts w:asciiTheme="minorHAnsi" w:hAnsiTheme="minorHAnsi"/>
          <w:szCs w:val="24"/>
        </w:rPr>
        <w:t>these were organized by the</w:t>
      </w:r>
      <w:r w:rsidR="00770E42" w:rsidRPr="00553A09">
        <w:rPr>
          <w:rFonts w:asciiTheme="minorHAnsi" w:hAnsiTheme="minorHAnsi"/>
          <w:szCs w:val="24"/>
        </w:rPr>
        <w:t xml:space="preserve"> </w:t>
      </w:r>
      <w:r w:rsidRPr="00553A09">
        <w:rPr>
          <w:rFonts w:asciiTheme="minorHAnsi" w:hAnsiTheme="minorHAnsi"/>
          <w:szCs w:val="24"/>
        </w:rPr>
        <w:t xml:space="preserve">Ministry of Industry and Information Technology </w:t>
      </w:r>
      <w:r w:rsidR="00770E42" w:rsidRPr="006016CC">
        <w:rPr>
          <w:rFonts w:asciiTheme="minorHAnsi" w:hAnsiTheme="minorHAnsi"/>
          <w:szCs w:val="24"/>
        </w:rPr>
        <w:t>from</w:t>
      </w:r>
      <w:r w:rsidR="00770E42" w:rsidRPr="00553A09">
        <w:rPr>
          <w:rFonts w:asciiTheme="minorHAnsi" w:hAnsiTheme="minorHAnsi"/>
          <w:szCs w:val="24"/>
        </w:rPr>
        <w:t xml:space="preserve"> </w:t>
      </w:r>
      <w:r w:rsidRPr="00553A09">
        <w:rPr>
          <w:rFonts w:asciiTheme="minorHAnsi" w:hAnsiTheme="minorHAnsi"/>
          <w:szCs w:val="24"/>
        </w:rPr>
        <w:t xml:space="preserve">China. </w:t>
      </w:r>
      <w:r w:rsidRPr="00553A09">
        <w:rPr>
          <w:rFonts w:asciiTheme="minorHAnsi" w:hAnsiTheme="minorHAnsi"/>
          <w:b/>
          <w:bCs/>
          <w:szCs w:val="24"/>
          <w:u w:val="single"/>
        </w:rPr>
        <w:t>Spanish</w:t>
      </w:r>
      <w:r w:rsidRPr="00553A09">
        <w:rPr>
          <w:rFonts w:asciiTheme="minorHAnsi" w:hAnsiTheme="minorHAnsi"/>
          <w:szCs w:val="24"/>
        </w:rPr>
        <w:t xml:space="preserve"> translations were </w:t>
      </w:r>
      <w:r w:rsidR="00770E42" w:rsidRPr="006016CC">
        <w:rPr>
          <w:rFonts w:asciiTheme="minorHAnsi" w:hAnsiTheme="minorHAnsi"/>
          <w:szCs w:val="24"/>
        </w:rPr>
        <w:t>performed under the auspices of the Administration of</w:t>
      </w:r>
      <w:r w:rsidR="00CE566C">
        <w:rPr>
          <w:rFonts w:asciiTheme="minorHAnsi" w:hAnsiTheme="minorHAnsi"/>
          <w:szCs w:val="24"/>
        </w:rPr>
        <w:t xml:space="preserve"> </w:t>
      </w:r>
      <w:r w:rsidR="00D2484B" w:rsidRPr="00553A09">
        <w:rPr>
          <w:rFonts w:asciiTheme="minorHAnsi" w:hAnsiTheme="minorHAnsi"/>
          <w:szCs w:val="24"/>
        </w:rPr>
        <w:t>Argentina</w:t>
      </w:r>
      <w:r w:rsidRPr="00553A09">
        <w:rPr>
          <w:rFonts w:asciiTheme="minorHAnsi" w:hAnsiTheme="minorHAnsi"/>
          <w:szCs w:val="24"/>
        </w:rPr>
        <w:t>.</w:t>
      </w:r>
    </w:p>
    <w:p w14:paraId="46670A34" w14:textId="3A1443B6" w:rsidR="00D2484B" w:rsidRPr="006016CC" w:rsidRDefault="00455692" w:rsidP="008B0EB9">
      <w:pPr>
        <w:snapToGrid w:val="0"/>
        <w:spacing w:after="120"/>
        <w:ind w:left="709"/>
        <w:jc w:val="both"/>
        <w:rPr>
          <w:rFonts w:asciiTheme="minorHAnsi" w:hAnsiTheme="minorHAnsi"/>
          <w:szCs w:val="24"/>
        </w:rPr>
      </w:pPr>
      <w:r w:rsidRPr="006016CC">
        <w:rPr>
          <w:rFonts w:asciiTheme="minorHAnsi" w:hAnsiTheme="minorHAnsi"/>
          <w:szCs w:val="24"/>
        </w:rPr>
        <w:t xml:space="preserve">Generally the translation was done in a timely manner based on the </w:t>
      </w:r>
      <w:r w:rsidR="00770E42" w:rsidRPr="006016CC">
        <w:rPr>
          <w:rFonts w:asciiTheme="minorHAnsi" w:hAnsiTheme="minorHAnsi"/>
          <w:szCs w:val="24"/>
        </w:rPr>
        <w:t>relaxed</w:t>
      </w:r>
      <w:r w:rsidR="00770E42" w:rsidRPr="006016CC" w:rsidDel="00770E42">
        <w:rPr>
          <w:rFonts w:asciiTheme="minorHAnsi" w:hAnsiTheme="minorHAnsi"/>
          <w:szCs w:val="24"/>
        </w:rPr>
        <w:t xml:space="preserve"> </w:t>
      </w:r>
      <w:r w:rsidR="000431D8" w:rsidRPr="006016CC">
        <w:rPr>
          <w:rFonts w:asciiTheme="minorHAnsi" w:hAnsiTheme="minorHAnsi"/>
          <w:szCs w:val="24"/>
        </w:rPr>
        <w:t>time limit</w:t>
      </w:r>
      <w:r w:rsidRPr="006016CC">
        <w:rPr>
          <w:rFonts w:asciiTheme="minorHAnsi" w:hAnsiTheme="minorHAnsi"/>
          <w:szCs w:val="24"/>
        </w:rPr>
        <w:t xml:space="preserve"> set</w:t>
      </w:r>
      <w:r w:rsidR="00625313" w:rsidRPr="006016CC">
        <w:rPr>
          <w:rFonts w:asciiTheme="minorHAnsi" w:hAnsiTheme="minorHAnsi"/>
          <w:szCs w:val="24"/>
        </w:rPr>
        <w:t xml:space="preserve"> (5</w:t>
      </w:r>
      <w:r w:rsidR="00CE566C">
        <w:rPr>
          <w:rFonts w:asciiTheme="minorHAnsi" w:hAnsiTheme="minorHAnsi"/>
          <w:szCs w:val="24"/>
        </w:rPr>
        <w:t> </w:t>
      </w:r>
      <w:r w:rsidR="00625313" w:rsidRPr="006016CC">
        <w:rPr>
          <w:rFonts w:asciiTheme="minorHAnsi" w:hAnsiTheme="minorHAnsi"/>
          <w:szCs w:val="24"/>
        </w:rPr>
        <w:t>pages/2 working days)</w:t>
      </w:r>
      <w:r w:rsidRPr="006016CC">
        <w:rPr>
          <w:rFonts w:asciiTheme="minorHAnsi" w:hAnsiTheme="minorHAnsi"/>
          <w:szCs w:val="24"/>
        </w:rPr>
        <w:t xml:space="preserve">. </w:t>
      </w:r>
      <w:r w:rsidR="006642E5" w:rsidRPr="006016CC">
        <w:rPr>
          <w:rFonts w:asciiTheme="minorHAnsi" w:hAnsiTheme="minorHAnsi"/>
          <w:szCs w:val="24"/>
        </w:rPr>
        <w:t>The quality of</w:t>
      </w:r>
      <w:r w:rsidRPr="006016CC">
        <w:rPr>
          <w:rFonts w:asciiTheme="minorHAnsi" w:hAnsiTheme="minorHAnsi"/>
          <w:szCs w:val="24"/>
        </w:rPr>
        <w:t xml:space="preserve"> translation </w:t>
      </w:r>
      <w:r w:rsidR="00196510" w:rsidRPr="006016CC">
        <w:rPr>
          <w:rFonts w:asciiTheme="minorHAnsi" w:hAnsiTheme="minorHAnsi"/>
          <w:szCs w:val="24"/>
        </w:rPr>
        <w:t xml:space="preserve">did not meet </w:t>
      </w:r>
      <w:r w:rsidR="00C472F3">
        <w:rPr>
          <w:rFonts w:asciiTheme="minorHAnsi" w:hAnsiTheme="minorHAnsi"/>
          <w:szCs w:val="24"/>
        </w:rPr>
        <w:t xml:space="preserve">normal </w:t>
      </w:r>
      <w:r w:rsidR="00196510" w:rsidRPr="006016CC">
        <w:rPr>
          <w:rFonts w:asciiTheme="minorHAnsi" w:hAnsiTheme="minorHAnsi"/>
          <w:szCs w:val="24"/>
        </w:rPr>
        <w:t xml:space="preserve">ITU requirements, mainly due to </w:t>
      </w:r>
      <w:r w:rsidR="006642E5" w:rsidRPr="006016CC">
        <w:rPr>
          <w:rFonts w:asciiTheme="minorHAnsi" w:hAnsiTheme="minorHAnsi"/>
          <w:szCs w:val="24"/>
        </w:rPr>
        <w:t>an</w:t>
      </w:r>
      <w:r w:rsidR="00196510" w:rsidRPr="006016CC">
        <w:rPr>
          <w:rFonts w:asciiTheme="minorHAnsi" w:hAnsiTheme="minorHAnsi"/>
          <w:szCs w:val="24"/>
        </w:rPr>
        <w:t xml:space="preserve"> </w:t>
      </w:r>
      <w:r w:rsidR="006642E5" w:rsidRPr="006016CC">
        <w:rPr>
          <w:rFonts w:asciiTheme="minorHAnsi" w:hAnsiTheme="minorHAnsi"/>
          <w:szCs w:val="24"/>
        </w:rPr>
        <w:t>insufficient</w:t>
      </w:r>
      <w:r w:rsidR="00625313" w:rsidRPr="006016CC">
        <w:rPr>
          <w:rFonts w:asciiTheme="minorHAnsi" w:hAnsiTheme="minorHAnsi"/>
          <w:szCs w:val="24"/>
        </w:rPr>
        <w:t xml:space="preserve"> </w:t>
      </w:r>
      <w:r w:rsidR="006642E5" w:rsidRPr="006016CC">
        <w:rPr>
          <w:rFonts w:asciiTheme="minorHAnsi" w:hAnsiTheme="minorHAnsi"/>
          <w:szCs w:val="24"/>
        </w:rPr>
        <w:t>knowledge of ITU</w:t>
      </w:r>
      <w:r w:rsidR="00C472F3">
        <w:rPr>
          <w:rFonts w:asciiTheme="minorHAnsi" w:hAnsiTheme="minorHAnsi"/>
          <w:szCs w:val="24"/>
        </w:rPr>
        <w:t xml:space="preserve"> terminology</w:t>
      </w:r>
      <w:r w:rsidR="006642E5" w:rsidRPr="006016CC">
        <w:rPr>
          <w:rFonts w:asciiTheme="minorHAnsi" w:hAnsiTheme="minorHAnsi"/>
          <w:szCs w:val="24"/>
        </w:rPr>
        <w:t xml:space="preserve">, its documentation and its processes; </w:t>
      </w:r>
      <w:r w:rsidR="00196510" w:rsidRPr="006016CC">
        <w:rPr>
          <w:rFonts w:asciiTheme="minorHAnsi" w:hAnsiTheme="minorHAnsi"/>
          <w:szCs w:val="24"/>
        </w:rPr>
        <w:t xml:space="preserve">the </w:t>
      </w:r>
      <w:r w:rsidR="004E038A" w:rsidRPr="006016CC">
        <w:rPr>
          <w:rFonts w:asciiTheme="minorHAnsi" w:hAnsiTheme="minorHAnsi"/>
          <w:szCs w:val="24"/>
        </w:rPr>
        <w:t>non-</w:t>
      </w:r>
      <w:r w:rsidR="006642E5" w:rsidRPr="006016CC">
        <w:rPr>
          <w:rFonts w:asciiTheme="minorHAnsi" w:hAnsiTheme="minorHAnsi"/>
          <w:szCs w:val="24"/>
        </w:rPr>
        <w:t>observance of the</w:t>
      </w:r>
      <w:r w:rsidR="00625313" w:rsidRPr="006016CC">
        <w:rPr>
          <w:rFonts w:asciiTheme="minorHAnsi" w:hAnsiTheme="minorHAnsi"/>
          <w:szCs w:val="24"/>
        </w:rPr>
        <w:t xml:space="preserve"> </w:t>
      </w:r>
      <w:r w:rsidR="006642E5" w:rsidRPr="006016CC">
        <w:rPr>
          <w:rFonts w:asciiTheme="minorHAnsi" w:hAnsiTheme="minorHAnsi"/>
          <w:szCs w:val="24"/>
        </w:rPr>
        <w:t>hierarchy of sources</w:t>
      </w:r>
      <w:r w:rsidR="000431D8">
        <w:rPr>
          <w:rFonts w:asciiTheme="minorHAnsi" w:hAnsiTheme="minorHAnsi"/>
          <w:szCs w:val="24"/>
        </w:rPr>
        <w:t xml:space="preserve"> (</w:t>
      </w:r>
      <w:r w:rsidR="000431D8" w:rsidRPr="000431D8">
        <w:rPr>
          <w:rFonts w:asciiTheme="minorHAnsi" w:hAnsiTheme="minorHAnsi"/>
          <w:szCs w:val="24"/>
        </w:rPr>
        <w:t>most relevant source of text of the highest level for the specific context</w:t>
      </w:r>
      <w:r w:rsidR="000431D8">
        <w:rPr>
          <w:rFonts w:asciiTheme="minorHAnsi" w:hAnsiTheme="minorHAnsi"/>
          <w:szCs w:val="24"/>
        </w:rPr>
        <w:t>)</w:t>
      </w:r>
      <w:r w:rsidR="006642E5" w:rsidRPr="006016CC">
        <w:rPr>
          <w:rFonts w:asciiTheme="minorHAnsi" w:hAnsiTheme="minorHAnsi"/>
          <w:szCs w:val="24"/>
        </w:rPr>
        <w:t xml:space="preserve">, </w:t>
      </w:r>
      <w:r w:rsidR="004E038A" w:rsidRPr="006016CC">
        <w:rPr>
          <w:rFonts w:asciiTheme="minorHAnsi" w:hAnsiTheme="minorHAnsi"/>
          <w:szCs w:val="24"/>
        </w:rPr>
        <w:t xml:space="preserve">inappropriate </w:t>
      </w:r>
      <w:r w:rsidR="006642E5" w:rsidRPr="006016CC">
        <w:rPr>
          <w:rFonts w:asciiTheme="minorHAnsi" w:hAnsiTheme="minorHAnsi"/>
          <w:szCs w:val="24"/>
        </w:rPr>
        <w:t xml:space="preserve">use of references, </w:t>
      </w:r>
      <w:r w:rsidR="004E038A" w:rsidRPr="006016CC">
        <w:rPr>
          <w:rFonts w:asciiTheme="minorHAnsi" w:hAnsiTheme="minorHAnsi"/>
          <w:szCs w:val="24"/>
        </w:rPr>
        <w:t>or non-</w:t>
      </w:r>
      <w:r w:rsidR="006642E5" w:rsidRPr="006016CC">
        <w:rPr>
          <w:rFonts w:asciiTheme="minorHAnsi" w:hAnsiTheme="minorHAnsi"/>
          <w:szCs w:val="24"/>
        </w:rPr>
        <w:t>respect of the House-style Manual</w:t>
      </w:r>
      <w:r w:rsidR="004E038A" w:rsidRPr="006016CC">
        <w:rPr>
          <w:rFonts w:asciiTheme="minorHAnsi" w:hAnsiTheme="minorHAnsi"/>
          <w:szCs w:val="24"/>
        </w:rPr>
        <w:t>s</w:t>
      </w:r>
      <w:r w:rsidR="00196510" w:rsidRPr="006016CC">
        <w:rPr>
          <w:rFonts w:asciiTheme="minorHAnsi" w:hAnsiTheme="minorHAnsi"/>
          <w:szCs w:val="24"/>
        </w:rPr>
        <w:t>,</w:t>
      </w:r>
      <w:r w:rsidR="004E038A" w:rsidRPr="006016CC">
        <w:rPr>
          <w:rFonts w:asciiTheme="minorHAnsi" w:hAnsiTheme="minorHAnsi"/>
          <w:szCs w:val="24"/>
        </w:rPr>
        <w:t xml:space="preserve"> </w:t>
      </w:r>
      <w:r w:rsidR="00196510" w:rsidRPr="006016CC">
        <w:rPr>
          <w:rFonts w:asciiTheme="minorHAnsi" w:hAnsiTheme="minorHAnsi"/>
          <w:szCs w:val="24"/>
        </w:rPr>
        <w:t>and</w:t>
      </w:r>
      <w:r w:rsidR="008629E7">
        <w:rPr>
          <w:rFonts w:asciiTheme="minorHAnsi" w:hAnsiTheme="minorHAnsi"/>
          <w:szCs w:val="24"/>
        </w:rPr>
        <w:t xml:space="preserve"> so all </w:t>
      </w:r>
      <w:r w:rsidRPr="006016CC">
        <w:rPr>
          <w:rFonts w:asciiTheme="minorHAnsi" w:hAnsiTheme="minorHAnsi"/>
          <w:szCs w:val="24"/>
        </w:rPr>
        <w:t xml:space="preserve">50 pages had to be forwarded to the respective </w:t>
      </w:r>
      <w:r w:rsidR="009D7C98">
        <w:rPr>
          <w:rFonts w:asciiTheme="minorHAnsi" w:hAnsiTheme="minorHAnsi"/>
          <w:szCs w:val="24"/>
        </w:rPr>
        <w:t xml:space="preserve">ITU </w:t>
      </w:r>
      <w:r w:rsidRPr="006016CC">
        <w:rPr>
          <w:rFonts w:asciiTheme="minorHAnsi" w:hAnsiTheme="minorHAnsi"/>
          <w:szCs w:val="24"/>
        </w:rPr>
        <w:t xml:space="preserve">translation sections for further processing. </w:t>
      </w:r>
    </w:p>
    <w:p w14:paraId="79FF5783" w14:textId="45E4DB8F" w:rsidR="00D2484B" w:rsidRPr="006016CC" w:rsidRDefault="00455692" w:rsidP="008B0EB9">
      <w:pPr>
        <w:snapToGrid w:val="0"/>
        <w:spacing w:after="120"/>
        <w:ind w:left="709"/>
        <w:jc w:val="both"/>
        <w:rPr>
          <w:rFonts w:asciiTheme="minorHAnsi" w:hAnsiTheme="minorHAnsi"/>
          <w:szCs w:val="24"/>
        </w:rPr>
      </w:pPr>
      <w:r w:rsidRPr="006016CC">
        <w:rPr>
          <w:rFonts w:asciiTheme="minorHAnsi" w:hAnsiTheme="minorHAnsi"/>
          <w:szCs w:val="24"/>
        </w:rPr>
        <w:t>Total ITU staff involved</w:t>
      </w:r>
      <w:r w:rsidR="008629E7">
        <w:rPr>
          <w:rFonts w:asciiTheme="minorHAnsi" w:hAnsiTheme="minorHAnsi"/>
          <w:szCs w:val="24"/>
        </w:rPr>
        <w:t xml:space="preserve"> in the pilot project were</w:t>
      </w:r>
      <w:r w:rsidRPr="006016CC">
        <w:rPr>
          <w:rFonts w:asciiTheme="minorHAnsi" w:hAnsiTheme="minorHAnsi"/>
          <w:szCs w:val="24"/>
        </w:rPr>
        <w:t>: 13 (1 DPA, 1 reference, 3 Head</w:t>
      </w:r>
      <w:r w:rsidR="004E038A" w:rsidRPr="006016CC">
        <w:rPr>
          <w:rFonts w:asciiTheme="minorHAnsi" w:hAnsiTheme="minorHAnsi"/>
          <w:szCs w:val="24"/>
        </w:rPr>
        <w:t>s</w:t>
      </w:r>
      <w:r w:rsidRPr="006016CC">
        <w:rPr>
          <w:rFonts w:asciiTheme="minorHAnsi" w:hAnsiTheme="minorHAnsi"/>
          <w:szCs w:val="24"/>
        </w:rPr>
        <w:t xml:space="preserve"> of Translation Section</w:t>
      </w:r>
      <w:r w:rsidR="004E038A" w:rsidRPr="006016CC">
        <w:rPr>
          <w:rFonts w:asciiTheme="minorHAnsi" w:hAnsiTheme="minorHAnsi"/>
          <w:szCs w:val="24"/>
        </w:rPr>
        <w:t>s</w:t>
      </w:r>
      <w:r w:rsidRPr="006016CC">
        <w:rPr>
          <w:rFonts w:asciiTheme="minorHAnsi" w:hAnsiTheme="minorHAnsi"/>
          <w:szCs w:val="24"/>
        </w:rPr>
        <w:t>, 3 COMPO,</w:t>
      </w:r>
      <w:r w:rsidR="00625313" w:rsidRPr="006016CC">
        <w:rPr>
          <w:rFonts w:asciiTheme="minorHAnsi" w:hAnsiTheme="minorHAnsi"/>
          <w:szCs w:val="24"/>
        </w:rPr>
        <w:t xml:space="preserve"> </w:t>
      </w:r>
      <w:r w:rsidRPr="006016CC">
        <w:rPr>
          <w:rFonts w:asciiTheme="minorHAnsi" w:hAnsiTheme="minorHAnsi"/>
          <w:szCs w:val="24"/>
        </w:rPr>
        <w:t xml:space="preserve">1 IS, 4 webmaster (1xSector)). </w:t>
      </w:r>
    </w:p>
    <w:p w14:paraId="752BF842" w14:textId="77777777" w:rsidR="00EC5292" w:rsidRDefault="009D7C98" w:rsidP="008B0EB9">
      <w:pPr>
        <w:keepNext/>
        <w:keepLines/>
        <w:snapToGrid w:val="0"/>
        <w:spacing w:after="120"/>
        <w:ind w:left="709"/>
        <w:jc w:val="both"/>
        <w:rPr>
          <w:rFonts w:asciiTheme="minorHAnsi" w:hAnsiTheme="minorHAnsi"/>
          <w:szCs w:val="24"/>
        </w:rPr>
      </w:pPr>
      <w:r>
        <w:rPr>
          <w:rFonts w:asciiTheme="minorHAnsi" w:hAnsiTheme="minorHAnsi"/>
          <w:szCs w:val="24"/>
        </w:rPr>
        <w:t xml:space="preserve">The secretariat appreciates the cooperation of the Member States involved, however, in order to make this methodology cost effective and efficient, further effort will be required to improve the quality of the translations received so as to avoid the necessity of further processing by the ITU translation sections. </w:t>
      </w:r>
    </w:p>
    <w:p w14:paraId="009CCC5C" w14:textId="32DFFE5A" w:rsidR="00421A21" w:rsidRPr="00EC5292" w:rsidRDefault="00421A21" w:rsidP="00EC5292">
      <w:pPr>
        <w:pStyle w:val="ListParagraph"/>
        <w:keepNext/>
        <w:keepLines/>
        <w:numPr>
          <w:ilvl w:val="0"/>
          <w:numId w:val="1"/>
        </w:numPr>
        <w:snapToGrid w:val="0"/>
        <w:spacing w:after="120"/>
        <w:contextualSpacing w:val="0"/>
        <w:jc w:val="both"/>
        <w:rPr>
          <w:rFonts w:asciiTheme="minorHAnsi" w:hAnsiTheme="minorHAnsi"/>
          <w:b/>
          <w:bCs/>
          <w:i/>
          <w:iCs/>
          <w:szCs w:val="24"/>
          <w:lang w:val="en-US"/>
        </w:rPr>
      </w:pPr>
      <w:r w:rsidRPr="006016CC">
        <w:rPr>
          <w:rFonts w:asciiTheme="minorHAnsi" w:hAnsiTheme="minorHAnsi"/>
          <w:b/>
          <w:bCs/>
          <w:i/>
          <w:iCs/>
          <w:szCs w:val="24"/>
          <w:lang w:val="en-US"/>
        </w:rPr>
        <w:t>Progress made on the implementation of measures and principles for translation and interpretation adopted by the Council in its 2014 session</w:t>
      </w:r>
      <w:r w:rsidR="00987F7A" w:rsidRPr="006016CC">
        <w:rPr>
          <w:rFonts w:asciiTheme="minorHAnsi" w:hAnsiTheme="minorHAnsi"/>
          <w:b/>
          <w:bCs/>
          <w:i/>
          <w:iCs/>
          <w:szCs w:val="24"/>
          <w:lang w:val="en-US"/>
        </w:rPr>
        <w:t xml:space="preserve"> </w:t>
      </w:r>
    </w:p>
    <w:p w14:paraId="1A58A26B" w14:textId="77777777" w:rsidR="00547125" w:rsidRPr="006016CC" w:rsidRDefault="00421A21" w:rsidP="008B0EB9">
      <w:pPr>
        <w:tabs>
          <w:tab w:val="clear" w:pos="794"/>
          <w:tab w:val="clear" w:pos="1191"/>
          <w:tab w:val="clear" w:pos="1588"/>
          <w:tab w:val="clear" w:pos="1985"/>
        </w:tabs>
        <w:snapToGrid w:val="0"/>
        <w:spacing w:after="120"/>
        <w:jc w:val="both"/>
        <w:rPr>
          <w:rFonts w:asciiTheme="minorHAnsi" w:hAnsiTheme="minorHAnsi"/>
          <w:szCs w:val="24"/>
          <w:lang w:val="en-US"/>
        </w:rPr>
      </w:pPr>
      <w:r w:rsidRPr="006016CC">
        <w:rPr>
          <w:rFonts w:asciiTheme="minorHAnsi" w:hAnsiTheme="minorHAnsi"/>
          <w:szCs w:val="24"/>
          <w:lang w:val="en-US"/>
        </w:rPr>
        <w:t>The measures and principles for</w:t>
      </w:r>
      <w:r w:rsidR="002C1C67" w:rsidRPr="006016CC">
        <w:rPr>
          <w:rFonts w:asciiTheme="minorHAnsi" w:hAnsiTheme="minorHAnsi"/>
          <w:szCs w:val="24"/>
          <w:lang w:val="en-US"/>
        </w:rPr>
        <w:t xml:space="preserve"> translation and interpretation, as adopted by</w:t>
      </w:r>
      <w:r w:rsidRPr="006016CC">
        <w:rPr>
          <w:rFonts w:asciiTheme="minorHAnsi" w:hAnsiTheme="minorHAnsi"/>
          <w:szCs w:val="24"/>
          <w:lang w:val="en-US"/>
        </w:rPr>
        <w:t xml:space="preserve"> </w:t>
      </w:r>
      <w:r w:rsidR="002C1C67" w:rsidRPr="006016CC">
        <w:rPr>
          <w:rFonts w:asciiTheme="minorHAnsi" w:hAnsiTheme="minorHAnsi"/>
          <w:szCs w:val="24"/>
          <w:lang w:val="en-US"/>
        </w:rPr>
        <w:t xml:space="preserve">Council </w:t>
      </w:r>
      <w:r w:rsidRPr="006016CC">
        <w:rPr>
          <w:rFonts w:asciiTheme="minorHAnsi" w:hAnsiTheme="minorHAnsi"/>
          <w:szCs w:val="24"/>
          <w:lang w:val="en-US"/>
        </w:rPr>
        <w:t>in 2014</w:t>
      </w:r>
      <w:r w:rsidR="001A532E" w:rsidRPr="006016CC">
        <w:rPr>
          <w:rFonts w:asciiTheme="minorHAnsi" w:hAnsiTheme="minorHAnsi"/>
          <w:szCs w:val="24"/>
          <w:lang w:val="en-US"/>
        </w:rPr>
        <w:t xml:space="preserve"> and 2016</w:t>
      </w:r>
      <w:r w:rsidRPr="006016CC">
        <w:rPr>
          <w:rFonts w:asciiTheme="minorHAnsi" w:hAnsiTheme="minorHAnsi"/>
          <w:szCs w:val="24"/>
          <w:lang w:val="en-US"/>
        </w:rPr>
        <w:t xml:space="preserve">, are systematically </w:t>
      </w:r>
      <w:r w:rsidR="002C1C67" w:rsidRPr="006016CC">
        <w:rPr>
          <w:rFonts w:asciiTheme="minorHAnsi" w:hAnsiTheme="minorHAnsi"/>
          <w:szCs w:val="24"/>
          <w:lang w:val="en-US"/>
        </w:rPr>
        <w:t xml:space="preserve">considered </w:t>
      </w:r>
      <w:r w:rsidRPr="006016CC">
        <w:rPr>
          <w:rFonts w:asciiTheme="minorHAnsi" w:hAnsiTheme="minorHAnsi"/>
          <w:szCs w:val="24"/>
          <w:lang w:val="en-US"/>
        </w:rPr>
        <w:t xml:space="preserve">by the secretariat as a </w:t>
      </w:r>
      <w:r w:rsidR="002C1C67" w:rsidRPr="006016CC">
        <w:rPr>
          <w:rFonts w:asciiTheme="minorHAnsi" w:hAnsiTheme="minorHAnsi"/>
          <w:szCs w:val="24"/>
          <w:lang w:val="en-US"/>
        </w:rPr>
        <w:t xml:space="preserve">benchmark in the delivery of </w:t>
      </w:r>
      <w:r w:rsidRPr="006016CC">
        <w:rPr>
          <w:rFonts w:asciiTheme="minorHAnsi" w:hAnsiTheme="minorHAnsi"/>
          <w:szCs w:val="24"/>
          <w:lang w:val="en-US"/>
        </w:rPr>
        <w:t xml:space="preserve">translation and interpretation </w:t>
      </w:r>
      <w:r w:rsidR="002C1C67" w:rsidRPr="006016CC">
        <w:rPr>
          <w:rFonts w:asciiTheme="minorHAnsi" w:hAnsiTheme="minorHAnsi"/>
          <w:szCs w:val="24"/>
          <w:lang w:val="en-US"/>
        </w:rPr>
        <w:t xml:space="preserve">services </w:t>
      </w:r>
      <w:r w:rsidRPr="006016CC">
        <w:rPr>
          <w:rFonts w:asciiTheme="minorHAnsi" w:hAnsiTheme="minorHAnsi"/>
          <w:szCs w:val="24"/>
          <w:lang w:val="en-US"/>
        </w:rPr>
        <w:t>for ITU conferences, meetings, documents and publications</w:t>
      </w:r>
      <w:r w:rsidR="002C1C67" w:rsidRPr="006016CC">
        <w:rPr>
          <w:rFonts w:asciiTheme="minorHAnsi" w:hAnsiTheme="minorHAnsi"/>
          <w:szCs w:val="24"/>
          <w:lang w:val="en-US"/>
        </w:rPr>
        <w:t xml:space="preserve">. </w:t>
      </w:r>
    </w:p>
    <w:p w14:paraId="555B90CD" w14:textId="77777777" w:rsidR="00547125" w:rsidRPr="006016CC" w:rsidRDefault="00547125" w:rsidP="008B0EB9">
      <w:pPr>
        <w:pStyle w:val="ListParagraph"/>
        <w:numPr>
          <w:ilvl w:val="0"/>
          <w:numId w:val="5"/>
        </w:numPr>
        <w:snapToGrid w:val="0"/>
        <w:spacing w:after="120"/>
        <w:contextualSpacing w:val="0"/>
        <w:jc w:val="both"/>
        <w:rPr>
          <w:rFonts w:asciiTheme="minorHAnsi" w:hAnsiTheme="minorHAnsi"/>
          <w:szCs w:val="24"/>
          <w:lang w:val="en-US"/>
        </w:rPr>
      </w:pPr>
      <w:r w:rsidRPr="006016CC">
        <w:rPr>
          <w:rFonts w:asciiTheme="minorHAnsi" w:hAnsiTheme="minorHAnsi"/>
          <w:szCs w:val="24"/>
          <w:lang w:val="en-US"/>
        </w:rPr>
        <w:t xml:space="preserve">To this end, all preparatory and in-session documents, including the provisional Final Acts, were delivered in the six official languages for the </w:t>
      </w:r>
      <w:r w:rsidR="00F5243E" w:rsidRPr="006016CC">
        <w:rPr>
          <w:rFonts w:asciiTheme="minorHAnsi" w:hAnsiTheme="minorHAnsi"/>
          <w:b/>
          <w:bCs/>
          <w:szCs w:val="24"/>
          <w:lang w:val="en-US"/>
        </w:rPr>
        <w:t>WTSA-16</w:t>
      </w:r>
      <w:r w:rsidRPr="006016CC">
        <w:rPr>
          <w:rFonts w:asciiTheme="minorHAnsi" w:hAnsiTheme="minorHAnsi"/>
          <w:szCs w:val="24"/>
          <w:lang w:val="en-US"/>
        </w:rPr>
        <w:t xml:space="preserve">. Final versions of </w:t>
      </w:r>
      <w:r w:rsidR="007C5F67" w:rsidRPr="006016CC">
        <w:rPr>
          <w:rFonts w:asciiTheme="minorHAnsi" w:hAnsiTheme="minorHAnsi"/>
          <w:szCs w:val="24"/>
          <w:lang w:val="en-US"/>
        </w:rPr>
        <w:t>the outcome</w:t>
      </w:r>
      <w:r w:rsidRPr="006016CC">
        <w:rPr>
          <w:rFonts w:asciiTheme="minorHAnsi" w:hAnsiTheme="minorHAnsi"/>
          <w:szCs w:val="24"/>
          <w:lang w:val="en-US"/>
        </w:rPr>
        <w:t xml:space="preserve"> documents </w:t>
      </w:r>
      <w:r w:rsidR="00F5243E" w:rsidRPr="006016CC">
        <w:rPr>
          <w:rFonts w:asciiTheme="minorHAnsi" w:hAnsiTheme="minorHAnsi"/>
          <w:szCs w:val="24"/>
          <w:lang w:val="en-US"/>
        </w:rPr>
        <w:t xml:space="preserve">for </w:t>
      </w:r>
      <w:r w:rsidR="00F5243E" w:rsidRPr="006016CC">
        <w:rPr>
          <w:rFonts w:asciiTheme="minorHAnsi" w:hAnsiTheme="minorHAnsi"/>
          <w:b/>
          <w:bCs/>
          <w:szCs w:val="24"/>
          <w:lang w:val="en-US"/>
        </w:rPr>
        <w:t>RA-15 and WRC-15</w:t>
      </w:r>
      <w:r w:rsidR="00F5243E" w:rsidRPr="006016CC">
        <w:rPr>
          <w:rFonts w:asciiTheme="minorHAnsi" w:hAnsiTheme="minorHAnsi"/>
          <w:szCs w:val="24"/>
          <w:lang w:val="en-US"/>
        </w:rPr>
        <w:t xml:space="preserve"> </w:t>
      </w:r>
      <w:r w:rsidRPr="006016CC">
        <w:rPr>
          <w:rFonts w:asciiTheme="minorHAnsi" w:hAnsiTheme="minorHAnsi"/>
          <w:szCs w:val="24"/>
          <w:lang w:val="en-US"/>
        </w:rPr>
        <w:t xml:space="preserve">were also </w:t>
      </w:r>
      <w:r w:rsidR="007C5F67" w:rsidRPr="006016CC">
        <w:rPr>
          <w:rFonts w:asciiTheme="minorHAnsi" w:hAnsiTheme="minorHAnsi"/>
          <w:szCs w:val="24"/>
          <w:lang w:val="en-US"/>
        </w:rPr>
        <w:t>published</w:t>
      </w:r>
      <w:r w:rsidRPr="006016CC">
        <w:rPr>
          <w:rFonts w:asciiTheme="minorHAnsi" w:hAnsiTheme="minorHAnsi"/>
          <w:szCs w:val="24"/>
          <w:lang w:val="en-US"/>
        </w:rPr>
        <w:t xml:space="preserve"> in all six languages. The delivery of all relevant preparatory documentation in six languages for the </w:t>
      </w:r>
      <w:r w:rsidRPr="006016CC">
        <w:rPr>
          <w:rFonts w:asciiTheme="minorHAnsi" w:hAnsiTheme="minorHAnsi"/>
          <w:b/>
          <w:bCs/>
          <w:szCs w:val="24"/>
          <w:lang w:val="en-US"/>
        </w:rPr>
        <w:t>WT</w:t>
      </w:r>
      <w:r w:rsidR="00F5243E" w:rsidRPr="006016CC">
        <w:rPr>
          <w:rFonts w:asciiTheme="minorHAnsi" w:hAnsiTheme="minorHAnsi"/>
          <w:b/>
          <w:bCs/>
          <w:szCs w:val="24"/>
          <w:lang w:val="en-US"/>
        </w:rPr>
        <w:t>DC</w:t>
      </w:r>
      <w:r w:rsidRPr="006016CC">
        <w:rPr>
          <w:rFonts w:asciiTheme="minorHAnsi" w:hAnsiTheme="minorHAnsi"/>
          <w:szCs w:val="24"/>
          <w:lang w:val="en-US"/>
        </w:rPr>
        <w:t xml:space="preserve"> in October of </w:t>
      </w:r>
      <w:r w:rsidR="00F5243E" w:rsidRPr="006016CC">
        <w:rPr>
          <w:rFonts w:asciiTheme="minorHAnsi" w:hAnsiTheme="minorHAnsi"/>
          <w:szCs w:val="24"/>
          <w:lang w:val="en-US"/>
        </w:rPr>
        <w:t>2017</w:t>
      </w:r>
      <w:r w:rsidRPr="006016CC">
        <w:rPr>
          <w:rFonts w:asciiTheme="minorHAnsi" w:hAnsiTheme="minorHAnsi"/>
          <w:szCs w:val="24"/>
          <w:lang w:val="en-US"/>
        </w:rPr>
        <w:t xml:space="preserve"> is on schedule.</w:t>
      </w:r>
    </w:p>
    <w:p w14:paraId="34CEFB14" w14:textId="77777777" w:rsidR="005C54BE" w:rsidRPr="006016CC" w:rsidRDefault="005C54BE" w:rsidP="008B0EB9">
      <w:pPr>
        <w:pStyle w:val="ListParagraph"/>
        <w:numPr>
          <w:ilvl w:val="0"/>
          <w:numId w:val="5"/>
        </w:numPr>
        <w:snapToGrid w:val="0"/>
        <w:spacing w:after="120"/>
        <w:contextualSpacing w:val="0"/>
      </w:pPr>
      <w:r w:rsidRPr="006016CC">
        <w:rPr>
          <w:rFonts w:asciiTheme="minorHAnsi" w:hAnsiTheme="minorHAnsi"/>
        </w:rPr>
        <w:t xml:space="preserve">TSB continues to translate </w:t>
      </w:r>
      <w:r w:rsidRPr="006016CC">
        <w:rPr>
          <w:rFonts w:asciiTheme="minorHAnsi" w:hAnsiTheme="minorHAnsi"/>
          <w:b/>
          <w:bCs/>
        </w:rPr>
        <w:t>Recommendations approved under the Alternative Approval Procedure (AAP)</w:t>
      </w:r>
      <w:r w:rsidRPr="006016CC">
        <w:rPr>
          <w:rFonts w:asciiTheme="minorHAnsi" w:hAnsiTheme="minorHAnsi"/>
        </w:rPr>
        <w:t xml:space="preserve"> within the limits of available translation budget. In the reporting period, TSB has requested the translation of seven Recommendations (191 English pages) into the five languages according to the specific needs expressed by the membership and within the limits of </w:t>
      </w:r>
      <w:r w:rsidR="007C5F67" w:rsidRPr="006016CC">
        <w:rPr>
          <w:rFonts w:asciiTheme="minorHAnsi" w:hAnsiTheme="minorHAnsi"/>
        </w:rPr>
        <w:t xml:space="preserve">the </w:t>
      </w:r>
      <w:r w:rsidRPr="006016CC">
        <w:rPr>
          <w:rFonts w:asciiTheme="minorHAnsi" w:hAnsiTheme="minorHAnsi"/>
        </w:rPr>
        <w:t>budget</w:t>
      </w:r>
      <w:r w:rsidR="007C5F67" w:rsidRPr="006016CC">
        <w:rPr>
          <w:rFonts w:asciiTheme="minorHAnsi" w:hAnsiTheme="minorHAnsi"/>
        </w:rPr>
        <w:t xml:space="preserve"> available</w:t>
      </w:r>
      <w:r w:rsidRPr="006016CC">
        <w:rPr>
          <w:rFonts w:asciiTheme="minorHAnsi" w:hAnsiTheme="minorHAnsi"/>
        </w:rPr>
        <w:t>.</w:t>
      </w:r>
    </w:p>
    <w:p w14:paraId="0382EDF5" w14:textId="77777777" w:rsidR="00144EB6" w:rsidRPr="00EC5292" w:rsidRDefault="00144EB6" w:rsidP="00EC5292">
      <w:pPr>
        <w:pStyle w:val="ListParagraph"/>
        <w:keepNext/>
        <w:keepLines/>
        <w:numPr>
          <w:ilvl w:val="0"/>
          <w:numId w:val="1"/>
        </w:numPr>
        <w:snapToGrid w:val="0"/>
        <w:spacing w:after="120"/>
        <w:contextualSpacing w:val="0"/>
        <w:jc w:val="both"/>
        <w:rPr>
          <w:rFonts w:asciiTheme="minorHAnsi" w:hAnsiTheme="minorHAnsi"/>
          <w:b/>
          <w:bCs/>
          <w:i/>
          <w:iCs/>
          <w:szCs w:val="24"/>
          <w:lang w:val="en-US"/>
        </w:rPr>
      </w:pPr>
      <w:r w:rsidRPr="00EC5292">
        <w:rPr>
          <w:rFonts w:asciiTheme="minorHAnsi" w:hAnsiTheme="minorHAnsi"/>
          <w:b/>
          <w:bCs/>
          <w:i/>
          <w:iCs/>
          <w:szCs w:val="24"/>
          <w:lang w:val="en-US"/>
        </w:rPr>
        <w:t>Use of languages on the ITU website</w:t>
      </w:r>
      <w:r w:rsidR="00987F7A" w:rsidRPr="00EC5292">
        <w:rPr>
          <w:rFonts w:asciiTheme="minorHAnsi" w:hAnsiTheme="minorHAnsi"/>
          <w:b/>
          <w:bCs/>
          <w:i/>
          <w:iCs/>
          <w:szCs w:val="24"/>
          <w:lang w:val="en-US"/>
        </w:rPr>
        <w:t xml:space="preserve"> </w:t>
      </w:r>
    </w:p>
    <w:p w14:paraId="50EF929D" w14:textId="7FA68206" w:rsidR="00A54DD4" w:rsidRPr="006016CC" w:rsidRDefault="004E038A" w:rsidP="008B0EB9">
      <w:pPr>
        <w:snapToGrid w:val="0"/>
        <w:spacing w:after="120"/>
        <w:rPr>
          <w:rFonts w:asciiTheme="minorHAnsi" w:hAnsiTheme="minorHAnsi"/>
          <w:lang w:val="en-US"/>
        </w:rPr>
      </w:pPr>
      <w:r w:rsidRPr="006016CC">
        <w:rPr>
          <w:rFonts w:asciiTheme="minorHAnsi" w:hAnsiTheme="minorHAnsi"/>
          <w:szCs w:val="24"/>
        </w:rPr>
        <w:t>As indicated in the previous report, all ‘level 0’ pages are now translated and published in the six languages</w:t>
      </w:r>
      <w:r w:rsidR="00A54DD4" w:rsidRPr="006016CC">
        <w:rPr>
          <w:rFonts w:asciiTheme="minorHAnsi" w:hAnsiTheme="minorHAnsi"/>
          <w:szCs w:val="24"/>
        </w:rPr>
        <w:t xml:space="preserve">. </w:t>
      </w:r>
      <w:r w:rsidR="00770E42" w:rsidRPr="006016CC">
        <w:rPr>
          <w:rFonts w:asciiTheme="minorHAnsi" w:hAnsiTheme="minorHAnsi"/>
          <w:szCs w:val="24"/>
        </w:rPr>
        <w:t>Between January and November 2016</w:t>
      </w:r>
      <w:r w:rsidR="00A54DD4" w:rsidRPr="006016CC">
        <w:rPr>
          <w:rFonts w:asciiTheme="minorHAnsi" w:hAnsiTheme="minorHAnsi"/>
          <w:szCs w:val="24"/>
        </w:rPr>
        <w:t xml:space="preserve">, </w:t>
      </w:r>
      <w:r w:rsidR="00770E42" w:rsidRPr="006016CC">
        <w:rPr>
          <w:rFonts w:asciiTheme="minorHAnsi" w:hAnsiTheme="minorHAnsi"/>
          <w:szCs w:val="24"/>
        </w:rPr>
        <w:t>some</w:t>
      </w:r>
      <w:r w:rsidRPr="006016CC">
        <w:rPr>
          <w:rFonts w:asciiTheme="minorHAnsi" w:hAnsiTheme="minorHAnsi"/>
          <w:szCs w:val="24"/>
        </w:rPr>
        <w:t xml:space="preserve"> </w:t>
      </w:r>
      <w:r w:rsidR="00930A68" w:rsidRPr="00553A09">
        <w:rPr>
          <w:rFonts w:asciiTheme="minorHAnsi" w:hAnsiTheme="minorHAnsi"/>
          <w:szCs w:val="24"/>
        </w:rPr>
        <w:t>150 pages</w:t>
      </w:r>
      <w:r w:rsidRPr="006016CC">
        <w:rPr>
          <w:rFonts w:asciiTheme="minorHAnsi" w:hAnsiTheme="minorHAnsi"/>
          <w:szCs w:val="24"/>
        </w:rPr>
        <w:t xml:space="preserve"> have been translated and are currently displayed in all languages. </w:t>
      </w:r>
      <w:r w:rsidR="00A54DD4" w:rsidRPr="006016CC">
        <w:rPr>
          <w:rFonts w:asciiTheme="minorHAnsi" w:hAnsiTheme="minorHAnsi"/>
          <w:szCs w:val="24"/>
        </w:rPr>
        <w:t xml:space="preserve">It is a work in progress. </w:t>
      </w:r>
      <w:r w:rsidR="00A54DD4" w:rsidRPr="006016CC">
        <w:rPr>
          <w:rFonts w:asciiTheme="minorHAnsi" w:hAnsiTheme="minorHAnsi"/>
          <w:lang w:val="en-US"/>
        </w:rPr>
        <w:t xml:space="preserve">Council-16, </w:t>
      </w:r>
      <w:r w:rsidR="00770E42" w:rsidRPr="006016CC">
        <w:rPr>
          <w:rFonts w:asciiTheme="minorHAnsi" w:hAnsiTheme="minorHAnsi"/>
          <w:lang w:val="en-US"/>
        </w:rPr>
        <w:t>on revising</w:t>
      </w:r>
      <w:r w:rsidR="00A54DD4" w:rsidRPr="006016CC">
        <w:rPr>
          <w:rFonts w:asciiTheme="minorHAnsi" w:hAnsiTheme="minorHAnsi"/>
          <w:lang w:val="en-US"/>
        </w:rPr>
        <w:t xml:space="preserve"> </w:t>
      </w:r>
      <w:hyperlink r:id="rId14" w:history="1">
        <w:r w:rsidR="006F73CB" w:rsidRPr="006016CC">
          <w:rPr>
            <w:rStyle w:val="Hyperlink"/>
            <w:rFonts w:asciiTheme="minorHAnsi" w:hAnsiTheme="minorHAnsi"/>
            <w:lang w:val="en-US"/>
          </w:rPr>
          <w:t>Resolution 1372</w:t>
        </w:r>
      </w:hyperlink>
      <w:r w:rsidR="00827136" w:rsidRPr="006016CC">
        <w:rPr>
          <w:rFonts w:asciiTheme="minorHAnsi" w:hAnsiTheme="minorHAnsi"/>
          <w:lang w:val="en-US"/>
        </w:rPr>
        <w:t xml:space="preserve">, </w:t>
      </w:r>
      <w:r w:rsidR="00A54DD4" w:rsidRPr="006016CC">
        <w:rPr>
          <w:rFonts w:asciiTheme="minorHAnsi" w:hAnsiTheme="minorHAnsi"/>
          <w:lang w:val="en-US"/>
        </w:rPr>
        <w:t xml:space="preserve">instructed </w:t>
      </w:r>
      <w:r w:rsidR="00770E42" w:rsidRPr="006016CC">
        <w:rPr>
          <w:rFonts w:asciiTheme="minorHAnsi" w:hAnsiTheme="minorHAnsi"/>
          <w:lang w:val="en-US"/>
        </w:rPr>
        <w:t>the Secretary-General and the Directors of the Bureaux “to report to CWG-LANG on the measures taken to ensure on the ITU website in the medium term: i) the publication of new or modified pages in the six official languages simultaneously and ii) equality in terms of functionality and navigation”.</w:t>
      </w:r>
    </w:p>
    <w:p w14:paraId="11D87D3C" w14:textId="0E9BDF84" w:rsidR="002D59DF" w:rsidRPr="00553A09" w:rsidRDefault="002D59DF" w:rsidP="008B0EB9">
      <w:pPr>
        <w:pStyle w:val="ListParagraph"/>
        <w:snapToGrid w:val="0"/>
        <w:spacing w:after="120"/>
        <w:ind w:left="0"/>
        <w:contextualSpacing w:val="0"/>
        <w:jc w:val="both"/>
        <w:rPr>
          <w:rFonts w:asciiTheme="minorHAnsi" w:hAnsiTheme="minorHAnsi"/>
          <w:highlight w:val="yellow"/>
          <w:lang w:val="en-US"/>
        </w:rPr>
      </w:pPr>
      <w:r w:rsidRPr="006016CC">
        <w:rPr>
          <w:rFonts w:asciiTheme="minorHAnsi" w:hAnsiTheme="minorHAnsi"/>
          <w:lang w:val="en-US"/>
        </w:rPr>
        <w:t>In response</w:t>
      </w:r>
      <w:r w:rsidR="00770E42" w:rsidRPr="00553A09">
        <w:rPr>
          <w:rFonts w:asciiTheme="minorHAnsi" w:hAnsiTheme="minorHAnsi"/>
          <w:lang w:val="en-US"/>
        </w:rPr>
        <w:t xml:space="preserve"> to this</w:t>
      </w:r>
      <w:r w:rsidRPr="006016CC">
        <w:rPr>
          <w:rFonts w:asciiTheme="minorHAnsi" w:hAnsiTheme="minorHAnsi"/>
          <w:lang w:val="en-US"/>
        </w:rPr>
        <w:t xml:space="preserve">, </w:t>
      </w:r>
      <w:r w:rsidR="00D411AC">
        <w:rPr>
          <w:rFonts w:asciiTheme="minorHAnsi" w:hAnsiTheme="minorHAnsi"/>
          <w:lang w:val="en-US"/>
        </w:rPr>
        <w:t xml:space="preserve">an </w:t>
      </w:r>
      <w:r w:rsidR="00D411AC" w:rsidRPr="007C5F67">
        <w:rPr>
          <w:rFonts w:asciiTheme="minorHAnsi" w:hAnsiTheme="minorHAnsi"/>
          <w:b/>
          <w:bCs/>
          <w:lang w:val="en-US"/>
        </w:rPr>
        <w:t>Ad-Hoc Group on Multilingual ITU Web</w:t>
      </w:r>
      <w:r w:rsidR="00D411AC">
        <w:rPr>
          <w:rFonts w:asciiTheme="minorHAnsi" w:hAnsiTheme="minorHAnsi"/>
          <w:lang w:val="en-US"/>
        </w:rPr>
        <w:t xml:space="preserve"> was created, chaired by the </w:t>
      </w:r>
      <w:r w:rsidR="00455692">
        <w:rPr>
          <w:rFonts w:asciiTheme="minorHAnsi" w:hAnsiTheme="minorHAnsi"/>
          <w:lang w:val="en-US"/>
        </w:rPr>
        <w:t xml:space="preserve">Deputy </w:t>
      </w:r>
      <w:r w:rsidR="00D411AC">
        <w:rPr>
          <w:rFonts w:asciiTheme="minorHAnsi" w:hAnsiTheme="minorHAnsi"/>
          <w:lang w:val="en-US"/>
        </w:rPr>
        <w:t>Secretary General and attended by representatives of the three Sectors</w:t>
      </w:r>
      <w:r w:rsidR="007C5F67">
        <w:rPr>
          <w:rFonts w:asciiTheme="minorHAnsi" w:hAnsiTheme="minorHAnsi"/>
          <w:lang w:val="en-US"/>
        </w:rPr>
        <w:t>, the General Secretariat</w:t>
      </w:r>
      <w:r w:rsidR="00D411AC">
        <w:rPr>
          <w:rFonts w:asciiTheme="minorHAnsi" w:hAnsiTheme="minorHAnsi"/>
          <w:lang w:val="en-US"/>
        </w:rPr>
        <w:t xml:space="preserve"> and other staff i</w:t>
      </w:r>
      <w:r w:rsidR="00827136">
        <w:rPr>
          <w:rFonts w:asciiTheme="minorHAnsi" w:hAnsiTheme="minorHAnsi"/>
          <w:lang w:val="en-US"/>
        </w:rPr>
        <w:t>nvolved in web pages production. The group</w:t>
      </w:r>
      <w:r w:rsidR="00D411AC">
        <w:rPr>
          <w:rFonts w:asciiTheme="minorHAnsi" w:hAnsiTheme="minorHAnsi"/>
          <w:lang w:val="en-US"/>
        </w:rPr>
        <w:t xml:space="preserve"> held </w:t>
      </w:r>
      <w:r w:rsidR="00D411AC" w:rsidRPr="007C5F67">
        <w:rPr>
          <w:rFonts w:asciiTheme="minorHAnsi" w:hAnsiTheme="minorHAnsi"/>
          <w:b/>
          <w:bCs/>
          <w:lang w:val="en-US"/>
        </w:rPr>
        <w:t>four meetings</w:t>
      </w:r>
      <w:r w:rsidR="00D411AC">
        <w:rPr>
          <w:rFonts w:asciiTheme="minorHAnsi" w:hAnsiTheme="minorHAnsi"/>
          <w:lang w:val="en-US"/>
        </w:rPr>
        <w:t xml:space="preserve"> in order to reflect on m</w:t>
      </w:r>
      <w:r w:rsidR="00F5243E" w:rsidRPr="00F5243E">
        <w:rPr>
          <w:rFonts w:asciiTheme="minorHAnsi" w:hAnsiTheme="minorHAnsi"/>
          <w:lang w:val="en-US"/>
        </w:rPr>
        <w:t>easures for structuring and controlling ITU Web publication</w:t>
      </w:r>
      <w:r w:rsidR="00827136">
        <w:rPr>
          <w:rFonts w:asciiTheme="minorHAnsi" w:hAnsiTheme="minorHAnsi"/>
          <w:lang w:val="en-US"/>
        </w:rPr>
        <w:t>,</w:t>
      </w:r>
      <w:r w:rsidR="001A532E">
        <w:rPr>
          <w:rFonts w:asciiTheme="minorHAnsi" w:hAnsiTheme="minorHAnsi"/>
          <w:lang w:val="en-US"/>
        </w:rPr>
        <w:t xml:space="preserve"> based on the </w:t>
      </w:r>
      <w:r w:rsidR="006F73CB" w:rsidRPr="006F73CB">
        <w:rPr>
          <w:rFonts w:asciiTheme="minorHAnsi" w:hAnsiTheme="minorHAnsi"/>
          <w:lang w:val="en-US"/>
        </w:rPr>
        <w:t>“</w:t>
      </w:r>
      <w:hyperlink r:id="rId15" w:history="1">
        <w:r w:rsidR="006F73CB" w:rsidRPr="001A532E">
          <w:rPr>
            <w:rStyle w:val="Hyperlink"/>
            <w:rFonts w:asciiTheme="minorHAnsi" w:hAnsiTheme="minorHAnsi"/>
            <w:lang w:val="en-US"/>
          </w:rPr>
          <w:t>Minimum standards for multilingualism of United Nations websites</w:t>
        </w:r>
      </w:hyperlink>
      <w:r w:rsidR="006F73CB" w:rsidRPr="006F73CB">
        <w:rPr>
          <w:rFonts w:asciiTheme="minorHAnsi" w:hAnsiTheme="minorHAnsi"/>
          <w:lang w:val="en-US"/>
        </w:rPr>
        <w:t>”</w:t>
      </w:r>
      <w:r w:rsidR="001A532E">
        <w:rPr>
          <w:rFonts w:asciiTheme="minorHAnsi" w:hAnsiTheme="minorHAnsi"/>
          <w:lang w:val="en-US"/>
        </w:rPr>
        <w:t xml:space="preserve"> published by the UN Department of Public Information</w:t>
      </w:r>
      <w:r w:rsidR="00D411AC">
        <w:rPr>
          <w:rFonts w:asciiTheme="minorHAnsi" w:hAnsiTheme="minorHAnsi"/>
          <w:lang w:val="en-US"/>
        </w:rPr>
        <w:t xml:space="preserve">, </w:t>
      </w:r>
      <w:r w:rsidR="00827136">
        <w:rPr>
          <w:rFonts w:asciiTheme="minorHAnsi" w:hAnsiTheme="minorHAnsi"/>
          <w:lang w:val="en-US"/>
        </w:rPr>
        <w:t xml:space="preserve">so as to improve the ITU Web governance </w:t>
      </w:r>
      <w:r w:rsidR="00196510">
        <w:rPr>
          <w:rFonts w:asciiTheme="minorHAnsi" w:hAnsiTheme="minorHAnsi"/>
          <w:lang w:val="en-US"/>
        </w:rPr>
        <w:t>and to provide</w:t>
      </w:r>
      <w:r w:rsidR="00D411AC">
        <w:rPr>
          <w:rFonts w:asciiTheme="minorHAnsi" w:hAnsiTheme="minorHAnsi"/>
          <w:lang w:val="en-US"/>
        </w:rPr>
        <w:t xml:space="preserve"> a set of specific </w:t>
      </w:r>
      <w:r w:rsidR="00B94549">
        <w:rPr>
          <w:rFonts w:asciiTheme="minorHAnsi" w:hAnsiTheme="minorHAnsi"/>
          <w:lang w:val="en-US"/>
        </w:rPr>
        <w:t>i</w:t>
      </w:r>
      <w:r w:rsidR="005D5545" w:rsidRPr="005D5545">
        <w:rPr>
          <w:rFonts w:asciiTheme="minorHAnsi" w:hAnsiTheme="minorHAnsi"/>
          <w:lang w:val="en-US"/>
        </w:rPr>
        <w:t>nstructions to all ITU Web Editors/Authors</w:t>
      </w:r>
      <w:r w:rsidR="001A532E">
        <w:rPr>
          <w:rFonts w:asciiTheme="minorHAnsi" w:hAnsiTheme="minorHAnsi"/>
          <w:lang w:val="en-US"/>
        </w:rPr>
        <w:t xml:space="preserve"> </w:t>
      </w:r>
      <w:r w:rsidR="00827136">
        <w:rPr>
          <w:rFonts w:asciiTheme="minorHAnsi" w:hAnsiTheme="minorHAnsi"/>
          <w:lang w:val="en-US"/>
        </w:rPr>
        <w:t>aimed at accelerating</w:t>
      </w:r>
      <w:r w:rsidR="00790BCE">
        <w:rPr>
          <w:rFonts w:asciiTheme="minorHAnsi" w:hAnsiTheme="minorHAnsi"/>
          <w:lang w:val="en-US"/>
        </w:rPr>
        <w:t xml:space="preserve"> the translation process</w:t>
      </w:r>
      <w:r w:rsidR="00D411AC">
        <w:rPr>
          <w:rFonts w:asciiTheme="minorHAnsi" w:hAnsiTheme="minorHAnsi"/>
          <w:lang w:val="en-US"/>
        </w:rPr>
        <w:t xml:space="preserve">. </w:t>
      </w:r>
    </w:p>
    <w:p w14:paraId="74196DF2" w14:textId="77777777" w:rsidR="00930A68" w:rsidRPr="00553A09" w:rsidRDefault="00930A68" w:rsidP="008B0EB9">
      <w:pPr>
        <w:pStyle w:val="ListParagraph"/>
        <w:keepNext/>
        <w:keepLines/>
        <w:snapToGrid w:val="0"/>
        <w:spacing w:after="120"/>
        <w:ind w:left="0"/>
        <w:contextualSpacing w:val="0"/>
        <w:jc w:val="both"/>
        <w:rPr>
          <w:rFonts w:asciiTheme="minorHAnsi" w:hAnsiTheme="minorHAnsi"/>
          <w:highlight w:val="yellow"/>
          <w:lang w:val="en-US"/>
        </w:rPr>
      </w:pPr>
      <w:r w:rsidRPr="00A71258">
        <w:rPr>
          <w:rFonts w:asciiTheme="minorHAnsi" w:hAnsiTheme="minorHAnsi"/>
          <w:lang w:val="en-US"/>
        </w:rPr>
        <w:t>The outcomes of those meetings were several documents</w:t>
      </w:r>
      <w:r>
        <w:rPr>
          <w:rFonts w:asciiTheme="minorHAnsi" w:hAnsiTheme="minorHAnsi"/>
          <w:lang w:val="en-US"/>
        </w:rPr>
        <w:t xml:space="preserve"> of a very pragmatic nature</w:t>
      </w:r>
      <w:r w:rsidRPr="00A71258">
        <w:rPr>
          <w:rFonts w:asciiTheme="minorHAnsi" w:hAnsiTheme="minorHAnsi"/>
          <w:lang w:val="en-US"/>
        </w:rPr>
        <w:t xml:space="preserve">, </w:t>
      </w:r>
      <w:r>
        <w:rPr>
          <w:rFonts w:asciiTheme="minorHAnsi" w:hAnsiTheme="minorHAnsi"/>
          <w:lang w:val="en-US"/>
        </w:rPr>
        <w:t xml:space="preserve">and </w:t>
      </w:r>
      <w:r w:rsidRPr="00A71258">
        <w:rPr>
          <w:rFonts w:asciiTheme="minorHAnsi" w:hAnsiTheme="minorHAnsi"/>
          <w:lang w:val="en-US"/>
        </w:rPr>
        <w:t>among them the “Specific Instructions to all ITU Web Editors/Authors” (see Annex), conceived so as to satisfy the mandate stipulated by the Council in Resolution 1372 (Rev. 2016), and that will be implemented as of January 2017</w:t>
      </w:r>
      <w:r>
        <w:rPr>
          <w:rFonts w:asciiTheme="minorHAnsi" w:hAnsiTheme="minorHAnsi"/>
          <w:lang w:val="en-US"/>
        </w:rPr>
        <w:t>.</w:t>
      </w:r>
      <w:r w:rsidRPr="00A71258">
        <w:rPr>
          <w:rFonts w:asciiTheme="minorHAnsi" w:hAnsiTheme="minorHAnsi"/>
          <w:lang w:val="en-US"/>
        </w:rPr>
        <w:t xml:space="preserve"> </w:t>
      </w:r>
    </w:p>
    <w:p w14:paraId="7DC18E74" w14:textId="77777777" w:rsidR="008B0EB9" w:rsidRDefault="008B0EB9" w:rsidP="008B0EB9">
      <w:pPr>
        <w:tabs>
          <w:tab w:val="clear" w:pos="794"/>
          <w:tab w:val="clear" w:pos="1191"/>
          <w:tab w:val="clear" w:pos="1588"/>
          <w:tab w:val="clear" w:pos="1985"/>
        </w:tabs>
        <w:overflowPunct/>
        <w:autoSpaceDE/>
        <w:autoSpaceDN/>
        <w:adjustRightInd/>
        <w:snapToGrid w:val="0"/>
        <w:spacing w:after="120"/>
        <w:textAlignment w:val="auto"/>
        <w:rPr>
          <w:rFonts w:asciiTheme="minorHAnsi" w:hAnsiTheme="minorHAnsi"/>
          <w:b/>
          <w:bCs/>
          <w:szCs w:val="24"/>
        </w:rPr>
      </w:pPr>
      <w:r>
        <w:rPr>
          <w:rFonts w:asciiTheme="minorHAnsi" w:hAnsiTheme="minorHAnsi"/>
          <w:b/>
          <w:bCs/>
          <w:szCs w:val="24"/>
        </w:rPr>
        <w:br w:type="page"/>
      </w:r>
    </w:p>
    <w:p w14:paraId="41645C28" w14:textId="04E26ECE" w:rsidR="00942F4D" w:rsidRPr="008B0EB9" w:rsidRDefault="004137A6" w:rsidP="008B0EB9">
      <w:pPr>
        <w:pStyle w:val="Annextitle"/>
        <w:rPr>
          <w:rFonts w:asciiTheme="minorHAnsi" w:hAnsiTheme="minorHAnsi"/>
          <w:b w:val="0"/>
          <w:bCs/>
        </w:rPr>
      </w:pPr>
      <w:r w:rsidRPr="008B0EB9">
        <w:rPr>
          <w:rFonts w:asciiTheme="minorHAnsi" w:hAnsiTheme="minorHAnsi"/>
          <w:b w:val="0"/>
          <w:bCs/>
        </w:rPr>
        <w:t>ANNEX</w:t>
      </w:r>
    </w:p>
    <w:p w14:paraId="7485F077" w14:textId="535AA627" w:rsidR="00930A68" w:rsidRPr="00A71258" w:rsidRDefault="00930A68" w:rsidP="008B0EB9">
      <w:pPr>
        <w:pStyle w:val="Annextitle"/>
        <w:snapToGrid w:val="0"/>
        <w:spacing w:before="120" w:after="120"/>
        <w:rPr>
          <w:rFonts w:ascii="Calibri" w:eastAsia="SimSun" w:hAnsi="Calibri" w:cs="Arial"/>
          <w:bCs/>
          <w:szCs w:val="24"/>
          <w:lang w:val="en-US" w:eastAsia="zh-CN"/>
        </w:rPr>
      </w:pPr>
      <w:r w:rsidRPr="00A71258">
        <w:rPr>
          <w:rFonts w:ascii="Calibri" w:eastAsia="SimSun" w:hAnsi="Calibri" w:cs="Arial"/>
          <w:bCs/>
          <w:szCs w:val="24"/>
          <w:lang w:val="en-US" w:eastAsia="zh-CN"/>
        </w:rPr>
        <w:t>Instructions</w:t>
      </w:r>
      <w:r w:rsidR="008B0EB9">
        <w:rPr>
          <w:rFonts w:ascii="Calibri" w:eastAsia="SimSun" w:hAnsi="Calibri" w:cs="Arial"/>
          <w:bCs/>
          <w:szCs w:val="24"/>
          <w:lang w:val="en-US" w:eastAsia="zh-CN"/>
        </w:rPr>
        <w:t xml:space="preserve"> to all ITU Web Editors/Authors</w:t>
      </w:r>
    </w:p>
    <w:p w14:paraId="5166EA28" w14:textId="77777777" w:rsidR="00930A68" w:rsidRPr="008B0EB9" w:rsidRDefault="00930A68" w:rsidP="008B0EB9">
      <w:pPr>
        <w:tabs>
          <w:tab w:val="clear" w:pos="794"/>
          <w:tab w:val="clear" w:pos="1191"/>
          <w:tab w:val="clear" w:pos="1588"/>
          <w:tab w:val="clear" w:pos="1985"/>
        </w:tabs>
        <w:overflowPunct/>
        <w:autoSpaceDE/>
        <w:autoSpaceDN/>
        <w:adjustRightInd/>
        <w:snapToGrid w:val="0"/>
        <w:spacing w:before="240" w:after="120"/>
        <w:textAlignment w:val="auto"/>
        <w:rPr>
          <w:rFonts w:asciiTheme="minorHAnsi" w:eastAsia="SimSun" w:hAnsiTheme="minorHAnsi" w:cs="Arial"/>
          <w:b/>
          <w:bCs/>
          <w:szCs w:val="24"/>
          <w:lang w:val="en-US" w:eastAsia="zh-CN"/>
        </w:rPr>
      </w:pPr>
      <w:r w:rsidRPr="008B0EB9">
        <w:rPr>
          <w:rFonts w:asciiTheme="minorHAnsi" w:eastAsia="SimSun" w:hAnsiTheme="minorHAnsi" w:cs="Arial"/>
          <w:b/>
          <w:bCs/>
          <w:szCs w:val="24"/>
          <w:lang w:val="en-US" w:eastAsia="zh-CN"/>
        </w:rPr>
        <w:t>Introduction:</w:t>
      </w:r>
    </w:p>
    <w:p w14:paraId="7431F425" w14:textId="77777777" w:rsidR="00930A68" w:rsidRPr="008B0EB9" w:rsidRDefault="00930A68" w:rsidP="008B0EB9">
      <w:p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The following instructions are obligatory requirements for ITU staff involved in creating and maintaining a web page, microsite</w:t>
      </w:r>
      <w:r w:rsidRPr="008B0EB9">
        <w:rPr>
          <w:rFonts w:asciiTheme="minorHAnsi" w:eastAsia="SimSun" w:hAnsiTheme="minorHAnsi" w:cs="Arial"/>
          <w:szCs w:val="24"/>
          <w:vertAlign w:val="superscript"/>
          <w:lang w:val="en-US" w:eastAsia="zh-CN"/>
        </w:rPr>
        <w:footnoteReference w:id="1"/>
      </w:r>
      <w:r w:rsidRPr="008B0EB9">
        <w:rPr>
          <w:rFonts w:asciiTheme="minorHAnsi" w:eastAsia="SimSun" w:hAnsiTheme="minorHAnsi" w:cs="Arial"/>
          <w:szCs w:val="24"/>
          <w:lang w:val="en-US" w:eastAsia="zh-CN"/>
        </w:rPr>
        <w:t xml:space="preserve"> or other related web property under the ITU brand. A key objective of these instructions is to limit the number of pages/sites on the ITU.int website which have been proliferating at an unmanageable rate resulting in a drop in quality, consistency, branding and style. These instructions work on the presumption that the ITU website must be coherent and consistent right across all aspects of the site i.e. one website for one ITU.</w:t>
      </w:r>
    </w:p>
    <w:p w14:paraId="3B7013B2" w14:textId="77777777" w:rsidR="00930A68" w:rsidRPr="008B0EB9" w:rsidRDefault="00930A68" w:rsidP="008B0EB9">
      <w:p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The purpose of these instructions is to achieve full consistency in these three key areas:</w:t>
      </w:r>
    </w:p>
    <w:p w14:paraId="55B06F00" w14:textId="77777777" w:rsidR="00930A68" w:rsidRPr="008B0EB9" w:rsidRDefault="00930A68" w:rsidP="008B0EB9">
      <w:pPr>
        <w:numPr>
          <w:ilvl w:val="0"/>
          <w:numId w:val="6"/>
        </w:numPr>
        <w:tabs>
          <w:tab w:val="clear" w:pos="794"/>
          <w:tab w:val="clear" w:pos="1191"/>
          <w:tab w:val="clear" w:pos="1588"/>
          <w:tab w:val="clear" w:pos="1985"/>
        </w:tabs>
        <w:overflowPunct/>
        <w:autoSpaceDE/>
        <w:autoSpaceDN/>
        <w:adjustRightInd/>
        <w:snapToGrid w:val="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Web page creation</w:t>
      </w:r>
    </w:p>
    <w:p w14:paraId="6C9F3CF2" w14:textId="77777777" w:rsidR="00930A68" w:rsidRPr="008B0EB9" w:rsidRDefault="00930A68" w:rsidP="008B0EB9">
      <w:pPr>
        <w:numPr>
          <w:ilvl w:val="0"/>
          <w:numId w:val="6"/>
        </w:numPr>
        <w:tabs>
          <w:tab w:val="clear" w:pos="794"/>
          <w:tab w:val="clear" w:pos="1191"/>
          <w:tab w:val="clear" w:pos="1588"/>
          <w:tab w:val="clear" w:pos="1985"/>
        </w:tabs>
        <w:overflowPunct/>
        <w:autoSpaceDE/>
        <w:autoSpaceDN/>
        <w:adjustRightInd/>
        <w:snapToGrid w:val="0"/>
        <w:spacing w:before="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Multilingualism applied to the web</w:t>
      </w:r>
    </w:p>
    <w:p w14:paraId="33F209F9" w14:textId="77777777" w:rsidR="00930A68" w:rsidRPr="008B0EB9" w:rsidRDefault="00930A68" w:rsidP="008B0EB9">
      <w:pPr>
        <w:numPr>
          <w:ilvl w:val="0"/>
          <w:numId w:val="6"/>
        </w:numPr>
        <w:tabs>
          <w:tab w:val="clear" w:pos="794"/>
          <w:tab w:val="clear" w:pos="1191"/>
          <w:tab w:val="clear" w:pos="1588"/>
          <w:tab w:val="clear" w:pos="1985"/>
        </w:tabs>
        <w:overflowPunct/>
        <w:autoSpaceDE/>
        <w:autoSpaceDN/>
        <w:adjustRightInd/>
        <w:snapToGrid w:val="0"/>
        <w:spacing w:before="0"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Translation process</w:t>
      </w:r>
    </w:p>
    <w:p w14:paraId="1EA04F44" w14:textId="77777777" w:rsidR="00930A68" w:rsidRPr="008B0EB9" w:rsidRDefault="00930A68" w:rsidP="008B0EB9">
      <w:pPr>
        <w:numPr>
          <w:ilvl w:val="0"/>
          <w:numId w:val="7"/>
        </w:numPr>
        <w:tabs>
          <w:tab w:val="clear" w:pos="794"/>
          <w:tab w:val="clear" w:pos="1191"/>
          <w:tab w:val="clear" w:pos="1588"/>
          <w:tab w:val="clear" w:pos="1985"/>
        </w:tabs>
        <w:overflowPunct/>
        <w:autoSpaceDE/>
        <w:autoSpaceDN/>
        <w:adjustRightInd/>
        <w:snapToGrid w:val="0"/>
        <w:spacing w:before="240" w:after="120"/>
        <w:textAlignment w:val="auto"/>
        <w:rPr>
          <w:rFonts w:asciiTheme="minorHAnsi" w:eastAsia="SimSun" w:hAnsiTheme="minorHAnsi" w:cs="Arial"/>
          <w:b/>
          <w:bCs/>
          <w:szCs w:val="24"/>
          <w:u w:val="single"/>
          <w:lang w:val="en-US" w:eastAsia="zh-CN"/>
        </w:rPr>
      </w:pPr>
      <w:r w:rsidRPr="008B0EB9">
        <w:rPr>
          <w:rFonts w:asciiTheme="minorHAnsi" w:eastAsia="SimSun" w:hAnsiTheme="minorHAnsi" w:cs="Arial"/>
          <w:b/>
          <w:bCs/>
          <w:szCs w:val="24"/>
          <w:u w:val="single"/>
          <w:lang w:val="en-US" w:eastAsia="zh-CN"/>
        </w:rPr>
        <w:t>Creation of a web page</w:t>
      </w:r>
    </w:p>
    <w:p w14:paraId="070DB574" w14:textId="77777777" w:rsidR="00930A68" w:rsidRPr="008B0EB9" w:rsidRDefault="00930A68" w:rsidP="008B0EB9">
      <w:p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When creating a web page the web author must have an answer to the most basic questions - is there a need for a web page? Clear criteria for deciding to create a web page must be defined and agreed to avoid proliferation of web pages or duplication of efforts with existing translations.</w:t>
      </w:r>
    </w:p>
    <w:p w14:paraId="33F6DD23" w14:textId="77777777" w:rsidR="00930A68" w:rsidRPr="008B0EB9" w:rsidRDefault="00930A68" w:rsidP="008B0EB9">
      <w:p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 xml:space="preserve">Who can create a web page? </w:t>
      </w:r>
      <w:hyperlink r:id="rId16" w:history="1">
        <w:r w:rsidRPr="008B0EB9">
          <w:rPr>
            <w:rFonts w:asciiTheme="minorHAnsi" w:eastAsia="SimSun" w:hAnsiTheme="minorHAnsi" w:cs="Arial"/>
            <w:szCs w:val="24"/>
            <w:u w:val="single"/>
            <w:lang w:val="en-US" w:eastAsia="zh-CN"/>
          </w:rPr>
          <w:t>Definition of roles and responsibilities have been outlined and agreed by the ITU’s Web and Editorial Board in 2014 and can be referenced on the ITU intranet.</w:t>
        </w:r>
      </w:hyperlink>
      <w:r w:rsidRPr="008B0EB9">
        <w:rPr>
          <w:rFonts w:asciiTheme="minorHAnsi" w:eastAsia="SimSun" w:hAnsiTheme="minorHAnsi" w:cs="Arial"/>
          <w:szCs w:val="24"/>
          <w:lang w:val="en-US" w:eastAsia="zh-CN"/>
        </w:rPr>
        <w:t xml:space="preserve"> </w:t>
      </w:r>
    </w:p>
    <w:p w14:paraId="208E51D2" w14:textId="65FF7638" w:rsidR="00930A68" w:rsidRPr="008B0EB9" w:rsidRDefault="008B0EB9" w:rsidP="008B0EB9">
      <w:pPr>
        <w:numPr>
          <w:ilvl w:val="0"/>
          <w:numId w:val="7"/>
        </w:numPr>
        <w:tabs>
          <w:tab w:val="clear" w:pos="794"/>
          <w:tab w:val="clear" w:pos="1191"/>
          <w:tab w:val="clear" w:pos="1588"/>
          <w:tab w:val="clear" w:pos="1985"/>
        </w:tabs>
        <w:overflowPunct/>
        <w:autoSpaceDE/>
        <w:autoSpaceDN/>
        <w:adjustRightInd/>
        <w:snapToGrid w:val="0"/>
        <w:spacing w:before="360" w:after="120"/>
        <w:textAlignment w:val="auto"/>
        <w:rPr>
          <w:rFonts w:asciiTheme="minorHAnsi" w:eastAsia="SimSun" w:hAnsiTheme="minorHAnsi" w:cs="Arial"/>
          <w:b/>
          <w:bCs/>
          <w:szCs w:val="24"/>
          <w:u w:val="single"/>
          <w:lang w:val="en-US" w:eastAsia="zh-CN"/>
        </w:rPr>
      </w:pPr>
      <w:r w:rsidRPr="008B0EB9">
        <w:rPr>
          <w:rFonts w:asciiTheme="minorHAnsi" w:eastAsia="SimSun" w:hAnsiTheme="minorHAnsi" w:cs="Arial"/>
          <w:b/>
          <w:bCs/>
          <w:szCs w:val="24"/>
          <w:u w:val="single"/>
          <w:lang w:val="en-US" w:eastAsia="zh-CN"/>
        </w:rPr>
        <w:t>Multilingual content</w:t>
      </w:r>
    </w:p>
    <w:p w14:paraId="0EE5B16B"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Multilingualism must be incorporated from the very beginning of any website project and should not be considered a mere translation exercise.</w:t>
      </w:r>
    </w:p>
    <w:p w14:paraId="1CD41E54"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Content authoring officers must ensure that content on their website is made available in all of the six Union’s official languages and must know in particular where they are obliged to have content in all six languages. For the regional pages, translations should be always be made available in the relevant official UN language of the region.</w:t>
      </w:r>
    </w:p>
    <w:p w14:paraId="109C48CC"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 xml:space="preserve">A language ‘bar’ must be used to ensure users can navigate easily between the six official languages. </w:t>
      </w:r>
    </w:p>
    <w:p w14:paraId="56A16A23"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Links must always lead to the language that they point to. It is not acceptable to have a link pointing to a page in another language only to find a message indicating it has not been translated to that language. The link should indicate it leads to a document in another language.</w:t>
      </w:r>
    </w:p>
    <w:p w14:paraId="0971AB1E"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Dynamic and streaming content from RSS feeds, Twitter etc. must be linked to a level 2 page, indicating that such content appears in the language it has been generated and is not translated.</w:t>
      </w:r>
    </w:p>
    <w:p w14:paraId="68BE4EAD"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Web Pages can never mix languages into a jumble of different translations. All pages must be completely in the language expected by the user.</w:t>
      </w:r>
    </w:p>
    <w:p w14:paraId="67DD2633"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 xml:space="preserve">Ensure that any acronyms being used are being used in the correct language. </w:t>
      </w:r>
    </w:p>
    <w:p w14:paraId="2A0F6D30"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Banners and logos must not contain letters as a design element, nor should design elements be used as letters since they are difficult to adapt across languages.</w:t>
      </w:r>
    </w:p>
    <w:p w14:paraId="2CDC8B2D"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 xml:space="preserve">Translations must adhere to the highest standards. Machine translation is not acceptable for the ITU website, nor translations made by persons with only some knowledge of the language. </w:t>
      </w:r>
    </w:p>
    <w:p w14:paraId="23D414CB"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 xml:space="preserve">When drafting content, authors must adhere to the ITU House Style Manuals for issues like the use of capital letters, acronyms, etc. The ITU terminology database known as </w:t>
      </w:r>
      <w:hyperlink r:id="rId17" w:history="1">
        <w:r w:rsidRPr="008B0EB9">
          <w:rPr>
            <w:rFonts w:asciiTheme="minorHAnsi" w:eastAsia="SimSun" w:hAnsiTheme="minorHAnsi" w:cs="Arial"/>
            <w:color w:val="0563C1"/>
            <w:szCs w:val="24"/>
            <w:u w:val="single"/>
            <w:lang w:val="en-US" w:eastAsia="zh-CN"/>
          </w:rPr>
          <w:t>TERMITE</w:t>
        </w:r>
      </w:hyperlink>
      <w:r w:rsidRPr="008B0EB9">
        <w:rPr>
          <w:rFonts w:asciiTheme="minorHAnsi" w:eastAsia="SimSun" w:hAnsiTheme="minorHAnsi" w:cs="Arial"/>
          <w:szCs w:val="24"/>
          <w:lang w:val="en-US" w:eastAsia="zh-CN"/>
        </w:rPr>
        <w:t xml:space="preserve"> must be used as the standard for ITU terminology.</w:t>
      </w:r>
    </w:p>
    <w:p w14:paraId="1A2E6240"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Footers and disclaimers must be in the official language selected.</w:t>
      </w:r>
    </w:p>
    <w:p w14:paraId="007BF510"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Contact pages and queries must be directed to the substantive offices and indicate the language(s) in which they operate.</w:t>
      </w:r>
    </w:p>
    <w:p w14:paraId="2E75290D"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All (relatively) static content such as: About Us, Bios, Areas of Action, Regional Offices etc. must be in all six languages without exception.</w:t>
      </w:r>
    </w:p>
    <w:p w14:paraId="5FB4A114" w14:textId="77777777" w:rsidR="00930A68" w:rsidRPr="008B0EB9" w:rsidRDefault="00930A68" w:rsidP="008B0EB9">
      <w:pPr>
        <w:numPr>
          <w:ilvl w:val="1"/>
          <w:numId w:val="7"/>
        </w:numPr>
        <w:tabs>
          <w:tab w:val="clear" w:pos="794"/>
          <w:tab w:val="clear" w:pos="1191"/>
          <w:tab w:val="clear" w:pos="1588"/>
          <w:tab w:val="clear" w:pos="1985"/>
        </w:tabs>
        <w:overflowPunct/>
        <w:autoSpaceDE/>
        <w:autoSpaceDN/>
        <w:adjustRightInd/>
        <w:snapToGrid w:val="0"/>
        <w:spacing w:after="12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All pages shall have a back link option to the corporate home page of ITU.int in the respective lang</w:t>
      </w:r>
      <w:bookmarkStart w:id="6" w:name="_GoBack"/>
      <w:bookmarkEnd w:id="6"/>
      <w:r w:rsidRPr="008B0EB9">
        <w:rPr>
          <w:rFonts w:asciiTheme="minorHAnsi" w:eastAsia="SimSun" w:hAnsiTheme="minorHAnsi" w:cs="Arial"/>
          <w:szCs w:val="24"/>
          <w:lang w:val="en-US" w:eastAsia="zh-CN"/>
        </w:rPr>
        <w:t>uage.</w:t>
      </w:r>
    </w:p>
    <w:p w14:paraId="69718319" w14:textId="77777777" w:rsidR="00930A68" w:rsidRPr="008B0EB9" w:rsidRDefault="00930A68" w:rsidP="00532810">
      <w:pPr>
        <w:numPr>
          <w:ilvl w:val="0"/>
          <w:numId w:val="7"/>
        </w:numPr>
        <w:tabs>
          <w:tab w:val="clear" w:pos="794"/>
          <w:tab w:val="clear" w:pos="1191"/>
          <w:tab w:val="clear" w:pos="1588"/>
          <w:tab w:val="clear" w:pos="1985"/>
        </w:tabs>
        <w:overflowPunct/>
        <w:autoSpaceDE/>
        <w:autoSpaceDN/>
        <w:adjustRightInd/>
        <w:snapToGrid w:val="0"/>
        <w:spacing w:before="360" w:after="120"/>
        <w:textAlignment w:val="auto"/>
        <w:rPr>
          <w:rFonts w:asciiTheme="minorHAnsi" w:eastAsia="SimSun" w:hAnsiTheme="minorHAnsi" w:cs="Arial"/>
          <w:b/>
          <w:bCs/>
          <w:szCs w:val="24"/>
          <w:u w:val="single"/>
          <w:lang w:val="en-US" w:eastAsia="zh-CN"/>
        </w:rPr>
      </w:pPr>
      <w:r w:rsidRPr="008B0EB9">
        <w:rPr>
          <w:rFonts w:asciiTheme="minorHAnsi" w:eastAsia="SimSun" w:hAnsiTheme="minorHAnsi" w:cs="Arial"/>
          <w:b/>
          <w:bCs/>
          <w:szCs w:val="24"/>
          <w:u w:val="single"/>
          <w:lang w:val="en-US" w:eastAsia="zh-CN"/>
        </w:rPr>
        <w:t>Translation process</w:t>
      </w:r>
    </w:p>
    <w:p w14:paraId="42BF5516" w14:textId="77777777" w:rsidR="00930A68" w:rsidRPr="008B0EB9" w:rsidRDefault="00930A68" w:rsidP="00532810">
      <w:pPr>
        <w:tabs>
          <w:tab w:val="clear" w:pos="794"/>
          <w:tab w:val="clear" w:pos="1191"/>
          <w:tab w:val="clear" w:pos="1588"/>
          <w:tab w:val="clear" w:pos="1985"/>
        </w:tabs>
        <w:overflowPunct/>
        <w:autoSpaceDE/>
        <w:autoSpaceDN/>
        <w:adjustRightInd/>
        <w:snapToGrid w:val="0"/>
        <w:spacing w:before="240" w:after="120"/>
        <w:ind w:left="36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Editorial instructions:</w:t>
      </w:r>
    </w:p>
    <w:p w14:paraId="41300243" w14:textId="77777777" w:rsidR="00930A68" w:rsidRPr="008B0EB9" w:rsidRDefault="00930A68" w:rsidP="008B0EB9">
      <w:pPr>
        <w:numPr>
          <w:ilvl w:val="0"/>
          <w:numId w:val="8"/>
        </w:numPr>
        <w:tabs>
          <w:tab w:val="clear" w:pos="794"/>
          <w:tab w:val="clear" w:pos="1191"/>
          <w:tab w:val="clear" w:pos="1588"/>
          <w:tab w:val="clear" w:pos="1985"/>
        </w:tabs>
        <w:overflowPunct/>
        <w:autoSpaceDE/>
        <w:autoSpaceDN/>
        <w:adjustRightInd/>
        <w:snapToGrid w:val="0"/>
        <w:spacing w:after="120"/>
        <w:ind w:left="36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 xml:space="preserve">Limit the number of words per web page to [330] words. </w:t>
      </w:r>
    </w:p>
    <w:p w14:paraId="69D392F0" w14:textId="77777777" w:rsidR="00930A68" w:rsidRPr="008B0EB9" w:rsidRDefault="00930A68" w:rsidP="008B0EB9">
      <w:pPr>
        <w:numPr>
          <w:ilvl w:val="0"/>
          <w:numId w:val="8"/>
        </w:numPr>
        <w:tabs>
          <w:tab w:val="clear" w:pos="794"/>
          <w:tab w:val="clear" w:pos="1191"/>
          <w:tab w:val="clear" w:pos="1588"/>
          <w:tab w:val="clear" w:pos="1985"/>
        </w:tabs>
        <w:overflowPunct/>
        <w:autoSpaceDE/>
        <w:autoSpaceDN/>
        <w:adjustRightInd/>
        <w:snapToGrid w:val="0"/>
        <w:spacing w:after="120"/>
        <w:ind w:left="36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All content of the web page must be accessible for translation (including banners, logos and slideshows).</w:t>
      </w:r>
    </w:p>
    <w:p w14:paraId="74B8EFC7" w14:textId="77777777" w:rsidR="00930A68" w:rsidRPr="008B0EB9" w:rsidRDefault="00930A68" w:rsidP="008B0EB9">
      <w:pPr>
        <w:numPr>
          <w:ilvl w:val="0"/>
          <w:numId w:val="8"/>
        </w:numPr>
        <w:tabs>
          <w:tab w:val="clear" w:pos="794"/>
          <w:tab w:val="clear" w:pos="1191"/>
          <w:tab w:val="clear" w:pos="1588"/>
          <w:tab w:val="clear" w:pos="1985"/>
        </w:tabs>
        <w:overflowPunct/>
        <w:autoSpaceDE/>
        <w:autoSpaceDN/>
        <w:adjustRightInd/>
        <w:snapToGrid w:val="0"/>
        <w:spacing w:after="120"/>
        <w:ind w:left="36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Avoid all pictures, “labels” and graphics with text embedded in them in image format: These images cannot be edited to translate its content.</w:t>
      </w:r>
    </w:p>
    <w:p w14:paraId="10CA8D25" w14:textId="77777777" w:rsidR="00930A68" w:rsidRPr="008B0EB9" w:rsidRDefault="00930A68" w:rsidP="008B0EB9">
      <w:pPr>
        <w:numPr>
          <w:ilvl w:val="0"/>
          <w:numId w:val="8"/>
        </w:numPr>
        <w:tabs>
          <w:tab w:val="clear" w:pos="794"/>
          <w:tab w:val="clear" w:pos="1191"/>
          <w:tab w:val="clear" w:pos="1588"/>
          <w:tab w:val="clear" w:pos="1985"/>
        </w:tabs>
        <w:overflowPunct/>
        <w:autoSpaceDE/>
        <w:autoSpaceDN/>
        <w:adjustRightInd/>
        <w:snapToGrid w:val="0"/>
        <w:spacing w:after="120"/>
        <w:ind w:left="36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Web pages that are in the 6 languages must be as stable as possible.</w:t>
      </w:r>
    </w:p>
    <w:p w14:paraId="02085EF0" w14:textId="77777777" w:rsidR="00930A68" w:rsidRPr="008B0EB9" w:rsidRDefault="00930A68" w:rsidP="008B0EB9">
      <w:pPr>
        <w:numPr>
          <w:ilvl w:val="0"/>
          <w:numId w:val="8"/>
        </w:numPr>
        <w:tabs>
          <w:tab w:val="clear" w:pos="794"/>
          <w:tab w:val="clear" w:pos="1191"/>
          <w:tab w:val="clear" w:pos="1588"/>
          <w:tab w:val="clear" w:pos="1985"/>
        </w:tabs>
        <w:overflowPunct/>
        <w:autoSpaceDE/>
        <w:autoSpaceDN/>
        <w:adjustRightInd/>
        <w:snapToGrid w:val="0"/>
        <w:spacing w:after="120"/>
        <w:ind w:left="36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Authors shall avoid creating pages for content that already exists in document form (Official Documents, Reports, Publications, etc.)</w:t>
      </w:r>
    </w:p>
    <w:p w14:paraId="2AE8754E" w14:textId="74D16A00" w:rsidR="00930A68" w:rsidRPr="008B0EB9" w:rsidRDefault="00930A68" w:rsidP="008B0EB9">
      <w:pPr>
        <w:numPr>
          <w:ilvl w:val="0"/>
          <w:numId w:val="8"/>
        </w:numPr>
        <w:tabs>
          <w:tab w:val="clear" w:pos="794"/>
          <w:tab w:val="clear" w:pos="1191"/>
          <w:tab w:val="clear" w:pos="1588"/>
          <w:tab w:val="clear" w:pos="1985"/>
        </w:tabs>
        <w:overflowPunct/>
        <w:autoSpaceDE/>
        <w:autoSpaceDN/>
        <w:adjustRightInd/>
        <w:snapToGrid w:val="0"/>
        <w:spacing w:after="120"/>
        <w:ind w:left="36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A unified page format shall be used whenever possible (Study Groups, Focus Groups, Workshops, and other groups; regula</w:t>
      </w:r>
      <w:r w:rsidR="00532810">
        <w:rPr>
          <w:rFonts w:asciiTheme="minorHAnsi" w:eastAsia="SimSun" w:hAnsiTheme="minorHAnsi" w:cs="Arial"/>
          <w:szCs w:val="24"/>
          <w:lang w:val="en-US" w:eastAsia="zh-CN"/>
        </w:rPr>
        <w:t>r meetings (GSS, Telecom, etc.)</w:t>
      </w:r>
    </w:p>
    <w:p w14:paraId="72114362" w14:textId="425FC5F9" w:rsidR="00930A68" w:rsidRDefault="00930A68" w:rsidP="008B0EB9">
      <w:pPr>
        <w:numPr>
          <w:ilvl w:val="0"/>
          <w:numId w:val="8"/>
        </w:numPr>
        <w:tabs>
          <w:tab w:val="clear" w:pos="794"/>
          <w:tab w:val="clear" w:pos="1191"/>
          <w:tab w:val="clear" w:pos="1588"/>
          <w:tab w:val="clear" w:pos="1985"/>
        </w:tabs>
        <w:overflowPunct/>
        <w:autoSpaceDE/>
        <w:autoSpaceDN/>
        <w:adjustRightInd/>
        <w:snapToGrid w:val="0"/>
        <w:spacing w:after="120"/>
        <w:ind w:left="360"/>
        <w:textAlignment w:val="auto"/>
        <w:rPr>
          <w:rFonts w:asciiTheme="minorHAnsi" w:eastAsia="SimSun" w:hAnsiTheme="minorHAnsi" w:cs="Arial"/>
          <w:szCs w:val="24"/>
          <w:lang w:val="en-US" w:eastAsia="zh-CN"/>
        </w:rPr>
      </w:pPr>
      <w:r w:rsidRPr="008B0EB9">
        <w:rPr>
          <w:rFonts w:asciiTheme="minorHAnsi" w:eastAsia="SimSun" w:hAnsiTheme="minorHAnsi" w:cs="Arial"/>
          <w:szCs w:val="24"/>
          <w:lang w:val="en-US" w:eastAsia="zh-CN"/>
        </w:rPr>
        <w:t>Reliable work forecasts must be established (indispensable to fulfill Council’s mandate)</w:t>
      </w:r>
      <w:r w:rsidR="00532810">
        <w:rPr>
          <w:rFonts w:asciiTheme="minorHAnsi" w:eastAsia="SimSun" w:hAnsiTheme="minorHAnsi" w:cs="Arial"/>
          <w:szCs w:val="24"/>
          <w:lang w:val="en-US" w:eastAsia="zh-CN"/>
        </w:rPr>
        <w:t>.</w:t>
      </w:r>
    </w:p>
    <w:p w14:paraId="6F3AA796" w14:textId="383C264B" w:rsidR="00532810" w:rsidRPr="008B0EB9" w:rsidRDefault="00532810" w:rsidP="00532810">
      <w:pPr>
        <w:tabs>
          <w:tab w:val="clear" w:pos="794"/>
          <w:tab w:val="clear" w:pos="1191"/>
          <w:tab w:val="clear" w:pos="1588"/>
          <w:tab w:val="clear" w:pos="1985"/>
        </w:tabs>
        <w:overflowPunct/>
        <w:autoSpaceDE/>
        <w:autoSpaceDN/>
        <w:adjustRightInd/>
        <w:snapToGrid w:val="0"/>
        <w:spacing w:before="840"/>
        <w:jc w:val="center"/>
        <w:textAlignment w:val="auto"/>
        <w:rPr>
          <w:rFonts w:asciiTheme="minorHAnsi" w:eastAsia="SimSun" w:hAnsiTheme="minorHAnsi" w:cs="Arial"/>
          <w:szCs w:val="24"/>
          <w:lang w:val="en-US" w:eastAsia="zh-CN"/>
        </w:rPr>
      </w:pPr>
      <w:r>
        <w:rPr>
          <w:rFonts w:asciiTheme="minorHAnsi" w:eastAsia="SimSun" w:hAnsiTheme="minorHAnsi" w:cs="Arial"/>
          <w:szCs w:val="24"/>
          <w:lang w:val="en-US" w:eastAsia="zh-CN"/>
        </w:rPr>
        <w:t>____________________</w:t>
      </w:r>
    </w:p>
    <w:sectPr w:rsidR="00532810" w:rsidRPr="008B0EB9" w:rsidSect="004137A6">
      <w:headerReference w:type="default" r:id="rId18"/>
      <w:pgSz w:w="11907" w:h="16834"/>
      <w:pgMar w:top="1418"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22E2" w14:textId="77777777" w:rsidR="00C203E4" w:rsidRDefault="00C203E4">
      <w:r>
        <w:separator/>
      </w:r>
    </w:p>
  </w:endnote>
  <w:endnote w:type="continuationSeparator" w:id="0">
    <w:p w14:paraId="51DD80CE" w14:textId="77777777" w:rsidR="00C203E4" w:rsidRDefault="00C2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5A179" w14:textId="77777777" w:rsidR="00C203E4" w:rsidRDefault="00C203E4">
      <w:r>
        <w:t>____________________</w:t>
      </w:r>
    </w:p>
  </w:footnote>
  <w:footnote w:type="continuationSeparator" w:id="0">
    <w:p w14:paraId="1D838B73" w14:textId="77777777" w:rsidR="00C203E4" w:rsidRDefault="00C203E4">
      <w:r>
        <w:continuationSeparator/>
      </w:r>
    </w:p>
  </w:footnote>
  <w:footnote w:id="1">
    <w:p w14:paraId="7EBE379B" w14:textId="77777777" w:rsidR="00930A68" w:rsidRPr="00930A68" w:rsidRDefault="00930A68" w:rsidP="00532810">
      <w:pPr>
        <w:pStyle w:val="FootnoteText"/>
        <w:ind w:left="142" w:hanging="142"/>
        <w:rPr>
          <w:rFonts w:asciiTheme="minorHAnsi" w:hAnsiTheme="minorHAnsi"/>
          <w:sz w:val="20"/>
        </w:rPr>
      </w:pPr>
      <w:r w:rsidRPr="00532810">
        <w:rPr>
          <w:rStyle w:val="FootnoteReference"/>
          <w:rFonts w:asciiTheme="minorHAnsi" w:hAnsiTheme="minorHAnsi"/>
        </w:rPr>
        <w:footnoteRef/>
      </w:r>
      <w:r w:rsidRPr="00532810">
        <w:rPr>
          <w:rFonts w:asciiTheme="minorHAnsi" w:hAnsiTheme="minorHAnsi"/>
        </w:rPr>
        <w:t xml:space="preserve"> </w:t>
      </w:r>
      <w:r w:rsidRPr="00930A68">
        <w:rPr>
          <w:rFonts w:asciiTheme="minorHAnsi" w:hAnsiTheme="minorHAnsi"/>
          <w:sz w:val="20"/>
        </w:rPr>
        <w:t xml:space="preserve">In ITU a microsite is understood as a website dedicated to a specific campaign, event or initiative which is not built on the ITU SharePoint CMS and/or incorporated into the corporate website but sits apart. An example would be the </w:t>
      </w:r>
      <w:hyperlink r:id="rId1" w:history="1">
        <w:r w:rsidRPr="00930A68">
          <w:rPr>
            <w:rStyle w:val="Hyperlink"/>
            <w:rFonts w:asciiTheme="minorHAnsi" w:hAnsiTheme="minorHAnsi"/>
            <w:sz w:val="20"/>
          </w:rPr>
          <w:t>ITU150 website</w:t>
        </w:r>
      </w:hyperlink>
      <w:r w:rsidRPr="00930A68">
        <w:rPr>
          <w:rFonts w:asciiTheme="minorHAnsi" w:hAnsiTheme="minorHAnsi"/>
          <w:sz w:val="20"/>
        </w:rPr>
        <w:t xml:space="preserve"> developed with WordPress or the </w:t>
      </w:r>
      <w:hyperlink r:id="rId2" w:history="1">
        <w:r w:rsidRPr="00930A68">
          <w:rPr>
            <w:rStyle w:val="Hyperlink"/>
            <w:rFonts w:asciiTheme="minorHAnsi" w:hAnsiTheme="minorHAnsi"/>
            <w:sz w:val="20"/>
          </w:rPr>
          <w:t>Broadband Commission</w:t>
        </w:r>
      </w:hyperlink>
      <w:r w:rsidRPr="00930A68">
        <w:rPr>
          <w:rFonts w:asciiTheme="minorHAnsi" w:hAnsiTheme="minorHAnsi"/>
          <w:sz w:val="20"/>
        </w:rPr>
        <w:t xml:space="preserve"> which </w:t>
      </w:r>
      <w:r w:rsidRPr="00930A68">
        <w:rPr>
          <w:rFonts w:asciiTheme="minorHAnsi" w:hAnsiTheme="minorHAnsi"/>
          <w:i/>
          <w:iCs/>
          <w:sz w:val="20"/>
        </w:rPr>
        <w:t>is</w:t>
      </w:r>
      <w:r w:rsidRPr="00930A68">
        <w:rPr>
          <w:rFonts w:asciiTheme="minorHAnsi" w:hAnsiTheme="minorHAnsi"/>
          <w:sz w:val="20"/>
        </w:rPr>
        <w:t xml:space="preserve"> built with SharePoint </w:t>
      </w:r>
      <w:r w:rsidRPr="00930A68">
        <w:rPr>
          <w:rFonts w:asciiTheme="minorHAnsi" w:hAnsiTheme="minorHAnsi"/>
          <w:i/>
          <w:iCs/>
          <w:sz w:val="20"/>
        </w:rPr>
        <w:t>but</w:t>
      </w:r>
      <w:r w:rsidRPr="00930A68">
        <w:rPr>
          <w:rFonts w:asciiTheme="minorHAnsi" w:hAnsiTheme="minorHAnsi"/>
          <w:sz w:val="20"/>
        </w:rPr>
        <w:t xml:space="preserve"> has a separate identity and URL although fully developed and maintained by the ITU web team.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7EB33" w14:textId="7EE18B50" w:rsidR="008B0EB9" w:rsidRPr="008B0EB9" w:rsidRDefault="008B0EB9" w:rsidP="008B0EB9">
    <w:pPr>
      <w:pStyle w:val="Header"/>
      <w:spacing w:after="240"/>
      <w:rPr>
        <w:rFonts w:asciiTheme="minorHAnsi" w:hAnsiTheme="minorHAnsi"/>
      </w:rPr>
    </w:pPr>
    <w:r w:rsidRPr="008B0EB9">
      <w:rPr>
        <w:rFonts w:asciiTheme="minorHAnsi" w:hAnsiTheme="minorHAnsi"/>
      </w:rPr>
      <w:fldChar w:fldCharType="begin"/>
    </w:r>
    <w:r w:rsidRPr="008B0EB9">
      <w:rPr>
        <w:rFonts w:asciiTheme="minorHAnsi" w:hAnsiTheme="minorHAnsi"/>
      </w:rPr>
      <w:instrText xml:space="preserve"> PAGE  \* Arabic  \* MERGEFORMAT </w:instrText>
    </w:r>
    <w:r w:rsidRPr="008B0EB9">
      <w:rPr>
        <w:rFonts w:asciiTheme="minorHAnsi" w:hAnsiTheme="minorHAnsi"/>
      </w:rPr>
      <w:fldChar w:fldCharType="separate"/>
    </w:r>
    <w:r w:rsidR="00FA4E5B">
      <w:rPr>
        <w:rFonts w:asciiTheme="minorHAnsi" w:hAnsiTheme="minorHAnsi"/>
        <w:noProof/>
      </w:rPr>
      <w:t>5</w:t>
    </w:r>
    <w:r w:rsidRPr="008B0EB9">
      <w:rPr>
        <w:rFonts w:asciiTheme="minorHAnsi" w:hAnsi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07D4"/>
    <w:multiLevelType w:val="hybridMultilevel"/>
    <w:tmpl w:val="8E8066DE"/>
    <w:lvl w:ilvl="0" w:tplc="57F0E8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66621"/>
    <w:multiLevelType w:val="hybridMultilevel"/>
    <w:tmpl w:val="DFE0329A"/>
    <w:lvl w:ilvl="0" w:tplc="9EA4A99A">
      <w:start w:val="1"/>
      <w:numFmt w:val="decimal"/>
      <w:lvlText w:val="%1."/>
      <w:lvlJc w:val="left"/>
      <w:pPr>
        <w:ind w:left="360" w:hanging="360"/>
      </w:pPr>
      <w:rPr>
        <w:rFonts w:hint="default"/>
        <w:b/>
        <w:bCs/>
        <w:i/>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122DC"/>
    <w:multiLevelType w:val="hybridMultilevel"/>
    <w:tmpl w:val="99F85190"/>
    <w:lvl w:ilvl="0" w:tplc="0409000F">
      <w:start w:val="1"/>
      <w:numFmt w:val="decimal"/>
      <w:lvlText w:val="%1."/>
      <w:lvlJc w:val="left"/>
      <w:pPr>
        <w:ind w:left="720" w:hanging="360"/>
      </w:pPr>
      <w:rPr>
        <w:rFonts w:hint="default"/>
      </w:rPr>
    </w:lvl>
    <w:lvl w:ilvl="1" w:tplc="F3D82B7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27CF8"/>
    <w:multiLevelType w:val="hybridMultilevel"/>
    <w:tmpl w:val="2F16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22666D"/>
    <w:multiLevelType w:val="hybridMultilevel"/>
    <w:tmpl w:val="CD54C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D0D15"/>
    <w:multiLevelType w:val="hybridMultilevel"/>
    <w:tmpl w:val="9184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36975"/>
    <w:multiLevelType w:val="hybridMultilevel"/>
    <w:tmpl w:val="F6F83A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D0263"/>
    <w:multiLevelType w:val="hybridMultilevel"/>
    <w:tmpl w:val="990E466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7"/>
  </w:num>
  <w:num w:numId="6">
    <w:abstractNumId w:val="6"/>
  </w:num>
  <w:num w:numId="7">
    <w:abstractNumId w:val="2"/>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6803"/>
    <w:rsid w:val="00017D5F"/>
    <w:rsid w:val="00022BBD"/>
    <w:rsid w:val="00023E69"/>
    <w:rsid w:val="00024DD2"/>
    <w:rsid w:val="00025E8E"/>
    <w:rsid w:val="0003367B"/>
    <w:rsid w:val="00033C1E"/>
    <w:rsid w:val="000363F6"/>
    <w:rsid w:val="000406CF"/>
    <w:rsid w:val="000406DA"/>
    <w:rsid w:val="000431D8"/>
    <w:rsid w:val="00044742"/>
    <w:rsid w:val="000478D5"/>
    <w:rsid w:val="0005330D"/>
    <w:rsid w:val="0005586D"/>
    <w:rsid w:val="0006006C"/>
    <w:rsid w:val="00060490"/>
    <w:rsid w:val="00060642"/>
    <w:rsid w:val="000625EC"/>
    <w:rsid w:val="000639EA"/>
    <w:rsid w:val="00064B17"/>
    <w:rsid w:val="000726CF"/>
    <w:rsid w:val="00080890"/>
    <w:rsid w:val="00082487"/>
    <w:rsid w:val="00085CF2"/>
    <w:rsid w:val="00087BB2"/>
    <w:rsid w:val="00090DB1"/>
    <w:rsid w:val="000914EE"/>
    <w:rsid w:val="00093BFA"/>
    <w:rsid w:val="00096678"/>
    <w:rsid w:val="000A1906"/>
    <w:rsid w:val="000A523E"/>
    <w:rsid w:val="000A6C3C"/>
    <w:rsid w:val="000B1705"/>
    <w:rsid w:val="000B1804"/>
    <w:rsid w:val="000C0550"/>
    <w:rsid w:val="000C199E"/>
    <w:rsid w:val="000C5062"/>
    <w:rsid w:val="000D034D"/>
    <w:rsid w:val="000D1B19"/>
    <w:rsid w:val="000E53E0"/>
    <w:rsid w:val="000F5A05"/>
    <w:rsid w:val="001108A9"/>
    <w:rsid w:val="001121F5"/>
    <w:rsid w:val="00112A2E"/>
    <w:rsid w:val="00115BC4"/>
    <w:rsid w:val="00124605"/>
    <w:rsid w:val="0012638C"/>
    <w:rsid w:val="00126AF0"/>
    <w:rsid w:val="00126E5D"/>
    <w:rsid w:val="00132D99"/>
    <w:rsid w:val="00133A76"/>
    <w:rsid w:val="00140589"/>
    <w:rsid w:val="00141B6D"/>
    <w:rsid w:val="00143A98"/>
    <w:rsid w:val="00143CC0"/>
    <w:rsid w:val="00144EB6"/>
    <w:rsid w:val="0014539F"/>
    <w:rsid w:val="00155EF2"/>
    <w:rsid w:val="0015615B"/>
    <w:rsid w:val="00157923"/>
    <w:rsid w:val="00157E22"/>
    <w:rsid w:val="00164E99"/>
    <w:rsid w:val="00164F90"/>
    <w:rsid w:val="00167DF3"/>
    <w:rsid w:val="00171B5B"/>
    <w:rsid w:val="001750DE"/>
    <w:rsid w:val="0017539C"/>
    <w:rsid w:val="0017609F"/>
    <w:rsid w:val="00180641"/>
    <w:rsid w:val="0019164E"/>
    <w:rsid w:val="00191F72"/>
    <w:rsid w:val="001947CC"/>
    <w:rsid w:val="00196510"/>
    <w:rsid w:val="00197BEB"/>
    <w:rsid w:val="001A258D"/>
    <w:rsid w:val="001A44BC"/>
    <w:rsid w:val="001A4F5D"/>
    <w:rsid w:val="001A532E"/>
    <w:rsid w:val="001A5A86"/>
    <w:rsid w:val="001B1348"/>
    <w:rsid w:val="001B404B"/>
    <w:rsid w:val="001B731C"/>
    <w:rsid w:val="001C20D1"/>
    <w:rsid w:val="001C2533"/>
    <w:rsid w:val="001C628E"/>
    <w:rsid w:val="001D0282"/>
    <w:rsid w:val="001D311E"/>
    <w:rsid w:val="001D66EF"/>
    <w:rsid w:val="001E0873"/>
    <w:rsid w:val="001E0F7B"/>
    <w:rsid w:val="001E3D67"/>
    <w:rsid w:val="001E5A96"/>
    <w:rsid w:val="001E5BEE"/>
    <w:rsid w:val="001F212B"/>
    <w:rsid w:val="001F4859"/>
    <w:rsid w:val="001F565C"/>
    <w:rsid w:val="001F59DB"/>
    <w:rsid w:val="002009E4"/>
    <w:rsid w:val="002034FE"/>
    <w:rsid w:val="0020628E"/>
    <w:rsid w:val="00207B40"/>
    <w:rsid w:val="00211C39"/>
    <w:rsid w:val="00213E72"/>
    <w:rsid w:val="002178B8"/>
    <w:rsid w:val="002231A4"/>
    <w:rsid w:val="00223D03"/>
    <w:rsid w:val="00224812"/>
    <w:rsid w:val="00224D2B"/>
    <w:rsid w:val="00224F52"/>
    <w:rsid w:val="002323A7"/>
    <w:rsid w:val="0023345C"/>
    <w:rsid w:val="00233546"/>
    <w:rsid w:val="002350DF"/>
    <w:rsid w:val="002372ED"/>
    <w:rsid w:val="00241C31"/>
    <w:rsid w:val="002461BA"/>
    <w:rsid w:val="002509C9"/>
    <w:rsid w:val="00251792"/>
    <w:rsid w:val="00252CDA"/>
    <w:rsid w:val="00265875"/>
    <w:rsid w:val="002664D2"/>
    <w:rsid w:val="00266544"/>
    <w:rsid w:val="00266A38"/>
    <w:rsid w:val="0026797B"/>
    <w:rsid w:val="0027303B"/>
    <w:rsid w:val="00275642"/>
    <w:rsid w:val="0028109B"/>
    <w:rsid w:val="002866D2"/>
    <w:rsid w:val="00287A69"/>
    <w:rsid w:val="00290553"/>
    <w:rsid w:val="00290E00"/>
    <w:rsid w:val="00292600"/>
    <w:rsid w:val="00294CEE"/>
    <w:rsid w:val="0029642F"/>
    <w:rsid w:val="00296819"/>
    <w:rsid w:val="002975E0"/>
    <w:rsid w:val="002A04DD"/>
    <w:rsid w:val="002A170F"/>
    <w:rsid w:val="002A181F"/>
    <w:rsid w:val="002A1F81"/>
    <w:rsid w:val="002A3A0A"/>
    <w:rsid w:val="002B09AE"/>
    <w:rsid w:val="002B42B9"/>
    <w:rsid w:val="002B470F"/>
    <w:rsid w:val="002B6674"/>
    <w:rsid w:val="002C18FA"/>
    <w:rsid w:val="002C1C67"/>
    <w:rsid w:val="002C1C7A"/>
    <w:rsid w:val="002D3CA6"/>
    <w:rsid w:val="002D448E"/>
    <w:rsid w:val="002D47F7"/>
    <w:rsid w:val="002D59DF"/>
    <w:rsid w:val="002D7FCC"/>
    <w:rsid w:val="002E0872"/>
    <w:rsid w:val="002E5A5D"/>
    <w:rsid w:val="002E5AC3"/>
    <w:rsid w:val="002F17BD"/>
    <w:rsid w:val="002F4015"/>
    <w:rsid w:val="00302EB0"/>
    <w:rsid w:val="00304118"/>
    <w:rsid w:val="003104AE"/>
    <w:rsid w:val="00311C3B"/>
    <w:rsid w:val="00311DA1"/>
    <w:rsid w:val="003125F4"/>
    <w:rsid w:val="0031367D"/>
    <w:rsid w:val="003137E7"/>
    <w:rsid w:val="00314813"/>
    <w:rsid w:val="00314D4F"/>
    <w:rsid w:val="003160B2"/>
    <w:rsid w:val="003216FF"/>
    <w:rsid w:val="0032203B"/>
    <w:rsid w:val="003221B7"/>
    <w:rsid w:val="003242DF"/>
    <w:rsid w:val="003259C3"/>
    <w:rsid w:val="00325F02"/>
    <w:rsid w:val="0033378B"/>
    <w:rsid w:val="0033535B"/>
    <w:rsid w:val="0034515A"/>
    <w:rsid w:val="00346A46"/>
    <w:rsid w:val="0036205D"/>
    <w:rsid w:val="00362FE9"/>
    <w:rsid w:val="003642D8"/>
    <w:rsid w:val="00370861"/>
    <w:rsid w:val="00375038"/>
    <w:rsid w:val="00375CE5"/>
    <w:rsid w:val="00384EED"/>
    <w:rsid w:val="00385B66"/>
    <w:rsid w:val="00390C61"/>
    <w:rsid w:val="00393BAC"/>
    <w:rsid w:val="003942D4"/>
    <w:rsid w:val="003958A8"/>
    <w:rsid w:val="0039606B"/>
    <w:rsid w:val="003969A8"/>
    <w:rsid w:val="003A0C32"/>
    <w:rsid w:val="003A0D4B"/>
    <w:rsid w:val="003A4E18"/>
    <w:rsid w:val="003A6515"/>
    <w:rsid w:val="003A77D9"/>
    <w:rsid w:val="003A7BA2"/>
    <w:rsid w:val="003B21FB"/>
    <w:rsid w:val="003B791A"/>
    <w:rsid w:val="003C10F2"/>
    <w:rsid w:val="003C1736"/>
    <w:rsid w:val="003C3D8D"/>
    <w:rsid w:val="003C5406"/>
    <w:rsid w:val="003C6C7B"/>
    <w:rsid w:val="003D34FB"/>
    <w:rsid w:val="003D5EE4"/>
    <w:rsid w:val="003E103B"/>
    <w:rsid w:val="003E417E"/>
    <w:rsid w:val="003E52FA"/>
    <w:rsid w:val="003E6D41"/>
    <w:rsid w:val="003F5F61"/>
    <w:rsid w:val="004002BF"/>
    <w:rsid w:val="004137A6"/>
    <w:rsid w:val="00415966"/>
    <w:rsid w:val="0041739B"/>
    <w:rsid w:val="00421A21"/>
    <w:rsid w:val="00422F6E"/>
    <w:rsid w:val="00423CF3"/>
    <w:rsid w:val="0042461B"/>
    <w:rsid w:val="0042520B"/>
    <w:rsid w:val="00431EC5"/>
    <w:rsid w:val="00433CE8"/>
    <w:rsid w:val="00436B3B"/>
    <w:rsid w:val="00440A2A"/>
    <w:rsid w:val="00447830"/>
    <w:rsid w:val="004522A4"/>
    <w:rsid w:val="004524CB"/>
    <w:rsid w:val="004544D9"/>
    <w:rsid w:val="00454720"/>
    <w:rsid w:val="00454CE8"/>
    <w:rsid w:val="00455692"/>
    <w:rsid w:val="00462702"/>
    <w:rsid w:val="0046399B"/>
    <w:rsid w:val="00466356"/>
    <w:rsid w:val="00474091"/>
    <w:rsid w:val="00476CBB"/>
    <w:rsid w:val="00476EAD"/>
    <w:rsid w:val="004776F4"/>
    <w:rsid w:val="004804F3"/>
    <w:rsid w:val="004824B2"/>
    <w:rsid w:val="004874EE"/>
    <w:rsid w:val="004912A7"/>
    <w:rsid w:val="004921C8"/>
    <w:rsid w:val="00494F0E"/>
    <w:rsid w:val="00497457"/>
    <w:rsid w:val="004A0168"/>
    <w:rsid w:val="004A2D22"/>
    <w:rsid w:val="004A7476"/>
    <w:rsid w:val="004B7CF2"/>
    <w:rsid w:val="004C1374"/>
    <w:rsid w:val="004C25DC"/>
    <w:rsid w:val="004C4CD5"/>
    <w:rsid w:val="004C581A"/>
    <w:rsid w:val="004C5F8D"/>
    <w:rsid w:val="004E038A"/>
    <w:rsid w:val="004E1229"/>
    <w:rsid w:val="004E1578"/>
    <w:rsid w:val="004E1AA9"/>
    <w:rsid w:val="004E1AEE"/>
    <w:rsid w:val="004E276F"/>
    <w:rsid w:val="004E2EA5"/>
    <w:rsid w:val="004E3A5D"/>
    <w:rsid w:val="004E7D16"/>
    <w:rsid w:val="004F1575"/>
    <w:rsid w:val="004F3682"/>
    <w:rsid w:val="0050223C"/>
    <w:rsid w:val="005030F2"/>
    <w:rsid w:val="0051396C"/>
    <w:rsid w:val="005166BA"/>
    <w:rsid w:val="00516BE8"/>
    <w:rsid w:val="00525421"/>
    <w:rsid w:val="0052758B"/>
    <w:rsid w:val="005314DE"/>
    <w:rsid w:val="00532810"/>
    <w:rsid w:val="00534E85"/>
    <w:rsid w:val="005352F1"/>
    <w:rsid w:val="00535D61"/>
    <w:rsid w:val="00542420"/>
    <w:rsid w:val="005431C5"/>
    <w:rsid w:val="00546E2C"/>
    <w:rsid w:val="00547125"/>
    <w:rsid w:val="00553A09"/>
    <w:rsid w:val="0055443D"/>
    <w:rsid w:val="005546E9"/>
    <w:rsid w:val="00555654"/>
    <w:rsid w:val="00556B4E"/>
    <w:rsid w:val="00557E06"/>
    <w:rsid w:val="0056199E"/>
    <w:rsid w:val="00563D37"/>
    <w:rsid w:val="00564FBC"/>
    <w:rsid w:val="005703B3"/>
    <w:rsid w:val="00571358"/>
    <w:rsid w:val="00571C93"/>
    <w:rsid w:val="0057486A"/>
    <w:rsid w:val="00577EE5"/>
    <w:rsid w:val="00582442"/>
    <w:rsid w:val="00594700"/>
    <w:rsid w:val="005A07F8"/>
    <w:rsid w:val="005A1CA3"/>
    <w:rsid w:val="005A473B"/>
    <w:rsid w:val="005A5501"/>
    <w:rsid w:val="005A56BD"/>
    <w:rsid w:val="005A5763"/>
    <w:rsid w:val="005A6AA8"/>
    <w:rsid w:val="005B36EF"/>
    <w:rsid w:val="005B385F"/>
    <w:rsid w:val="005B448B"/>
    <w:rsid w:val="005B6760"/>
    <w:rsid w:val="005B71D2"/>
    <w:rsid w:val="005C11F1"/>
    <w:rsid w:val="005C54BE"/>
    <w:rsid w:val="005C68C8"/>
    <w:rsid w:val="005C7EFB"/>
    <w:rsid w:val="005D2735"/>
    <w:rsid w:val="005D45E4"/>
    <w:rsid w:val="005D5545"/>
    <w:rsid w:val="005D7471"/>
    <w:rsid w:val="005D7D11"/>
    <w:rsid w:val="005E1D6F"/>
    <w:rsid w:val="005E2754"/>
    <w:rsid w:val="005F0BF9"/>
    <w:rsid w:val="005F1222"/>
    <w:rsid w:val="005F1DE7"/>
    <w:rsid w:val="006016CC"/>
    <w:rsid w:val="0060217F"/>
    <w:rsid w:val="006025D3"/>
    <w:rsid w:val="006036D2"/>
    <w:rsid w:val="00605375"/>
    <w:rsid w:val="006061F6"/>
    <w:rsid w:val="0060738E"/>
    <w:rsid w:val="00607A8F"/>
    <w:rsid w:val="00611121"/>
    <w:rsid w:val="006124AB"/>
    <w:rsid w:val="0061529A"/>
    <w:rsid w:val="006245BD"/>
    <w:rsid w:val="00624FD2"/>
    <w:rsid w:val="00625110"/>
    <w:rsid w:val="00625313"/>
    <w:rsid w:val="00631445"/>
    <w:rsid w:val="006353F4"/>
    <w:rsid w:val="00640350"/>
    <w:rsid w:val="00641642"/>
    <w:rsid w:val="00642818"/>
    <w:rsid w:val="00643010"/>
    <w:rsid w:val="00644588"/>
    <w:rsid w:val="006467EB"/>
    <w:rsid w:val="00650641"/>
    <w:rsid w:val="00651182"/>
    <w:rsid w:val="00653B59"/>
    <w:rsid w:val="00654E72"/>
    <w:rsid w:val="006560E2"/>
    <w:rsid w:val="00662984"/>
    <w:rsid w:val="006642E5"/>
    <w:rsid w:val="006664D0"/>
    <w:rsid w:val="00667AD7"/>
    <w:rsid w:val="00670161"/>
    <w:rsid w:val="006765A3"/>
    <w:rsid w:val="00676AC3"/>
    <w:rsid w:val="006808CF"/>
    <w:rsid w:val="00685352"/>
    <w:rsid w:val="00687324"/>
    <w:rsid w:val="006A0E9D"/>
    <w:rsid w:val="006A1507"/>
    <w:rsid w:val="006A5907"/>
    <w:rsid w:val="006B4A4B"/>
    <w:rsid w:val="006B6DCC"/>
    <w:rsid w:val="006C1FE5"/>
    <w:rsid w:val="006C4D1A"/>
    <w:rsid w:val="006C6ECC"/>
    <w:rsid w:val="006C7C0C"/>
    <w:rsid w:val="006D0D77"/>
    <w:rsid w:val="006D2FDD"/>
    <w:rsid w:val="006D40B2"/>
    <w:rsid w:val="006D55D4"/>
    <w:rsid w:val="006E05BC"/>
    <w:rsid w:val="006E1542"/>
    <w:rsid w:val="006E32FA"/>
    <w:rsid w:val="006E3BFF"/>
    <w:rsid w:val="006E6810"/>
    <w:rsid w:val="006F1998"/>
    <w:rsid w:val="006F73CB"/>
    <w:rsid w:val="007010ED"/>
    <w:rsid w:val="00703A3D"/>
    <w:rsid w:val="00706E25"/>
    <w:rsid w:val="0070796C"/>
    <w:rsid w:val="00720059"/>
    <w:rsid w:val="00723E17"/>
    <w:rsid w:val="00730711"/>
    <w:rsid w:val="007316F5"/>
    <w:rsid w:val="00732908"/>
    <w:rsid w:val="00733006"/>
    <w:rsid w:val="00733E52"/>
    <w:rsid w:val="00733F5A"/>
    <w:rsid w:val="0073494A"/>
    <w:rsid w:val="0073528C"/>
    <w:rsid w:val="00735ECA"/>
    <w:rsid w:val="00736B61"/>
    <w:rsid w:val="0074173F"/>
    <w:rsid w:val="007419A0"/>
    <w:rsid w:val="00743B89"/>
    <w:rsid w:val="0075057F"/>
    <w:rsid w:val="007509F8"/>
    <w:rsid w:val="0075359A"/>
    <w:rsid w:val="00754CD7"/>
    <w:rsid w:val="007579C3"/>
    <w:rsid w:val="00761159"/>
    <w:rsid w:val="00763AC3"/>
    <w:rsid w:val="00764C43"/>
    <w:rsid w:val="0076793A"/>
    <w:rsid w:val="00770A2A"/>
    <w:rsid w:val="00770E42"/>
    <w:rsid w:val="00775FCA"/>
    <w:rsid w:val="00776BD3"/>
    <w:rsid w:val="0077710D"/>
    <w:rsid w:val="0077759E"/>
    <w:rsid w:val="00782469"/>
    <w:rsid w:val="00782AF6"/>
    <w:rsid w:val="007902B3"/>
    <w:rsid w:val="00790BCE"/>
    <w:rsid w:val="00794BEC"/>
    <w:rsid w:val="00795CBD"/>
    <w:rsid w:val="0079687E"/>
    <w:rsid w:val="007969E9"/>
    <w:rsid w:val="00796FA5"/>
    <w:rsid w:val="007972A9"/>
    <w:rsid w:val="007A05E1"/>
    <w:rsid w:val="007A3DA8"/>
    <w:rsid w:val="007A3F35"/>
    <w:rsid w:val="007B0746"/>
    <w:rsid w:val="007B3091"/>
    <w:rsid w:val="007B48FF"/>
    <w:rsid w:val="007B6A8D"/>
    <w:rsid w:val="007C33FA"/>
    <w:rsid w:val="007C5F67"/>
    <w:rsid w:val="007C7D3F"/>
    <w:rsid w:val="007D1B5F"/>
    <w:rsid w:val="007D5356"/>
    <w:rsid w:val="007E1756"/>
    <w:rsid w:val="007E73DD"/>
    <w:rsid w:val="007F0840"/>
    <w:rsid w:val="007F2124"/>
    <w:rsid w:val="007F3F26"/>
    <w:rsid w:val="00805138"/>
    <w:rsid w:val="00811C37"/>
    <w:rsid w:val="00817A3A"/>
    <w:rsid w:val="00824F12"/>
    <w:rsid w:val="00827136"/>
    <w:rsid w:val="00831957"/>
    <w:rsid w:val="00833550"/>
    <w:rsid w:val="00835301"/>
    <w:rsid w:val="0083581B"/>
    <w:rsid w:val="00840993"/>
    <w:rsid w:val="0084140B"/>
    <w:rsid w:val="00841698"/>
    <w:rsid w:val="0084318B"/>
    <w:rsid w:val="00843FFC"/>
    <w:rsid w:val="00844A08"/>
    <w:rsid w:val="0086214B"/>
    <w:rsid w:val="008629E7"/>
    <w:rsid w:val="00862A59"/>
    <w:rsid w:val="00870B34"/>
    <w:rsid w:val="00871F1B"/>
    <w:rsid w:val="008802BD"/>
    <w:rsid w:val="00880C96"/>
    <w:rsid w:val="00880F43"/>
    <w:rsid w:val="00882198"/>
    <w:rsid w:val="00893913"/>
    <w:rsid w:val="00894A8D"/>
    <w:rsid w:val="0089781C"/>
    <w:rsid w:val="008A22C5"/>
    <w:rsid w:val="008A453D"/>
    <w:rsid w:val="008A5FDD"/>
    <w:rsid w:val="008B0EB9"/>
    <w:rsid w:val="008B1F57"/>
    <w:rsid w:val="008B1F62"/>
    <w:rsid w:val="008B2466"/>
    <w:rsid w:val="008B2F6E"/>
    <w:rsid w:val="008B4F08"/>
    <w:rsid w:val="008C30F7"/>
    <w:rsid w:val="008C561E"/>
    <w:rsid w:val="008C5A49"/>
    <w:rsid w:val="008D0AB2"/>
    <w:rsid w:val="008D2D0A"/>
    <w:rsid w:val="008D494D"/>
    <w:rsid w:val="008E2C5F"/>
    <w:rsid w:val="008E5A16"/>
    <w:rsid w:val="008E6086"/>
    <w:rsid w:val="008E66A4"/>
    <w:rsid w:val="008F3EA7"/>
    <w:rsid w:val="00902374"/>
    <w:rsid w:val="009030F6"/>
    <w:rsid w:val="0090483B"/>
    <w:rsid w:val="00905846"/>
    <w:rsid w:val="00905D9B"/>
    <w:rsid w:val="0090693C"/>
    <w:rsid w:val="009108A1"/>
    <w:rsid w:val="00911F7D"/>
    <w:rsid w:val="00912C48"/>
    <w:rsid w:val="00912E33"/>
    <w:rsid w:val="009166A2"/>
    <w:rsid w:val="00916E39"/>
    <w:rsid w:val="009173EF"/>
    <w:rsid w:val="00917ABA"/>
    <w:rsid w:val="00925131"/>
    <w:rsid w:val="009266F9"/>
    <w:rsid w:val="00930A68"/>
    <w:rsid w:val="00932906"/>
    <w:rsid w:val="00937661"/>
    <w:rsid w:val="0094130F"/>
    <w:rsid w:val="009419D1"/>
    <w:rsid w:val="00942F4D"/>
    <w:rsid w:val="00945D18"/>
    <w:rsid w:val="009520EE"/>
    <w:rsid w:val="009539B3"/>
    <w:rsid w:val="00961B0B"/>
    <w:rsid w:val="00962938"/>
    <w:rsid w:val="00963226"/>
    <w:rsid w:val="009632AA"/>
    <w:rsid w:val="009659F0"/>
    <w:rsid w:val="00966A1B"/>
    <w:rsid w:val="00975D5B"/>
    <w:rsid w:val="00981F5D"/>
    <w:rsid w:val="009821AE"/>
    <w:rsid w:val="00984458"/>
    <w:rsid w:val="00987F7A"/>
    <w:rsid w:val="00992CA8"/>
    <w:rsid w:val="00997952"/>
    <w:rsid w:val="009A069F"/>
    <w:rsid w:val="009A6F1D"/>
    <w:rsid w:val="009B048E"/>
    <w:rsid w:val="009B637E"/>
    <w:rsid w:val="009D3B98"/>
    <w:rsid w:val="009D6EA5"/>
    <w:rsid w:val="009D7C98"/>
    <w:rsid w:val="009E0CD7"/>
    <w:rsid w:val="009E17BD"/>
    <w:rsid w:val="009E3EED"/>
    <w:rsid w:val="009E6868"/>
    <w:rsid w:val="009E7651"/>
    <w:rsid w:val="009E7DE0"/>
    <w:rsid w:val="009F15C5"/>
    <w:rsid w:val="009F1D4D"/>
    <w:rsid w:val="009F4DF7"/>
    <w:rsid w:val="009F5BC3"/>
    <w:rsid w:val="00A02D2D"/>
    <w:rsid w:val="00A04CEC"/>
    <w:rsid w:val="00A066D8"/>
    <w:rsid w:val="00A12C68"/>
    <w:rsid w:val="00A20884"/>
    <w:rsid w:val="00A22278"/>
    <w:rsid w:val="00A22591"/>
    <w:rsid w:val="00A24BAF"/>
    <w:rsid w:val="00A27F92"/>
    <w:rsid w:val="00A305AA"/>
    <w:rsid w:val="00A32654"/>
    <w:rsid w:val="00A33971"/>
    <w:rsid w:val="00A35E16"/>
    <w:rsid w:val="00A44101"/>
    <w:rsid w:val="00A5383B"/>
    <w:rsid w:val="00A54DD4"/>
    <w:rsid w:val="00A55622"/>
    <w:rsid w:val="00A556C2"/>
    <w:rsid w:val="00A602CD"/>
    <w:rsid w:val="00A63031"/>
    <w:rsid w:val="00A63C6C"/>
    <w:rsid w:val="00A71E8E"/>
    <w:rsid w:val="00A77EA6"/>
    <w:rsid w:val="00A806F2"/>
    <w:rsid w:val="00A8261D"/>
    <w:rsid w:val="00A82D0D"/>
    <w:rsid w:val="00A87B50"/>
    <w:rsid w:val="00A91DE4"/>
    <w:rsid w:val="00A94AD4"/>
    <w:rsid w:val="00AA3A1C"/>
    <w:rsid w:val="00AA5496"/>
    <w:rsid w:val="00AB0340"/>
    <w:rsid w:val="00AB42F6"/>
    <w:rsid w:val="00AC1E55"/>
    <w:rsid w:val="00AC2591"/>
    <w:rsid w:val="00AC6F74"/>
    <w:rsid w:val="00AD0AE5"/>
    <w:rsid w:val="00AD278E"/>
    <w:rsid w:val="00AD3E23"/>
    <w:rsid w:val="00AD5D3C"/>
    <w:rsid w:val="00AD7201"/>
    <w:rsid w:val="00AD7909"/>
    <w:rsid w:val="00AE115E"/>
    <w:rsid w:val="00AE26D6"/>
    <w:rsid w:val="00AE35CD"/>
    <w:rsid w:val="00AF2509"/>
    <w:rsid w:val="00AF2963"/>
    <w:rsid w:val="00B024D2"/>
    <w:rsid w:val="00B13315"/>
    <w:rsid w:val="00B2270F"/>
    <w:rsid w:val="00B23E7E"/>
    <w:rsid w:val="00B24669"/>
    <w:rsid w:val="00B25B41"/>
    <w:rsid w:val="00B27123"/>
    <w:rsid w:val="00B27228"/>
    <w:rsid w:val="00B30DB1"/>
    <w:rsid w:val="00B31C27"/>
    <w:rsid w:val="00B371AF"/>
    <w:rsid w:val="00B40A81"/>
    <w:rsid w:val="00B4207A"/>
    <w:rsid w:val="00B44910"/>
    <w:rsid w:val="00B54B8F"/>
    <w:rsid w:val="00B576FA"/>
    <w:rsid w:val="00B7000E"/>
    <w:rsid w:val="00B72267"/>
    <w:rsid w:val="00B750EB"/>
    <w:rsid w:val="00B76EB6"/>
    <w:rsid w:val="00B77B71"/>
    <w:rsid w:val="00B824C8"/>
    <w:rsid w:val="00B82A28"/>
    <w:rsid w:val="00B8318C"/>
    <w:rsid w:val="00B84652"/>
    <w:rsid w:val="00B8578D"/>
    <w:rsid w:val="00B86295"/>
    <w:rsid w:val="00B8714F"/>
    <w:rsid w:val="00B902F2"/>
    <w:rsid w:val="00B94549"/>
    <w:rsid w:val="00BA1CA1"/>
    <w:rsid w:val="00BA1CAA"/>
    <w:rsid w:val="00BA3A82"/>
    <w:rsid w:val="00BA7087"/>
    <w:rsid w:val="00BB0863"/>
    <w:rsid w:val="00BB0E88"/>
    <w:rsid w:val="00BC2C12"/>
    <w:rsid w:val="00BC5A8A"/>
    <w:rsid w:val="00BD032B"/>
    <w:rsid w:val="00BE012E"/>
    <w:rsid w:val="00BE02D1"/>
    <w:rsid w:val="00BE1922"/>
    <w:rsid w:val="00BE2640"/>
    <w:rsid w:val="00BE355F"/>
    <w:rsid w:val="00BF1C91"/>
    <w:rsid w:val="00BF1FFF"/>
    <w:rsid w:val="00BF2BF9"/>
    <w:rsid w:val="00BF370B"/>
    <w:rsid w:val="00C01189"/>
    <w:rsid w:val="00C03AD5"/>
    <w:rsid w:val="00C104DD"/>
    <w:rsid w:val="00C108D2"/>
    <w:rsid w:val="00C14446"/>
    <w:rsid w:val="00C17270"/>
    <w:rsid w:val="00C17609"/>
    <w:rsid w:val="00C17AF8"/>
    <w:rsid w:val="00C203E4"/>
    <w:rsid w:val="00C301A8"/>
    <w:rsid w:val="00C33313"/>
    <w:rsid w:val="00C367FD"/>
    <w:rsid w:val="00C36D0F"/>
    <w:rsid w:val="00C374DE"/>
    <w:rsid w:val="00C4152B"/>
    <w:rsid w:val="00C44DA7"/>
    <w:rsid w:val="00C472F3"/>
    <w:rsid w:val="00C50344"/>
    <w:rsid w:val="00C512A0"/>
    <w:rsid w:val="00C51F07"/>
    <w:rsid w:val="00C53A28"/>
    <w:rsid w:val="00C577E9"/>
    <w:rsid w:val="00C65214"/>
    <w:rsid w:val="00C667DB"/>
    <w:rsid w:val="00C66E21"/>
    <w:rsid w:val="00C707CB"/>
    <w:rsid w:val="00C7397E"/>
    <w:rsid w:val="00C73A8D"/>
    <w:rsid w:val="00C90506"/>
    <w:rsid w:val="00C94145"/>
    <w:rsid w:val="00C9560A"/>
    <w:rsid w:val="00CA0003"/>
    <w:rsid w:val="00CA1BFF"/>
    <w:rsid w:val="00CA2A00"/>
    <w:rsid w:val="00CA4EB5"/>
    <w:rsid w:val="00CA6393"/>
    <w:rsid w:val="00CB1BB5"/>
    <w:rsid w:val="00CB45D7"/>
    <w:rsid w:val="00CB5846"/>
    <w:rsid w:val="00CB688A"/>
    <w:rsid w:val="00CC02B8"/>
    <w:rsid w:val="00CC1EB2"/>
    <w:rsid w:val="00CC2057"/>
    <w:rsid w:val="00CD0C08"/>
    <w:rsid w:val="00CD5BBD"/>
    <w:rsid w:val="00CD66E3"/>
    <w:rsid w:val="00CE0C9F"/>
    <w:rsid w:val="00CE222A"/>
    <w:rsid w:val="00CE554A"/>
    <w:rsid w:val="00CE566C"/>
    <w:rsid w:val="00CF203C"/>
    <w:rsid w:val="00CF33F3"/>
    <w:rsid w:val="00CF3EC3"/>
    <w:rsid w:val="00CF6AD5"/>
    <w:rsid w:val="00CF7B85"/>
    <w:rsid w:val="00D01238"/>
    <w:rsid w:val="00D01634"/>
    <w:rsid w:val="00D04FD6"/>
    <w:rsid w:val="00D06183"/>
    <w:rsid w:val="00D10EA5"/>
    <w:rsid w:val="00D12D29"/>
    <w:rsid w:val="00D1374F"/>
    <w:rsid w:val="00D15841"/>
    <w:rsid w:val="00D16269"/>
    <w:rsid w:val="00D175B3"/>
    <w:rsid w:val="00D208E0"/>
    <w:rsid w:val="00D2236C"/>
    <w:rsid w:val="00D22C42"/>
    <w:rsid w:val="00D2455D"/>
    <w:rsid w:val="00D2484B"/>
    <w:rsid w:val="00D27B70"/>
    <w:rsid w:val="00D309CF"/>
    <w:rsid w:val="00D30A39"/>
    <w:rsid w:val="00D3308E"/>
    <w:rsid w:val="00D336EE"/>
    <w:rsid w:val="00D411AC"/>
    <w:rsid w:val="00D43B52"/>
    <w:rsid w:val="00D4769E"/>
    <w:rsid w:val="00D534B0"/>
    <w:rsid w:val="00D5786C"/>
    <w:rsid w:val="00D57E69"/>
    <w:rsid w:val="00D617BD"/>
    <w:rsid w:val="00D7144D"/>
    <w:rsid w:val="00D7225A"/>
    <w:rsid w:val="00D7501A"/>
    <w:rsid w:val="00D76A33"/>
    <w:rsid w:val="00D84E0B"/>
    <w:rsid w:val="00D86145"/>
    <w:rsid w:val="00D9217C"/>
    <w:rsid w:val="00DA1A79"/>
    <w:rsid w:val="00DA313D"/>
    <w:rsid w:val="00DA3E70"/>
    <w:rsid w:val="00DA4F9A"/>
    <w:rsid w:val="00DA5B1F"/>
    <w:rsid w:val="00DB088B"/>
    <w:rsid w:val="00DB6388"/>
    <w:rsid w:val="00DC0E33"/>
    <w:rsid w:val="00DC429C"/>
    <w:rsid w:val="00DC4A08"/>
    <w:rsid w:val="00DC7F3A"/>
    <w:rsid w:val="00DD06C6"/>
    <w:rsid w:val="00DE06EB"/>
    <w:rsid w:val="00DE52DC"/>
    <w:rsid w:val="00E07153"/>
    <w:rsid w:val="00E07718"/>
    <w:rsid w:val="00E10E80"/>
    <w:rsid w:val="00E124F0"/>
    <w:rsid w:val="00E137BC"/>
    <w:rsid w:val="00E17990"/>
    <w:rsid w:val="00E17CE7"/>
    <w:rsid w:val="00E237EC"/>
    <w:rsid w:val="00E2526B"/>
    <w:rsid w:val="00E342CF"/>
    <w:rsid w:val="00E3640B"/>
    <w:rsid w:val="00E40B6E"/>
    <w:rsid w:val="00E4141B"/>
    <w:rsid w:val="00E4442D"/>
    <w:rsid w:val="00E475F6"/>
    <w:rsid w:val="00E544AC"/>
    <w:rsid w:val="00E55559"/>
    <w:rsid w:val="00E60E60"/>
    <w:rsid w:val="00E65650"/>
    <w:rsid w:val="00E66D61"/>
    <w:rsid w:val="00E77551"/>
    <w:rsid w:val="00E828D5"/>
    <w:rsid w:val="00E8417D"/>
    <w:rsid w:val="00E849B4"/>
    <w:rsid w:val="00EB2232"/>
    <w:rsid w:val="00EB2ED4"/>
    <w:rsid w:val="00EB43C8"/>
    <w:rsid w:val="00EB4849"/>
    <w:rsid w:val="00EB5878"/>
    <w:rsid w:val="00EB66CD"/>
    <w:rsid w:val="00EB76AC"/>
    <w:rsid w:val="00EC3551"/>
    <w:rsid w:val="00EC5292"/>
    <w:rsid w:val="00ED029B"/>
    <w:rsid w:val="00ED063D"/>
    <w:rsid w:val="00ED1BE1"/>
    <w:rsid w:val="00ED308F"/>
    <w:rsid w:val="00ED4F5F"/>
    <w:rsid w:val="00ED50E7"/>
    <w:rsid w:val="00ED6491"/>
    <w:rsid w:val="00ED66A1"/>
    <w:rsid w:val="00ED6E70"/>
    <w:rsid w:val="00EE0185"/>
    <w:rsid w:val="00EE620A"/>
    <w:rsid w:val="00EF00BD"/>
    <w:rsid w:val="00EF7D55"/>
    <w:rsid w:val="00F00274"/>
    <w:rsid w:val="00F01FC4"/>
    <w:rsid w:val="00F02689"/>
    <w:rsid w:val="00F02CE5"/>
    <w:rsid w:val="00F03FB0"/>
    <w:rsid w:val="00F046BB"/>
    <w:rsid w:val="00F05772"/>
    <w:rsid w:val="00F07765"/>
    <w:rsid w:val="00F124B1"/>
    <w:rsid w:val="00F1489D"/>
    <w:rsid w:val="00F15957"/>
    <w:rsid w:val="00F17005"/>
    <w:rsid w:val="00F1776B"/>
    <w:rsid w:val="00F2150A"/>
    <w:rsid w:val="00F23CA9"/>
    <w:rsid w:val="00F33243"/>
    <w:rsid w:val="00F335A4"/>
    <w:rsid w:val="00F3600D"/>
    <w:rsid w:val="00F43265"/>
    <w:rsid w:val="00F44B19"/>
    <w:rsid w:val="00F5168B"/>
    <w:rsid w:val="00F523CD"/>
    <w:rsid w:val="00F5243E"/>
    <w:rsid w:val="00F524E4"/>
    <w:rsid w:val="00F538B2"/>
    <w:rsid w:val="00F6550B"/>
    <w:rsid w:val="00F6647A"/>
    <w:rsid w:val="00F70C1F"/>
    <w:rsid w:val="00F71EF8"/>
    <w:rsid w:val="00F73F0D"/>
    <w:rsid w:val="00F77CB0"/>
    <w:rsid w:val="00F83017"/>
    <w:rsid w:val="00F83B99"/>
    <w:rsid w:val="00F84005"/>
    <w:rsid w:val="00F910A2"/>
    <w:rsid w:val="00F915D8"/>
    <w:rsid w:val="00F96900"/>
    <w:rsid w:val="00FA3032"/>
    <w:rsid w:val="00FA4E5B"/>
    <w:rsid w:val="00FB2684"/>
    <w:rsid w:val="00FB3CFA"/>
    <w:rsid w:val="00FB4929"/>
    <w:rsid w:val="00FB4F5B"/>
    <w:rsid w:val="00FC307D"/>
    <w:rsid w:val="00FC4153"/>
    <w:rsid w:val="00FC4B12"/>
    <w:rsid w:val="00FD0557"/>
    <w:rsid w:val="00FD0BB9"/>
    <w:rsid w:val="00FD0E17"/>
    <w:rsid w:val="00FD3677"/>
    <w:rsid w:val="00FE12EA"/>
    <w:rsid w:val="00FE176F"/>
    <w:rsid w:val="00FE2E6C"/>
    <w:rsid w:val="00FE38D0"/>
    <w:rsid w:val="00FE6AD0"/>
    <w:rsid w:val="00FE7501"/>
    <w:rsid w:val="00FE77D2"/>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32B5AA"/>
  <w15:docId w15:val="{7620F335-3DAC-41FF-BBCE-8EFDE1C7A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customStyle="1" w:styleId="HeaderChar">
    <w:name w:val="Header Char"/>
    <w:basedOn w:val="DefaultParagraphFont"/>
    <w:link w:val="Header"/>
    <w:rsid w:val="00421A21"/>
    <w:rPr>
      <w:rFonts w:ascii="Times New Roman" w:hAnsi="Times New Roman"/>
      <w:sz w:val="18"/>
      <w:lang w:val="fr-FR" w:eastAsia="en-US"/>
    </w:rPr>
  </w:style>
  <w:style w:type="character" w:customStyle="1" w:styleId="FooterChar">
    <w:name w:val="Footer Char"/>
    <w:basedOn w:val="DefaultParagraphFont"/>
    <w:link w:val="Footer"/>
    <w:uiPriority w:val="99"/>
    <w:rsid w:val="00A22278"/>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83617">
      <w:bodyDiv w:val="1"/>
      <w:marLeft w:val="0"/>
      <w:marRight w:val="0"/>
      <w:marTop w:val="0"/>
      <w:marBottom w:val="0"/>
      <w:divBdr>
        <w:top w:val="none" w:sz="0" w:space="0" w:color="auto"/>
        <w:left w:val="none" w:sz="0" w:space="0" w:color="auto"/>
        <w:bottom w:val="none" w:sz="0" w:space="0" w:color="auto"/>
        <w:right w:val="none" w:sz="0" w:space="0" w:color="auto"/>
      </w:divBdr>
    </w:div>
    <w:div w:id="861825679">
      <w:bodyDiv w:val="1"/>
      <w:marLeft w:val="0"/>
      <w:marRight w:val="0"/>
      <w:marTop w:val="0"/>
      <w:marBottom w:val="0"/>
      <w:divBdr>
        <w:top w:val="none" w:sz="0" w:space="0" w:color="auto"/>
        <w:left w:val="none" w:sz="0" w:space="0" w:color="auto"/>
        <w:bottom w:val="none" w:sz="0" w:space="0" w:color="auto"/>
        <w:right w:val="none" w:sz="0" w:space="0" w:color="auto"/>
      </w:divBdr>
    </w:div>
    <w:div w:id="922835743">
      <w:bodyDiv w:val="1"/>
      <w:marLeft w:val="0"/>
      <w:marRight w:val="0"/>
      <w:marTop w:val="0"/>
      <w:marBottom w:val="0"/>
      <w:divBdr>
        <w:top w:val="none" w:sz="0" w:space="0" w:color="auto"/>
        <w:left w:val="none" w:sz="0" w:space="0" w:color="auto"/>
        <w:bottom w:val="none" w:sz="0" w:space="0" w:color="auto"/>
        <w:right w:val="none" w:sz="0" w:space="0" w:color="auto"/>
      </w:divBdr>
    </w:div>
    <w:div w:id="1041440097">
      <w:bodyDiv w:val="1"/>
      <w:marLeft w:val="0"/>
      <w:marRight w:val="0"/>
      <w:marTop w:val="0"/>
      <w:marBottom w:val="0"/>
      <w:divBdr>
        <w:top w:val="none" w:sz="0" w:space="0" w:color="auto"/>
        <w:left w:val="none" w:sz="0" w:space="0" w:color="auto"/>
        <w:bottom w:val="none" w:sz="0" w:space="0" w:color="auto"/>
        <w:right w:val="none" w:sz="0" w:space="0" w:color="auto"/>
      </w:divBdr>
    </w:div>
    <w:div w:id="1188642182">
      <w:bodyDiv w:val="1"/>
      <w:marLeft w:val="0"/>
      <w:marRight w:val="0"/>
      <w:marTop w:val="0"/>
      <w:marBottom w:val="0"/>
      <w:divBdr>
        <w:top w:val="none" w:sz="0" w:space="0" w:color="auto"/>
        <w:left w:val="none" w:sz="0" w:space="0" w:color="auto"/>
        <w:bottom w:val="none" w:sz="0" w:space="0" w:color="auto"/>
        <w:right w:val="none" w:sz="0" w:space="0" w:color="auto"/>
      </w:divBdr>
    </w:div>
    <w:div w:id="1349211692">
      <w:bodyDiv w:val="1"/>
      <w:marLeft w:val="0"/>
      <w:marRight w:val="0"/>
      <w:marTop w:val="0"/>
      <w:marBottom w:val="0"/>
      <w:divBdr>
        <w:top w:val="none" w:sz="0" w:space="0" w:color="auto"/>
        <w:left w:val="none" w:sz="0" w:space="0" w:color="auto"/>
        <w:bottom w:val="none" w:sz="0" w:space="0" w:color="auto"/>
        <w:right w:val="none" w:sz="0" w:space="0" w:color="auto"/>
      </w:divBdr>
    </w:div>
    <w:div w:id="1640569260">
      <w:bodyDiv w:val="1"/>
      <w:marLeft w:val="0"/>
      <w:marRight w:val="0"/>
      <w:marTop w:val="0"/>
      <w:marBottom w:val="0"/>
      <w:divBdr>
        <w:top w:val="none" w:sz="0" w:space="0" w:color="auto"/>
        <w:left w:val="none" w:sz="0" w:space="0" w:color="auto"/>
        <w:bottom w:val="none" w:sz="0" w:space="0" w:color="auto"/>
        <w:right w:val="none" w:sz="0" w:space="0" w:color="auto"/>
      </w:divBdr>
    </w:div>
    <w:div w:id="2026323680">
      <w:bodyDiv w:val="1"/>
      <w:marLeft w:val="0"/>
      <w:marRight w:val="0"/>
      <w:marTop w:val="0"/>
      <w:marBottom w:val="0"/>
      <w:divBdr>
        <w:top w:val="none" w:sz="0" w:space="0" w:color="auto"/>
        <w:left w:val="none" w:sz="0" w:space="0" w:color="auto"/>
        <w:bottom w:val="none" w:sz="0" w:space="0" w:color="auto"/>
        <w:right w:val="none" w:sz="0" w:space="0" w:color="auto"/>
      </w:divBdr>
    </w:div>
    <w:div w:id="2030178606">
      <w:bodyDiv w:val="1"/>
      <w:marLeft w:val="0"/>
      <w:marRight w:val="0"/>
      <w:marTop w:val="0"/>
      <w:marBottom w:val="0"/>
      <w:divBdr>
        <w:top w:val="none" w:sz="0" w:space="0" w:color="auto"/>
        <w:left w:val="none" w:sz="0" w:space="0" w:color="auto"/>
        <w:bottom w:val="none" w:sz="0" w:space="0" w:color="auto"/>
        <w:right w:val="none" w:sz="0" w:space="0" w:color="auto"/>
      </w:divBdr>
    </w:div>
    <w:div w:id="210398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www.itu.int/terminology" TargetMode="External"/><Relationship Id="rId2" Type="http://schemas.openxmlformats.org/officeDocument/2006/relationships/customXml" Target="../customXml/item2.xml"/><Relationship Id="rId16" Type="http://schemas.openxmlformats.org/officeDocument/2006/relationships/hyperlink" Target="https://intranet.itu.int/gs/spmd/web-guidelines/Pages/role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un.org/en/sections/web-governance/minimum-standards-multilingualism-united-nations-websites/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S16-CL-C-0126/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roadbandcommission.org/Pages/default.aspx" TargetMode="External"/><Relationship Id="rId1" Type="http://schemas.openxmlformats.org/officeDocument/2006/relationships/hyperlink" Target="http://itu150.org/h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Evolution translation budget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Sheet2!$A$2</c:f>
              <c:strCache>
                <c:ptCount val="1"/>
                <c:pt idx="0">
                  <c:v>Budget</c:v>
                </c:pt>
              </c:strCache>
            </c:strRef>
          </c:tx>
          <c:spPr>
            <a:solidFill>
              <a:schemeClr val="accent1"/>
            </a:solidFill>
            <a:ln>
              <a:noFill/>
            </a:ln>
            <a:effectLst/>
          </c:spPr>
          <c:invertIfNegative val="0"/>
          <c:cat>
            <c:numRef>
              <c:f>Sheet2!$B$1:$H$1</c:f>
              <c:numCache>
                <c:formatCode>General</c:formatCode>
                <c:ptCount val="7"/>
                <c:pt idx="0">
                  <c:v>2010</c:v>
                </c:pt>
                <c:pt idx="1">
                  <c:v>2011</c:v>
                </c:pt>
                <c:pt idx="2">
                  <c:v>2012</c:v>
                </c:pt>
                <c:pt idx="3">
                  <c:v>2013</c:v>
                </c:pt>
                <c:pt idx="4">
                  <c:v>2014</c:v>
                </c:pt>
                <c:pt idx="5">
                  <c:v>2015</c:v>
                </c:pt>
                <c:pt idx="6">
                  <c:v>2016</c:v>
                </c:pt>
              </c:numCache>
            </c:numRef>
          </c:cat>
          <c:val>
            <c:numRef>
              <c:f>Sheet2!$B$2:$H$2</c:f>
              <c:numCache>
                <c:formatCode>General</c:formatCode>
                <c:ptCount val="7"/>
                <c:pt idx="0">
                  <c:v>16314211</c:v>
                </c:pt>
                <c:pt idx="1">
                  <c:v>15289009</c:v>
                </c:pt>
                <c:pt idx="2">
                  <c:v>14931981</c:v>
                </c:pt>
                <c:pt idx="3">
                  <c:v>13734291</c:v>
                </c:pt>
                <c:pt idx="4">
                  <c:v>15701940</c:v>
                </c:pt>
                <c:pt idx="5">
                  <c:v>15660623</c:v>
                </c:pt>
                <c:pt idx="6">
                  <c:v>13895496</c:v>
                </c:pt>
              </c:numCache>
            </c:numRef>
          </c:val>
        </c:ser>
        <c:ser>
          <c:idx val="1"/>
          <c:order val="1"/>
          <c:tx>
            <c:strRef>
              <c:f>Sheet2!$A$3</c:f>
              <c:strCache>
                <c:ptCount val="1"/>
                <c:pt idx="0">
                  <c:v>Actuals</c:v>
                </c:pt>
              </c:strCache>
            </c:strRef>
          </c:tx>
          <c:spPr>
            <a:solidFill>
              <a:schemeClr val="accent2"/>
            </a:solidFill>
            <a:ln>
              <a:noFill/>
            </a:ln>
            <a:effectLst/>
          </c:spPr>
          <c:invertIfNegative val="0"/>
          <c:cat>
            <c:numRef>
              <c:f>Sheet2!$B$1:$H$1</c:f>
              <c:numCache>
                <c:formatCode>General</c:formatCode>
                <c:ptCount val="7"/>
                <c:pt idx="0">
                  <c:v>2010</c:v>
                </c:pt>
                <c:pt idx="1">
                  <c:v>2011</c:v>
                </c:pt>
                <c:pt idx="2">
                  <c:v>2012</c:v>
                </c:pt>
                <c:pt idx="3">
                  <c:v>2013</c:v>
                </c:pt>
                <c:pt idx="4">
                  <c:v>2014</c:v>
                </c:pt>
                <c:pt idx="5">
                  <c:v>2015</c:v>
                </c:pt>
                <c:pt idx="6">
                  <c:v>2016</c:v>
                </c:pt>
              </c:numCache>
            </c:numRef>
          </c:cat>
          <c:val>
            <c:numRef>
              <c:f>Sheet2!$B$3:$H$3</c:f>
              <c:numCache>
                <c:formatCode>General</c:formatCode>
                <c:ptCount val="7"/>
                <c:pt idx="0">
                  <c:v>15318407</c:v>
                </c:pt>
                <c:pt idx="1">
                  <c:v>15211182</c:v>
                </c:pt>
                <c:pt idx="2">
                  <c:v>14942076</c:v>
                </c:pt>
                <c:pt idx="3">
                  <c:v>12473007</c:v>
                </c:pt>
                <c:pt idx="4">
                  <c:v>13954256</c:v>
                </c:pt>
                <c:pt idx="5">
                  <c:v>13949801</c:v>
                </c:pt>
                <c:pt idx="6">
                  <c:v>11979698</c:v>
                </c:pt>
              </c:numCache>
            </c:numRef>
          </c:val>
        </c:ser>
        <c:dLbls>
          <c:showLegendKey val="0"/>
          <c:showVal val="0"/>
          <c:showCatName val="0"/>
          <c:showSerName val="0"/>
          <c:showPercent val="0"/>
          <c:showBubbleSize val="0"/>
        </c:dLbls>
        <c:gapWidth val="219"/>
        <c:overlap val="-27"/>
        <c:axId val="226391248"/>
        <c:axId val="226390856"/>
      </c:barChart>
      <c:catAx>
        <c:axId val="22639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390856"/>
        <c:crosses val="autoZero"/>
        <c:auto val="1"/>
        <c:lblAlgn val="ctr"/>
        <c:lblOffset val="100"/>
        <c:noMultiLvlLbl val="0"/>
      </c:catAx>
      <c:valAx>
        <c:axId val="226390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3912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Savings in  translation cost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229375535978799"/>
          <c:y val="0.18488489720035001"/>
          <c:w val="0.81165808600848"/>
          <c:h val="0.79127602744486703"/>
        </c:manualLayout>
      </c:layout>
      <c:lineChart>
        <c:grouping val="standard"/>
        <c:varyColors val="0"/>
        <c:ser>
          <c:idx val="0"/>
          <c:order val="0"/>
          <c:tx>
            <c:strRef>
              <c:f>Sheet2!$A$5</c:f>
              <c:strCache>
                <c:ptCount val="1"/>
                <c:pt idx="0">
                  <c:v>Savings (%)</c:v>
                </c:pt>
              </c:strCache>
            </c:strRef>
          </c:tx>
          <c:spPr>
            <a:ln w="28575" cap="rnd">
              <a:solidFill>
                <a:schemeClr val="accent1"/>
              </a:solidFill>
              <a:round/>
            </a:ln>
            <a:effectLst/>
          </c:spPr>
          <c:marker>
            <c:symbol val="none"/>
          </c:marker>
          <c:cat>
            <c:numRef>
              <c:f>Sheet2!$B$1:$H$1</c:f>
              <c:numCache>
                <c:formatCode>General</c:formatCode>
                <c:ptCount val="7"/>
                <c:pt idx="0">
                  <c:v>2010</c:v>
                </c:pt>
                <c:pt idx="1">
                  <c:v>2011</c:v>
                </c:pt>
                <c:pt idx="2">
                  <c:v>2012</c:v>
                </c:pt>
                <c:pt idx="3">
                  <c:v>2013</c:v>
                </c:pt>
                <c:pt idx="4">
                  <c:v>2014</c:v>
                </c:pt>
                <c:pt idx="5">
                  <c:v>2015</c:v>
                </c:pt>
                <c:pt idx="6">
                  <c:v>2016</c:v>
                </c:pt>
              </c:numCache>
            </c:numRef>
          </c:cat>
          <c:val>
            <c:numRef>
              <c:f>Sheet2!$B$5:$H$5</c:f>
              <c:numCache>
                <c:formatCode>0%</c:formatCode>
                <c:ptCount val="7"/>
                <c:pt idx="0">
                  <c:v>6.1039053620184303E-2</c:v>
                </c:pt>
                <c:pt idx="1">
                  <c:v>5.0903887884427299E-3</c:v>
                </c:pt>
                <c:pt idx="2">
                  <c:v>-6.7606568746638503E-4</c:v>
                </c:pt>
                <c:pt idx="3">
                  <c:v>9.1834664053645002E-2</c:v>
                </c:pt>
                <c:pt idx="4">
                  <c:v>0.11130369877862201</c:v>
                </c:pt>
                <c:pt idx="5">
                  <c:v>0.109243546696705</c:v>
                </c:pt>
                <c:pt idx="6">
                  <c:v>0.13787186869759799</c:v>
                </c:pt>
              </c:numCache>
            </c:numRef>
          </c:val>
          <c:smooth val="0"/>
        </c:ser>
        <c:dLbls>
          <c:showLegendKey val="0"/>
          <c:showVal val="0"/>
          <c:showCatName val="0"/>
          <c:showSerName val="0"/>
          <c:showPercent val="0"/>
          <c:showBubbleSize val="0"/>
        </c:dLbls>
        <c:smooth val="0"/>
        <c:axId val="228701264"/>
        <c:axId val="228701656"/>
      </c:lineChart>
      <c:catAx>
        <c:axId val="22870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701656"/>
        <c:crosses val="autoZero"/>
        <c:auto val="1"/>
        <c:lblAlgn val="ctr"/>
        <c:lblOffset val="100"/>
        <c:noMultiLvlLbl val="0"/>
      </c:catAx>
      <c:valAx>
        <c:axId val="228701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701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8B6D89E4-4F8D-4E94-9019-69F1DDE7A6C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B2D940AB-68EB-4382-80AE-186C485C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2</TotalTime>
  <Pages>6</Pages>
  <Words>2443</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15839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CDPG-C07/24-SCHEDULING OF COUNCIL SESSIONS AND PLENIPOTENTIARY CONFERENCES</dc:title>
  <dc:subject>Council 2006</dc:subject>
  <dc:creator>Report by the Secretary-General</dc:creator>
  <cp:keywords>C2006, C06</cp:keywords>
  <cp:lastModifiedBy>Janin</cp:lastModifiedBy>
  <cp:revision>5</cp:revision>
  <cp:lastPrinted>2016-12-13T12:55:00Z</cp:lastPrinted>
  <dcterms:created xsi:type="dcterms:W3CDTF">2016-12-23T08:55:00Z</dcterms:created>
  <dcterms:modified xsi:type="dcterms:W3CDTF">2016-12-23T08:57:00Z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