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5354B">
            <w:pPr>
              <w:spacing w:before="360" w:after="48"/>
              <w:rPr>
                <w:rFonts w:ascii="Verdana" w:hAnsi="Verdana"/>
                <w:position w:val="6"/>
                <w:lang w:eastAsia="zh-CN"/>
              </w:rPr>
            </w:pPr>
            <w:bookmarkStart w:id="0" w:name="_GoBack"/>
            <w:bookmarkEnd w:id="0"/>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1" w:name="lt_pId006"/>
            <w:r w:rsidRPr="008C63B0">
              <w:rPr>
                <w:rFonts w:eastAsiaTheme="minorEastAsia" w:cs="Calibri" w:hint="eastAsia"/>
                <w:b/>
                <w:bCs/>
                <w:color w:val="000000"/>
                <w:position w:val="6"/>
                <w:sz w:val="28"/>
                <w:szCs w:val="28"/>
                <w:lang w:eastAsia="zh-CN"/>
              </w:rPr>
              <w:t>第</w:t>
            </w:r>
            <w:r w:rsidRPr="008C63B0">
              <w:rPr>
                <w:rFonts w:eastAsiaTheme="minorEastAsia" w:cs="Calibri"/>
                <w:b/>
                <w:bCs/>
                <w:color w:val="000000"/>
                <w:position w:val="6"/>
                <w:sz w:val="28"/>
                <w:szCs w:val="28"/>
                <w:lang w:eastAsia="zh-CN"/>
              </w:rPr>
              <w:t>二次会议</w:t>
            </w:r>
            <w:r w:rsidRPr="008C63B0">
              <w:rPr>
                <w:rFonts w:eastAsia="Calibri" w:cs="Calibri"/>
                <w:b/>
                <w:bCs/>
                <w:color w:val="000000"/>
                <w:position w:val="6"/>
                <w:sz w:val="28"/>
                <w:szCs w:val="28"/>
                <w:lang w:eastAsia="zh-CN"/>
              </w:rPr>
              <w:t xml:space="preserve"> – 2017</w:t>
            </w:r>
            <w:bookmarkEnd w:id="1"/>
            <w:r w:rsidRPr="008C63B0">
              <w:rPr>
                <w:rFonts w:eastAsiaTheme="minorEastAsia" w:cs="Calibri" w:hint="eastAsia"/>
                <w:b/>
                <w:bCs/>
                <w:color w:val="000000"/>
                <w:position w:val="6"/>
                <w:sz w:val="28"/>
                <w:szCs w:val="28"/>
                <w:lang w:eastAsia="zh-CN"/>
              </w:rPr>
              <w:t>年</w:t>
            </w:r>
            <w:r w:rsidRPr="008C63B0">
              <w:rPr>
                <w:rFonts w:eastAsiaTheme="minorEastAsia" w:cs="Calibri" w:hint="eastAsia"/>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13</w:t>
            </w:r>
            <w:r w:rsidRPr="008C63B0">
              <w:rPr>
                <w:rFonts w:eastAsiaTheme="minorEastAsia" w:cs="Calibri"/>
                <w:b/>
                <w:bCs/>
                <w:color w:val="000000"/>
                <w:position w:val="6"/>
                <w:sz w:val="28"/>
                <w:szCs w:val="28"/>
                <w:lang w:eastAsia="zh-CN"/>
              </w:rPr>
              <w:t>-15</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2" w:name="ditulogo"/>
            <w:bookmarkEnd w:id="2"/>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3" w:name="dmeeting" w:colFirst="0" w:colLast="0"/>
          </w:p>
        </w:tc>
        <w:tc>
          <w:tcPr>
            <w:tcW w:w="3120" w:type="dxa"/>
          </w:tcPr>
          <w:p w:rsidR="00700D1F" w:rsidRPr="00700D1F" w:rsidRDefault="00D81264" w:rsidP="00D8126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EG-ITRs-2/</w:t>
            </w:r>
            <w:r w:rsidR="005D6C15">
              <w:rPr>
                <w:rFonts w:asciiTheme="minorHAnsi" w:hAnsiTheme="minorHAnsi" w:cs="Times New Roman Bold"/>
                <w:b/>
                <w:spacing w:val="-4"/>
                <w:lang w:val="de-CH"/>
              </w:rPr>
              <w:t>17</w:t>
            </w:r>
            <w:r>
              <w:rPr>
                <w:rFonts w:asciiTheme="minorHAnsi" w:hAnsiTheme="minorHAnsi" w:cs="Times New Roman Bold"/>
                <w:b/>
                <w:spacing w:val="-4"/>
                <w:lang w:val="de-CH"/>
              </w:rPr>
              <w:t>-</w:t>
            </w:r>
            <w:r w:rsidRPr="00FC5386">
              <w:rPr>
                <w:b/>
                <w:bCs/>
                <w:szCs w:val="24"/>
                <w:lang w:eastAsia="zh-CN"/>
              </w:rPr>
              <w:t>C</w:t>
            </w:r>
          </w:p>
        </w:tc>
      </w:tr>
      <w:bookmarkEnd w:id="3"/>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5354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54333F">
              <w:rPr>
                <w:rFonts w:asciiTheme="minorHAnsi" w:hAnsiTheme="minorHAnsi" w:cstheme="minorHAnsi"/>
                <w:b/>
                <w:bCs/>
                <w:szCs w:val="24"/>
                <w:lang w:eastAsia="zh-CN"/>
              </w:rPr>
              <w:t>9</w:t>
            </w:r>
            <w:r w:rsidRPr="00FC5386">
              <w:rPr>
                <w:rFonts w:hint="eastAsia"/>
                <w:b/>
                <w:bCs/>
                <w:szCs w:val="24"/>
                <w:lang w:eastAsia="zh-CN"/>
              </w:rPr>
              <w:t>月</w:t>
            </w:r>
            <w:r w:rsidR="005D6C15">
              <w:rPr>
                <w:rFonts w:asciiTheme="minorHAnsi" w:hAnsiTheme="minorHAnsi"/>
                <w:b/>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B000B7" w:rsidRDefault="005D6C15" w:rsidP="00B000B7">
            <w:pPr>
              <w:pStyle w:val="Source"/>
              <w:rPr>
                <w:lang w:eastAsia="zh-CN"/>
              </w:rPr>
            </w:pPr>
            <w:r>
              <w:rPr>
                <w:rFonts w:asciiTheme="minorHAnsi" w:hAnsiTheme="minorHAnsi"/>
                <w:szCs w:val="32"/>
              </w:rPr>
              <w:t>NTT</w:t>
            </w:r>
            <w:r>
              <w:rPr>
                <w:rFonts w:asciiTheme="minorHAnsi" w:hAnsiTheme="minorHAnsi" w:hint="eastAsia"/>
                <w:szCs w:val="32"/>
                <w:lang w:eastAsia="zh-CN"/>
              </w:rPr>
              <w:t>通信公司</w:t>
            </w:r>
            <w:r w:rsidR="0054333F">
              <w:rPr>
                <w:rFonts w:eastAsiaTheme="minorEastAsia" w:hint="eastAsia"/>
                <w:szCs w:val="32"/>
                <w:lang w:val="en-US" w:eastAsia="zh-CN"/>
              </w:rPr>
              <w:t>文稿</w:t>
            </w:r>
          </w:p>
        </w:tc>
      </w:tr>
      <w:tr w:rsidR="0093362E">
        <w:trPr>
          <w:cantSplit/>
        </w:trPr>
        <w:tc>
          <w:tcPr>
            <w:tcW w:w="10031" w:type="dxa"/>
          </w:tcPr>
          <w:p w:rsidR="0093362E" w:rsidRPr="00F22506" w:rsidRDefault="005D6C15" w:rsidP="002A3563">
            <w:pPr>
              <w:pStyle w:val="Title1"/>
              <w:rPr>
                <w:lang w:eastAsia="zh-CN"/>
              </w:rPr>
            </w:pPr>
            <w:r>
              <w:rPr>
                <w:rFonts w:hint="eastAsia"/>
                <w:lang w:eastAsia="zh-CN"/>
              </w:rPr>
              <w:t>《国际电信规则》的审议</w:t>
            </w:r>
          </w:p>
        </w:tc>
      </w:tr>
    </w:tbl>
    <w:p w:rsidR="005D6C15" w:rsidRPr="00F34F8D" w:rsidRDefault="001E6661" w:rsidP="002A3563">
      <w:pPr>
        <w:snapToGrid w:val="0"/>
        <w:spacing w:before="480" w:after="120"/>
        <w:ind w:firstLineChars="200" w:firstLine="480"/>
        <w:rPr>
          <w:lang w:eastAsia="zh-CN"/>
        </w:rPr>
      </w:pPr>
      <w:r w:rsidRPr="00F34F8D">
        <w:rPr>
          <w:lang w:eastAsia="zh-CN"/>
        </w:rPr>
        <w:t>NTT</w:t>
      </w:r>
      <w:r>
        <w:rPr>
          <w:rFonts w:hint="eastAsia"/>
          <w:lang w:eastAsia="zh-CN"/>
        </w:rPr>
        <w:t>通信公司是</w:t>
      </w:r>
      <w:r w:rsidRPr="00F34F8D">
        <w:rPr>
          <w:lang w:eastAsia="zh-CN"/>
        </w:rPr>
        <w:t>ITU-T</w:t>
      </w:r>
      <w:r>
        <w:rPr>
          <w:rFonts w:hint="eastAsia"/>
          <w:lang w:eastAsia="zh-CN"/>
        </w:rPr>
        <w:t>和</w:t>
      </w:r>
      <w:r w:rsidRPr="00F34F8D">
        <w:rPr>
          <w:lang w:eastAsia="zh-CN"/>
        </w:rPr>
        <w:t>ITU-R</w:t>
      </w:r>
      <w:r>
        <w:rPr>
          <w:rFonts w:hint="eastAsia"/>
          <w:lang w:eastAsia="zh-CN"/>
        </w:rPr>
        <w:t>的部门成员，自</w:t>
      </w:r>
      <w:r w:rsidRPr="00F34F8D">
        <w:rPr>
          <w:lang w:eastAsia="zh-CN"/>
        </w:rPr>
        <w:t>1999</w:t>
      </w:r>
      <w:r>
        <w:rPr>
          <w:rFonts w:hint="eastAsia"/>
          <w:lang w:eastAsia="zh-CN"/>
        </w:rPr>
        <w:t>年起向</w:t>
      </w:r>
      <w:r w:rsidRPr="00F34F8D">
        <w:rPr>
          <w:lang w:eastAsia="zh-CN"/>
        </w:rPr>
        <w:t>230</w:t>
      </w:r>
      <w:r>
        <w:rPr>
          <w:rFonts w:hint="eastAsia"/>
          <w:lang w:eastAsia="zh-CN"/>
        </w:rPr>
        <w:t>多个国家</w:t>
      </w:r>
      <w:r>
        <w:rPr>
          <w:rFonts w:hint="eastAsia"/>
          <w:lang w:eastAsia="zh-CN"/>
        </w:rPr>
        <w:t>/</w:t>
      </w:r>
      <w:r>
        <w:rPr>
          <w:rFonts w:hint="eastAsia"/>
          <w:lang w:eastAsia="zh-CN"/>
        </w:rPr>
        <w:t>区域提供国际直拨业务，在超过</w:t>
      </w:r>
      <w:r w:rsidRPr="00F34F8D">
        <w:rPr>
          <w:lang w:eastAsia="zh-CN"/>
        </w:rPr>
        <w:t>1</w:t>
      </w:r>
      <w:r>
        <w:rPr>
          <w:lang w:val="en-US" w:eastAsia="zh-CN"/>
        </w:rPr>
        <w:t> </w:t>
      </w:r>
      <w:r w:rsidRPr="00F34F8D">
        <w:rPr>
          <w:lang w:eastAsia="zh-CN"/>
        </w:rPr>
        <w:t>000</w:t>
      </w:r>
      <w:r>
        <w:rPr>
          <w:rFonts w:hint="eastAsia"/>
          <w:lang w:eastAsia="zh-CN"/>
        </w:rPr>
        <w:t>家运营商终接的业务量为</w:t>
      </w:r>
      <w:r>
        <w:rPr>
          <w:lang w:eastAsia="zh-CN"/>
        </w:rPr>
        <w:t>1</w:t>
      </w:r>
      <w:r w:rsidRPr="00F34F8D">
        <w:rPr>
          <w:lang w:eastAsia="zh-CN"/>
        </w:rPr>
        <w:t>5</w:t>
      </w:r>
      <w:r>
        <w:rPr>
          <w:rFonts w:hint="eastAsia"/>
          <w:lang w:eastAsia="zh-CN"/>
        </w:rPr>
        <w:t>亿分钟</w:t>
      </w:r>
      <w:r>
        <w:rPr>
          <w:rFonts w:hint="eastAsia"/>
          <w:lang w:eastAsia="zh-CN"/>
        </w:rPr>
        <w:t>/</w:t>
      </w:r>
      <w:r>
        <w:rPr>
          <w:rFonts w:hint="eastAsia"/>
          <w:lang w:eastAsia="zh-CN"/>
        </w:rPr>
        <w:t>年。</w:t>
      </w:r>
    </w:p>
    <w:p w:rsidR="005D6C15" w:rsidRPr="00F34F8D" w:rsidRDefault="001E6661" w:rsidP="002A3563">
      <w:pPr>
        <w:pStyle w:val="Headingb"/>
        <w:rPr>
          <w:lang w:eastAsia="zh-CN"/>
        </w:rPr>
      </w:pPr>
      <w:r>
        <w:rPr>
          <w:rFonts w:hint="eastAsia"/>
          <w:lang w:eastAsia="zh-CN"/>
        </w:rPr>
        <w:t>《国际电信规则》的相关性</w:t>
      </w:r>
      <w:r w:rsidR="005D6C15" w:rsidRPr="00F34F8D">
        <w:rPr>
          <w:lang w:eastAsia="zh-CN"/>
        </w:rPr>
        <w:t xml:space="preserve"> </w:t>
      </w:r>
    </w:p>
    <w:p w:rsidR="005D6C15" w:rsidRPr="00F34F8D" w:rsidRDefault="00C15105" w:rsidP="002A3563">
      <w:pPr>
        <w:snapToGrid w:val="0"/>
        <w:spacing w:after="120"/>
        <w:ind w:firstLineChars="200" w:firstLine="480"/>
        <w:rPr>
          <w:lang w:eastAsia="zh-CN"/>
        </w:rPr>
      </w:pPr>
      <w:r>
        <w:rPr>
          <w:rFonts w:hint="eastAsia"/>
          <w:lang w:eastAsia="zh-CN"/>
        </w:rPr>
        <w:t>在</w:t>
      </w:r>
      <w:r w:rsidR="00B106E6">
        <w:rPr>
          <w:rFonts w:hint="eastAsia"/>
          <w:lang w:eastAsia="zh-CN"/>
        </w:rPr>
        <w:t>过去</w:t>
      </w:r>
      <w:r>
        <w:rPr>
          <w:rFonts w:hint="eastAsia"/>
          <w:lang w:eastAsia="zh-CN"/>
        </w:rPr>
        <w:t>电信运营商</w:t>
      </w:r>
      <w:r w:rsidR="00B106E6">
        <w:rPr>
          <w:rFonts w:hint="eastAsia"/>
          <w:lang w:eastAsia="zh-CN"/>
        </w:rPr>
        <w:t>为垄断性</w:t>
      </w:r>
      <w:r>
        <w:rPr>
          <w:rFonts w:hint="eastAsia"/>
          <w:lang w:eastAsia="zh-CN"/>
        </w:rPr>
        <w:t>国有企业</w:t>
      </w:r>
      <w:r w:rsidR="00B106E6">
        <w:rPr>
          <w:rFonts w:hint="eastAsia"/>
          <w:lang w:eastAsia="zh-CN"/>
        </w:rPr>
        <w:t>的</w:t>
      </w:r>
      <w:r>
        <w:rPr>
          <w:rFonts w:hint="eastAsia"/>
          <w:lang w:eastAsia="zh-CN"/>
        </w:rPr>
        <w:t>时代，《国际电信规则》对于各国如何处理电信业务具有重要意义。</w:t>
      </w:r>
      <w:r w:rsidR="005D6C15" w:rsidRPr="00F34F8D">
        <w:rPr>
          <w:lang w:eastAsia="zh-CN"/>
        </w:rPr>
        <w:t xml:space="preserve"> </w:t>
      </w:r>
    </w:p>
    <w:p w:rsidR="005D6C15" w:rsidRPr="00F34F8D" w:rsidRDefault="00C15105" w:rsidP="002A3563">
      <w:pPr>
        <w:snapToGrid w:val="0"/>
        <w:spacing w:after="120"/>
        <w:ind w:firstLineChars="200" w:firstLine="480"/>
        <w:rPr>
          <w:lang w:eastAsia="zh-CN"/>
        </w:rPr>
      </w:pPr>
      <w:r>
        <w:rPr>
          <w:rFonts w:hint="eastAsia"/>
          <w:lang w:eastAsia="zh-CN"/>
        </w:rPr>
        <w:t>但在今天</w:t>
      </w:r>
      <w:r w:rsidR="00D75B7A">
        <w:rPr>
          <w:rFonts w:hint="eastAsia"/>
          <w:lang w:eastAsia="zh-CN"/>
        </w:rPr>
        <w:t>私有</w:t>
      </w:r>
      <w:r>
        <w:rPr>
          <w:rFonts w:hint="eastAsia"/>
          <w:lang w:eastAsia="zh-CN"/>
        </w:rPr>
        <w:t>化的竞争环境</w:t>
      </w:r>
      <w:r w:rsidR="00216C10">
        <w:rPr>
          <w:rFonts w:hint="eastAsia"/>
          <w:lang w:eastAsia="zh-CN"/>
        </w:rPr>
        <w:t>下</w:t>
      </w:r>
      <w:r>
        <w:rPr>
          <w:rFonts w:hint="eastAsia"/>
          <w:lang w:eastAsia="zh-CN"/>
        </w:rPr>
        <w:t>，</w:t>
      </w:r>
      <w:r w:rsidR="00216C10">
        <w:rPr>
          <w:rFonts w:hint="eastAsia"/>
          <w:lang w:eastAsia="zh-CN"/>
        </w:rPr>
        <w:t>连接至</w:t>
      </w:r>
      <w:r w:rsidR="00D16E16">
        <w:rPr>
          <w:rFonts w:hint="eastAsia"/>
          <w:lang w:eastAsia="zh-CN"/>
        </w:rPr>
        <w:t>世界各地的运营商不胜枚举，</w:t>
      </w:r>
      <w:r w:rsidR="00D16E16" w:rsidRPr="00F34F8D">
        <w:rPr>
          <w:lang w:eastAsia="zh-CN"/>
        </w:rPr>
        <w:t>NTT</w:t>
      </w:r>
      <w:r w:rsidR="00D16E16">
        <w:rPr>
          <w:lang w:eastAsia="zh-CN"/>
        </w:rPr>
        <w:t>通信公司认为</w:t>
      </w:r>
      <w:r w:rsidR="00B106E6">
        <w:rPr>
          <w:rFonts w:hint="eastAsia"/>
          <w:lang w:eastAsia="zh-CN"/>
        </w:rPr>
        <w:t>《国际电信规则》</w:t>
      </w:r>
      <w:r w:rsidR="00216C10">
        <w:rPr>
          <w:rFonts w:hint="eastAsia"/>
          <w:lang w:eastAsia="zh-CN"/>
        </w:rPr>
        <w:t>业</w:t>
      </w:r>
      <w:r w:rsidR="00B106E6">
        <w:rPr>
          <w:rFonts w:hint="eastAsia"/>
          <w:lang w:eastAsia="zh-CN"/>
        </w:rPr>
        <w:t>已</w:t>
      </w:r>
      <w:r w:rsidR="001A2CC0">
        <w:rPr>
          <w:rFonts w:hint="eastAsia"/>
          <w:lang w:eastAsia="zh-CN"/>
        </w:rPr>
        <w:t>过时，除规定了</w:t>
      </w:r>
      <w:r w:rsidR="00D16E16">
        <w:rPr>
          <w:rFonts w:hint="eastAsia"/>
          <w:lang w:eastAsia="zh-CN"/>
        </w:rPr>
        <w:t>在批准《国际电信规则》的国家和运营商</w:t>
      </w:r>
      <w:r w:rsidR="00216C10">
        <w:rPr>
          <w:rFonts w:hint="eastAsia"/>
          <w:lang w:eastAsia="zh-CN"/>
        </w:rPr>
        <w:t>之</w:t>
      </w:r>
      <w:r w:rsidR="00D16E16">
        <w:rPr>
          <w:rFonts w:hint="eastAsia"/>
          <w:lang w:eastAsia="zh-CN"/>
        </w:rPr>
        <w:t>间</w:t>
      </w:r>
      <w:r w:rsidR="00216C10">
        <w:rPr>
          <w:rFonts w:hint="eastAsia"/>
          <w:lang w:eastAsia="zh-CN"/>
        </w:rPr>
        <w:t>遵循</w:t>
      </w:r>
      <w:r w:rsidR="00D16E16">
        <w:rPr>
          <w:rFonts w:hint="eastAsia"/>
          <w:lang w:eastAsia="zh-CN"/>
        </w:rPr>
        <w:t>的一般行为准则外，已无实际意义。</w:t>
      </w:r>
    </w:p>
    <w:p w:rsidR="005D6C15" w:rsidRPr="00F34F8D" w:rsidRDefault="00216C10" w:rsidP="002A3563">
      <w:pPr>
        <w:pStyle w:val="Headingb"/>
        <w:rPr>
          <w:lang w:eastAsia="zh-CN"/>
        </w:rPr>
      </w:pPr>
      <w:r w:rsidRPr="00216C10">
        <w:rPr>
          <w:lang w:eastAsia="zh-CN"/>
        </w:rPr>
        <w:t>NTT</w:t>
      </w:r>
      <w:r w:rsidR="00D16E16">
        <w:rPr>
          <w:lang w:eastAsia="zh-CN"/>
        </w:rPr>
        <w:t>通信公司当前的业务惯例</w:t>
      </w:r>
    </w:p>
    <w:p w:rsidR="005D6C15" w:rsidRPr="00F34F8D" w:rsidRDefault="00D16E16" w:rsidP="002A3563">
      <w:pPr>
        <w:snapToGrid w:val="0"/>
        <w:spacing w:after="120"/>
        <w:ind w:firstLineChars="200" w:firstLine="480"/>
        <w:rPr>
          <w:lang w:eastAsia="zh-CN"/>
        </w:rPr>
      </w:pPr>
      <w:r>
        <w:rPr>
          <w:lang w:eastAsia="zh-CN"/>
        </w:rPr>
        <w:t>对于</w:t>
      </w:r>
      <w:r w:rsidR="00072857" w:rsidRPr="00F34F8D">
        <w:rPr>
          <w:lang w:eastAsia="zh-CN"/>
        </w:rPr>
        <w:t>NTT</w:t>
      </w:r>
      <w:r w:rsidR="00072857">
        <w:rPr>
          <w:lang w:eastAsia="zh-CN"/>
        </w:rPr>
        <w:t>通信公司</w:t>
      </w:r>
      <w:r w:rsidR="00216C10">
        <w:rPr>
          <w:rFonts w:hint="eastAsia"/>
          <w:lang w:eastAsia="zh-CN"/>
        </w:rPr>
        <w:t>，除基于传统</w:t>
      </w:r>
      <w:r w:rsidR="00AD348C">
        <w:rPr>
          <w:rFonts w:hint="eastAsia"/>
          <w:lang w:eastAsia="zh-CN"/>
        </w:rPr>
        <w:t>“转接协议”的国际被叫集中付费业务（</w:t>
      </w:r>
      <w:r w:rsidR="00AD348C" w:rsidRPr="00F34F8D">
        <w:rPr>
          <w:lang w:eastAsia="zh-CN"/>
        </w:rPr>
        <w:t>ITFS</w:t>
      </w:r>
      <w:r w:rsidR="00AD348C">
        <w:rPr>
          <w:rFonts w:hint="eastAsia"/>
          <w:lang w:eastAsia="zh-CN"/>
        </w:rPr>
        <w:t>）和卫星业务</w:t>
      </w:r>
      <w:r w:rsidR="00216C10">
        <w:rPr>
          <w:rFonts w:hint="eastAsia"/>
          <w:lang w:eastAsia="zh-CN"/>
        </w:rPr>
        <w:t>等极少数情况</w:t>
      </w:r>
      <w:r w:rsidR="00AD348C">
        <w:rPr>
          <w:rFonts w:hint="eastAsia"/>
          <w:lang w:eastAsia="zh-CN"/>
        </w:rPr>
        <w:t>外，</w:t>
      </w:r>
      <w:r w:rsidR="00AD348C" w:rsidRPr="00F34F8D">
        <w:rPr>
          <w:lang w:eastAsia="zh-CN"/>
        </w:rPr>
        <w:t>NTT</w:t>
      </w:r>
      <w:r w:rsidR="00AD348C">
        <w:rPr>
          <w:lang w:eastAsia="zh-CN"/>
        </w:rPr>
        <w:t>通信公司一直采用</w:t>
      </w:r>
      <w:r w:rsidR="00AD348C">
        <w:rPr>
          <w:rFonts w:hint="eastAsia"/>
          <w:lang w:eastAsia="zh-CN"/>
        </w:rPr>
        <w:t>“虚拟转接协议”，与一般意义上</w:t>
      </w:r>
      <w:r w:rsidR="00216C10">
        <w:rPr>
          <w:rFonts w:hint="eastAsia"/>
          <w:lang w:eastAsia="zh-CN"/>
        </w:rPr>
        <w:t>涉及</w:t>
      </w:r>
      <w:r w:rsidR="00AD348C">
        <w:rPr>
          <w:rFonts w:hint="eastAsia"/>
          <w:lang w:eastAsia="zh-CN"/>
        </w:rPr>
        <w:t>始发运营商、转接运营商和终接运营商的转接协议</w:t>
      </w:r>
      <w:r w:rsidR="00B106E6">
        <w:rPr>
          <w:rFonts w:hint="eastAsia"/>
          <w:lang w:eastAsia="zh-CN"/>
        </w:rPr>
        <w:t>不同，这种协议仅在始发运营商和转接运营商之间签署，不涉及</w:t>
      </w:r>
      <w:r w:rsidR="00216C10">
        <w:rPr>
          <w:rFonts w:hint="eastAsia"/>
          <w:lang w:eastAsia="zh-CN"/>
        </w:rPr>
        <w:t>目的地</w:t>
      </w:r>
      <w:r w:rsidR="00B106E6">
        <w:rPr>
          <w:rFonts w:hint="eastAsia"/>
          <w:lang w:eastAsia="zh-CN"/>
        </w:rPr>
        <w:t>国</w:t>
      </w:r>
      <w:r w:rsidR="00AD348C">
        <w:rPr>
          <w:rFonts w:hint="eastAsia"/>
          <w:lang w:eastAsia="zh-CN"/>
        </w:rPr>
        <w:t>运营商。</w:t>
      </w:r>
    </w:p>
    <w:p w:rsidR="005D6C15" w:rsidRPr="00F34F8D" w:rsidRDefault="00AD348C" w:rsidP="002A3563">
      <w:pPr>
        <w:snapToGrid w:val="0"/>
        <w:spacing w:after="120"/>
        <w:ind w:firstLineChars="200" w:firstLine="480"/>
        <w:rPr>
          <w:lang w:eastAsia="zh-CN"/>
        </w:rPr>
      </w:pPr>
      <w:r>
        <w:rPr>
          <w:lang w:eastAsia="zh-CN"/>
        </w:rPr>
        <w:t>由于这种安排</w:t>
      </w:r>
      <w:r>
        <w:rPr>
          <w:rFonts w:hint="eastAsia"/>
          <w:lang w:eastAsia="zh-CN"/>
        </w:rPr>
        <w:t>，</w:t>
      </w:r>
      <w:r w:rsidRPr="00F34F8D">
        <w:rPr>
          <w:lang w:eastAsia="zh-CN"/>
        </w:rPr>
        <w:t>NTT</w:t>
      </w:r>
      <w:r w:rsidR="0088515E">
        <w:rPr>
          <w:lang w:eastAsia="zh-CN"/>
        </w:rPr>
        <w:t>通信公司可</w:t>
      </w:r>
      <w:r w:rsidR="00216C10">
        <w:rPr>
          <w:rFonts w:hint="eastAsia"/>
          <w:lang w:eastAsia="zh-CN"/>
        </w:rPr>
        <w:t>最大限度地减少</w:t>
      </w:r>
      <w:r>
        <w:rPr>
          <w:lang w:eastAsia="zh-CN"/>
        </w:rPr>
        <w:t>所选运营商之间的必要连接和契约数量</w:t>
      </w:r>
      <w:r>
        <w:rPr>
          <w:rFonts w:hint="eastAsia"/>
          <w:lang w:eastAsia="zh-CN"/>
        </w:rPr>
        <w:t>。</w:t>
      </w:r>
    </w:p>
    <w:p w:rsidR="005D6C15" w:rsidRPr="00F34F8D" w:rsidRDefault="009005FB" w:rsidP="002A3563">
      <w:pPr>
        <w:snapToGrid w:val="0"/>
        <w:spacing w:after="120"/>
        <w:ind w:firstLineChars="200" w:firstLine="480"/>
        <w:rPr>
          <w:lang w:eastAsia="zh-CN"/>
        </w:rPr>
      </w:pPr>
      <w:r>
        <w:rPr>
          <w:lang w:eastAsia="zh-CN"/>
        </w:rPr>
        <w:t>由于限制了选择的连接运营商数量</w:t>
      </w:r>
      <w:r>
        <w:rPr>
          <w:rFonts w:hint="eastAsia"/>
          <w:lang w:eastAsia="zh-CN"/>
        </w:rPr>
        <w:t>，</w:t>
      </w:r>
      <w:r>
        <w:rPr>
          <w:lang w:eastAsia="zh-CN"/>
        </w:rPr>
        <w:t>在每项协议中规定了具体的商业安排</w:t>
      </w:r>
      <w:r w:rsidR="0088515E">
        <w:rPr>
          <w:rFonts w:hint="eastAsia"/>
          <w:lang w:eastAsia="zh-CN"/>
        </w:rPr>
        <w:t>，从而</w:t>
      </w:r>
      <w:r>
        <w:rPr>
          <w:rFonts w:hint="eastAsia"/>
          <w:lang w:eastAsia="zh-CN"/>
        </w:rPr>
        <w:t>提高了每项协议的灵活度，迎合运营商的具体需求。</w:t>
      </w:r>
    </w:p>
    <w:p w:rsidR="005D6C15" w:rsidRPr="00F34F8D" w:rsidRDefault="009005FB" w:rsidP="002A3563">
      <w:pPr>
        <w:snapToGrid w:val="0"/>
        <w:spacing w:after="120"/>
        <w:ind w:firstLineChars="200" w:firstLine="480"/>
        <w:rPr>
          <w:lang w:eastAsia="zh-CN"/>
        </w:rPr>
      </w:pPr>
      <w:r w:rsidRPr="00F34F8D">
        <w:rPr>
          <w:lang w:eastAsia="zh-CN"/>
        </w:rPr>
        <w:t>NTT</w:t>
      </w:r>
      <w:r>
        <w:rPr>
          <w:lang w:eastAsia="zh-CN"/>
        </w:rPr>
        <w:t>通信公司沿用这种安排已超过</w:t>
      </w:r>
      <w:r w:rsidRPr="00F34F8D">
        <w:rPr>
          <w:lang w:eastAsia="zh-CN"/>
        </w:rPr>
        <w:t>10</w:t>
      </w:r>
      <w:r w:rsidR="00216C10">
        <w:rPr>
          <w:lang w:eastAsia="zh-CN"/>
        </w:rPr>
        <w:t>年</w:t>
      </w:r>
      <w:r>
        <w:rPr>
          <w:lang w:eastAsia="zh-CN"/>
        </w:rPr>
        <w:t>时间</w:t>
      </w:r>
      <w:r w:rsidR="0088515E">
        <w:rPr>
          <w:rFonts w:hint="eastAsia"/>
          <w:lang w:eastAsia="zh-CN"/>
        </w:rPr>
        <w:t>，并已</w:t>
      </w:r>
      <w:r w:rsidR="00216C10">
        <w:rPr>
          <w:rFonts w:hint="eastAsia"/>
          <w:lang w:eastAsia="zh-CN"/>
        </w:rPr>
        <w:t>证明《国际电信规则》与现行</w:t>
      </w:r>
      <w:r>
        <w:rPr>
          <w:rFonts w:hint="eastAsia"/>
          <w:lang w:eastAsia="zh-CN"/>
        </w:rPr>
        <w:t>做法并无关联。</w:t>
      </w:r>
      <w:r w:rsidR="00710C50">
        <w:rPr>
          <w:rFonts w:hint="eastAsia"/>
          <w:lang w:eastAsia="zh-CN"/>
        </w:rPr>
        <w:t>此外，</w:t>
      </w:r>
      <w:r w:rsidR="00710C50" w:rsidRPr="00F34F8D">
        <w:rPr>
          <w:lang w:eastAsia="zh-CN"/>
        </w:rPr>
        <w:t>NTT</w:t>
      </w:r>
      <w:r w:rsidR="00710C50">
        <w:rPr>
          <w:lang w:eastAsia="zh-CN"/>
        </w:rPr>
        <w:t>通信公司未遇到</w:t>
      </w:r>
      <w:r w:rsidR="0088515E">
        <w:rPr>
          <w:rFonts w:hint="eastAsia"/>
          <w:lang w:eastAsia="zh-CN"/>
        </w:rPr>
        <w:t>由</w:t>
      </w:r>
      <w:r w:rsidR="00710C50">
        <w:rPr>
          <w:rFonts w:hint="eastAsia"/>
          <w:lang w:eastAsia="zh-CN"/>
        </w:rPr>
        <w:t>2</w:t>
      </w:r>
      <w:r w:rsidR="00710C50">
        <w:rPr>
          <w:rFonts w:hint="eastAsia"/>
          <w:lang w:eastAsia="zh-CN"/>
        </w:rPr>
        <w:t>套《国际电信规则》或因未使用《国际电信规则》带来的问题。</w:t>
      </w:r>
    </w:p>
    <w:p w:rsidR="005D6C15" w:rsidRPr="00F34F8D" w:rsidRDefault="00216C10" w:rsidP="002A3563">
      <w:pPr>
        <w:pStyle w:val="Headingb"/>
        <w:rPr>
          <w:lang w:eastAsia="zh-CN"/>
        </w:rPr>
      </w:pPr>
      <w:r>
        <w:rPr>
          <w:rFonts w:hint="eastAsia"/>
          <w:lang w:eastAsia="zh-CN"/>
        </w:rPr>
        <w:t>在</w:t>
      </w:r>
      <w:r w:rsidR="00710C50">
        <w:rPr>
          <w:rFonts w:hint="eastAsia"/>
          <w:lang w:eastAsia="zh-CN"/>
        </w:rPr>
        <w:t>《国际电信规则》中</w:t>
      </w:r>
      <w:r>
        <w:rPr>
          <w:rFonts w:hint="eastAsia"/>
          <w:lang w:eastAsia="zh-CN"/>
        </w:rPr>
        <w:t>加入</w:t>
      </w:r>
      <w:r w:rsidR="00710C50">
        <w:rPr>
          <w:rFonts w:hint="eastAsia"/>
          <w:lang w:eastAsia="zh-CN"/>
        </w:rPr>
        <w:t>详细</w:t>
      </w:r>
      <w:r w:rsidR="001A2CC0">
        <w:rPr>
          <w:rFonts w:hint="eastAsia"/>
          <w:lang w:eastAsia="zh-CN"/>
        </w:rPr>
        <w:t>规定</w:t>
      </w:r>
      <w:r w:rsidR="00710C50">
        <w:rPr>
          <w:rFonts w:hint="eastAsia"/>
          <w:lang w:eastAsia="zh-CN"/>
        </w:rPr>
        <w:t>的影响</w:t>
      </w:r>
    </w:p>
    <w:p w:rsidR="005D6C15" w:rsidRPr="00F34F8D" w:rsidRDefault="00710C50" w:rsidP="002A3563">
      <w:pPr>
        <w:snapToGrid w:val="0"/>
        <w:spacing w:after="120"/>
        <w:ind w:firstLineChars="200" w:firstLine="480"/>
        <w:rPr>
          <w:lang w:eastAsia="zh-CN"/>
        </w:rPr>
      </w:pPr>
      <w:r w:rsidRPr="00F34F8D">
        <w:rPr>
          <w:lang w:eastAsia="zh-CN"/>
        </w:rPr>
        <w:t>NTT</w:t>
      </w:r>
      <w:r>
        <w:rPr>
          <w:lang w:eastAsia="zh-CN"/>
        </w:rPr>
        <w:t>通信公司担心</w:t>
      </w:r>
      <w:r>
        <w:rPr>
          <w:rFonts w:hint="eastAsia"/>
          <w:lang w:eastAsia="zh-CN"/>
        </w:rPr>
        <w:t>，</w:t>
      </w:r>
      <w:r>
        <w:rPr>
          <w:lang w:eastAsia="zh-CN"/>
        </w:rPr>
        <w:t>如果对</w:t>
      </w:r>
      <w:r w:rsidR="00216C10">
        <w:rPr>
          <w:rFonts w:hint="eastAsia"/>
          <w:lang w:eastAsia="zh-CN"/>
        </w:rPr>
        <w:t>《国际电信规则》进行修正，使监管收紧，会对互连的</w:t>
      </w:r>
      <w:r>
        <w:rPr>
          <w:rFonts w:hint="eastAsia"/>
          <w:lang w:eastAsia="zh-CN"/>
        </w:rPr>
        <w:t>运营商之间的业务自由造成严重影响。</w:t>
      </w:r>
    </w:p>
    <w:p w:rsidR="005D6C15" w:rsidRPr="00F34F8D" w:rsidRDefault="00710C50" w:rsidP="002A3563">
      <w:pPr>
        <w:snapToGrid w:val="0"/>
        <w:spacing w:after="120"/>
        <w:ind w:firstLineChars="200" w:firstLine="480"/>
        <w:rPr>
          <w:lang w:eastAsia="zh-CN"/>
        </w:rPr>
      </w:pPr>
      <w:r>
        <w:rPr>
          <w:lang w:eastAsia="zh-CN"/>
        </w:rPr>
        <w:t>例如</w:t>
      </w:r>
      <w:r>
        <w:rPr>
          <w:rFonts w:hint="eastAsia"/>
          <w:lang w:eastAsia="zh-CN"/>
        </w:rPr>
        <w:t>，</w:t>
      </w:r>
      <w:r w:rsidR="00216C10">
        <w:rPr>
          <w:lang w:eastAsia="zh-CN"/>
        </w:rPr>
        <w:t>运营商将需要终止或取消现有</w:t>
      </w:r>
      <w:r>
        <w:rPr>
          <w:lang w:eastAsia="zh-CN"/>
        </w:rPr>
        <w:t>协议</w:t>
      </w:r>
      <w:r>
        <w:rPr>
          <w:rFonts w:hint="eastAsia"/>
          <w:lang w:eastAsia="zh-CN"/>
        </w:rPr>
        <w:t>，</w:t>
      </w:r>
      <w:r w:rsidR="0088515E">
        <w:rPr>
          <w:lang w:eastAsia="zh-CN"/>
        </w:rPr>
        <w:t>根据</w:t>
      </w:r>
      <w:r>
        <w:rPr>
          <w:lang w:eastAsia="zh-CN"/>
        </w:rPr>
        <w:t>更新</w:t>
      </w:r>
      <w:r w:rsidR="0088515E">
        <w:rPr>
          <w:rFonts w:hint="eastAsia"/>
          <w:lang w:eastAsia="zh-CN"/>
        </w:rPr>
        <w:t>后</w:t>
      </w:r>
      <w:r>
        <w:rPr>
          <w:lang w:eastAsia="zh-CN"/>
        </w:rPr>
        <w:t>的</w:t>
      </w:r>
      <w:r>
        <w:rPr>
          <w:rFonts w:hint="eastAsia"/>
          <w:lang w:eastAsia="zh-CN"/>
        </w:rPr>
        <w:t>《国际电信规则》重新订立协议。</w:t>
      </w:r>
    </w:p>
    <w:p w:rsidR="005D6C15" w:rsidRPr="00F34F8D" w:rsidRDefault="00710C50" w:rsidP="002A3563">
      <w:pPr>
        <w:snapToGrid w:val="0"/>
        <w:spacing w:after="120"/>
        <w:ind w:firstLineChars="200" w:firstLine="480"/>
        <w:rPr>
          <w:lang w:eastAsia="zh-CN"/>
        </w:rPr>
      </w:pPr>
      <w:r>
        <w:rPr>
          <w:lang w:eastAsia="zh-CN"/>
        </w:rPr>
        <w:lastRenderedPageBreak/>
        <w:t>鉴于</w:t>
      </w:r>
      <w:r w:rsidR="008A0E76">
        <w:rPr>
          <w:lang w:eastAsia="zh-CN"/>
        </w:rPr>
        <w:t>运营商之间协议</w:t>
      </w:r>
      <w:r w:rsidR="00216C10">
        <w:rPr>
          <w:rFonts w:hint="eastAsia"/>
          <w:lang w:eastAsia="zh-CN"/>
        </w:rPr>
        <w:t>的</w:t>
      </w:r>
      <w:r w:rsidR="008A0E76">
        <w:rPr>
          <w:lang w:eastAsia="zh-CN"/>
        </w:rPr>
        <w:t>自由和妥善处理是提供高质量</w:t>
      </w:r>
      <w:r w:rsidR="00216C10">
        <w:rPr>
          <w:rFonts w:hint="eastAsia"/>
          <w:lang w:eastAsia="zh-CN"/>
        </w:rPr>
        <w:t>而</w:t>
      </w:r>
      <w:r w:rsidR="008A0E76">
        <w:rPr>
          <w:lang w:eastAsia="zh-CN"/>
        </w:rPr>
        <w:t>价格可承受服务的基础</w:t>
      </w:r>
      <w:r w:rsidR="008A0E76">
        <w:rPr>
          <w:rFonts w:hint="eastAsia"/>
          <w:lang w:eastAsia="zh-CN"/>
        </w:rPr>
        <w:t>，</w:t>
      </w:r>
      <w:r w:rsidR="008A0E76">
        <w:rPr>
          <w:lang w:eastAsia="zh-CN"/>
        </w:rPr>
        <w:t>重新订立协议</w:t>
      </w:r>
      <w:r w:rsidR="008A0E76">
        <w:rPr>
          <w:rFonts w:hint="eastAsia"/>
          <w:lang w:eastAsia="zh-CN"/>
        </w:rPr>
        <w:t>，</w:t>
      </w:r>
      <w:r w:rsidR="008A0E76">
        <w:rPr>
          <w:lang w:eastAsia="zh-CN"/>
        </w:rPr>
        <w:t>特别是基于</w:t>
      </w:r>
      <w:r w:rsidR="004142DF">
        <w:rPr>
          <w:lang w:eastAsia="zh-CN"/>
        </w:rPr>
        <w:t>加大限制</w:t>
      </w:r>
      <w:r w:rsidR="00216C10">
        <w:rPr>
          <w:rFonts w:hint="eastAsia"/>
          <w:lang w:eastAsia="zh-CN"/>
        </w:rPr>
        <w:t>力度</w:t>
      </w:r>
      <w:r w:rsidR="004142DF">
        <w:rPr>
          <w:lang w:eastAsia="zh-CN"/>
        </w:rPr>
        <w:t>的</w:t>
      </w:r>
      <w:r w:rsidR="004142DF">
        <w:rPr>
          <w:rFonts w:hint="eastAsia"/>
          <w:lang w:eastAsia="zh-CN"/>
        </w:rPr>
        <w:t>《国际电信规则》的协议，对所提供服务的质量</w:t>
      </w:r>
      <w:r w:rsidR="005C56A5">
        <w:rPr>
          <w:rFonts w:hint="eastAsia"/>
          <w:lang w:eastAsia="zh-CN"/>
        </w:rPr>
        <w:t>和</w:t>
      </w:r>
      <w:r w:rsidR="00216C10">
        <w:rPr>
          <w:rFonts w:hint="eastAsia"/>
          <w:lang w:eastAsia="zh-CN"/>
        </w:rPr>
        <w:t>定价</w:t>
      </w:r>
      <w:r w:rsidR="004142DF">
        <w:rPr>
          <w:rFonts w:hint="eastAsia"/>
          <w:lang w:eastAsia="zh-CN"/>
        </w:rPr>
        <w:t>而言将成为一种不利</w:t>
      </w:r>
      <w:r w:rsidR="00216C10">
        <w:rPr>
          <w:rFonts w:hint="eastAsia"/>
          <w:lang w:eastAsia="zh-CN"/>
        </w:rPr>
        <w:t>因素</w:t>
      </w:r>
      <w:r w:rsidR="004142DF">
        <w:rPr>
          <w:rFonts w:hint="eastAsia"/>
          <w:lang w:eastAsia="zh-CN"/>
        </w:rPr>
        <w:t>。</w:t>
      </w:r>
    </w:p>
    <w:p w:rsidR="005D6C15" w:rsidRPr="00F34F8D" w:rsidRDefault="004142DF" w:rsidP="002A3563">
      <w:pPr>
        <w:snapToGrid w:val="0"/>
        <w:spacing w:after="120"/>
        <w:ind w:firstLineChars="200" w:firstLine="480"/>
        <w:rPr>
          <w:lang w:eastAsia="zh-CN"/>
        </w:rPr>
      </w:pPr>
      <w:r>
        <w:rPr>
          <w:lang w:eastAsia="zh-CN"/>
        </w:rPr>
        <w:t>在这种</w:t>
      </w:r>
      <w:r w:rsidR="005C56A5">
        <w:rPr>
          <w:rFonts w:hint="eastAsia"/>
          <w:lang w:eastAsia="zh-CN"/>
        </w:rPr>
        <w:t>情况</w:t>
      </w:r>
      <w:r>
        <w:rPr>
          <w:lang w:eastAsia="zh-CN"/>
        </w:rPr>
        <w:t>下</w:t>
      </w:r>
      <w:r>
        <w:rPr>
          <w:rFonts w:hint="eastAsia"/>
          <w:lang w:eastAsia="zh-CN"/>
        </w:rPr>
        <w:t>，</w:t>
      </w:r>
      <w:r w:rsidR="005C56A5">
        <w:rPr>
          <w:lang w:eastAsia="zh-CN"/>
        </w:rPr>
        <w:t>运营商之间的业务关系</w:t>
      </w:r>
      <w:r w:rsidR="005C56A5">
        <w:rPr>
          <w:rFonts w:hint="eastAsia"/>
          <w:lang w:eastAsia="zh-CN"/>
        </w:rPr>
        <w:t>势必</w:t>
      </w:r>
      <w:r>
        <w:rPr>
          <w:lang w:eastAsia="zh-CN"/>
        </w:rPr>
        <w:t>会恶化</w:t>
      </w:r>
      <w:r>
        <w:rPr>
          <w:rFonts w:hint="eastAsia"/>
          <w:lang w:eastAsia="zh-CN"/>
        </w:rPr>
        <w:t>，</w:t>
      </w:r>
      <w:r w:rsidR="005C56A5">
        <w:rPr>
          <w:rFonts w:hint="eastAsia"/>
          <w:lang w:eastAsia="zh-CN"/>
        </w:rPr>
        <w:t>从而</w:t>
      </w:r>
      <w:r>
        <w:rPr>
          <w:lang w:eastAsia="zh-CN"/>
        </w:rPr>
        <w:t>阻碍运营商之间的业务发展</w:t>
      </w:r>
      <w:r>
        <w:rPr>
          <w:rFonts w:hint="eastAsia"/>
          <w:lang w:eastAsia="zh-CN"/>
        </w:rPr>
        <w:t>，</w:t>
      </w:r>
      <w:r>
        <w:rPr>
          <w:lang w:eastAsia="zh-CN"/>
        </w:rPr>
        <w:t>形成不利</w:t>
      </w:r>
      <w:r w:rsidR="00216C10">
        <w:rPr>
          <w:rFonts w:hint="eastAsia"/>
          <w:lang w:eastAsia="zh-CN"/>
        </w:rPr>
        <w:t>的</w:t>
      </w:r>
      <w:r w:rsidR="00216C10">
        <w:rPr>
          <w:lang w:eastAsia="zh-CN"/>
        </w:rPr>
        <w:t>电信</w:t>
      </w:r>
      <w:r>
        <w:rPr>
          <w:lang w:eastAsia="zh-CN"/>
        </w:rPr>
        <w:t>环境</w:t>
      </w:r>
      <w:r>
        <w:rPr>
          <w:rFonts w:hint="eastAsia"/>
          <w:lang w:eastAsia="zh-CN"/>
        </w:rPr>
        <w:t>。</w:t>
      </w:r>
      <w:r w:rsidR="005D6C15" w:rsidRPr="00F34F8D">
        <w:rPr>
          <w:lang w:eastAsia="zh-CN"/>
        </w:rPr>
        <w:t xml:space="preserve"> </w:t>
      </w:r>
    </w:p>
    <w:p w:rsidR="005D6C15" w:rsidRPr="00F34F8D" w:rsidRDefault="004142DF" w:rsidP="002A3563">
      <w:pPr>
        <w:snapToGrid w:val="0"/>
        <w:spacing w:after="120"/>
        <w:ind w:firstLineChars="200" w:firstLine="480"/>
        <w:rPr>
          <w:lang w:eastAsia="zh-CN"/>
        </w:rPr>
      </w:pPr>
      <w:r>
        <w:rPr>
          <w:lang w:eastAsia="zh-CN"/>
        </w:rPr>
        <w:t>除上述</w:t>
      </w:r>
      <w:r w:rsidR="00216C10">
        <w:rPr>
          <w:rFonts w:hint="eastAsia"/>
          <w:lang w:eastAsia="zh-CN"/>
        </w:rPr>
        <w:t>情况</w:t>
      </w:r>
      <w:r>
        <w:rPr>
          <w:lang w:eastAsia="zh-CN"/>
        </w:rPr>
        <w:t>外</w:t>
      </w:r>
      <w:r>
        <w:rPr>
          <w:rFonts w:hint="eastAsia"/>
          <w:lang w:eastAsia="zh-CN"/>
        </w:rPr>
        <w:t>，</w:t>
      </w:r>
      <w:r>
        <w:rPr>
          <w:lang w:eastAsia="zh-CN"/>
        </w:rPr>
        <w:t>运营商</w:t>
      </w:r>
      <w:r w:rsidR="00216C10">
        <w:rPr>
          <w:rFonts w:hint="eastAsia"/>
          <w:lang w:eastAsia="zh-CN"/>
        </w:rPr>
        <w:t>还</w:t>
      </w:r>
      <w:r>
        <w:rPr>
          <w:lang w:eastAsia="zh-CN"/>
        </w:rPr>
        <w:t>需</w:t>
      </w:r>
      <w:r w:rsidR="00216C10">
        <w:rPr>
          <w:rFonts w:hint="eastAsia"/>
          <w:lang w:eastAsia="zh-CN"/>
        </w:rPr>
        <w:t>调整</w:t>
      </w:r>
      <w:r>
        <w:rPr>
          <w:lang w:eastAsia="zh-CN"/>
        </w:rPr>
        <w:t>其系统</w:t>
      </w:r>
      <w:r>
        <w:rPr>
          <w:rFonts w:hint="eastAsia"/>
          <w:lang w:eastAsia="zh-CN"/>
        </w:rPr>
        <w:t>，</w:t>
      </w:r>
      <w:r w:rsidR="00B40C56">
        <w:rPr>
          <w:rFonts w:hint="eastAsia"/>
          <w:lang w:eastAsia="zh-CN"/>
        </w:rPr>
        <w:t>以</w:t>
      </w:r>
      <w:r>
        <w:rPr>
          <w:lang w:eastAsia="zh-CN"/>
        </w:rPr>
        <w:t>适应新的</w:t>
      </w:r>
      <w:r>
        <w:rPr>
          <w:rFonts w:hint="eastAsia"/>
          <w:lang w:eastAsia="zh-CN"/>
        </w:rPr>
        <w:t>《国家电信规则》</w:t>
      </w:r>
      <w:r w:rsidR="00B66A35">
        <w:rPr>
          <w:rFonts w:hint="eastAsia"/>
          <w:lang w:eastAsia="zh-CN"/>
        </w:rPr>
        <w:t>带来的这些变化，从而</w:t>
      </w:r>
      <w:r w:rsidR="00F840E8">
        <w:rPr>
          <w:rFonts w:hint="eastAsia"/>
          <w:lang w:eastAsia="zh-CN"/>
        </w:rPr>
        <w:t>导致</w:t>
      </w:r>
      <w:r w:rsidR="00B66A35">
        <w:rPr>
          <w:rFonts w:hint="eastAsia"/>
          <w:lang w:eastAsia="zh-CN"/>
        </w:rPr>
        <w:t>资本性支出（</w:t>
      </w:r>
      <w:r w:rsidR="00B66A35" w:rsidRPr="00F34F8D">
        <w:rPr>
          <w:lang w:eastAsia="zh-CN"/>
        </w:rPr>
        <w:t>C</w:t>
      </w:r>
      <w:r w:rsidR="00B66A35" w:rsidRPr="00F34F8D">
        <w:rPr>
          <w:lang w:eastAsia="ja-JP"/>
        </w:rPr>
        <w:t>APEX</w:t>
      </w:r>
      <w:r w:rsidR="00B66A35">
        <w:rPr>
          <w:rFonts w:hint="eastAsia"/>
          <w:lang w:eastAsia="zh-CN"/>
        </w:rPr>
        <w:t>）和运营成本（</w:t>
      </w:r>
      <w:r w:rsidR="00B66A35" w:rsidRPr="00F34F8D">
        <w:rPr>
          <w:lang w:eastAsia="zh-CN"/>
        </w:rPr>
        <w:t>O</w:t>
      </w:r>
      <w:r w:rsidR="00B66A35" w:rsidRPr="00F34F8D">
        <w:rPr>
          <w:lang w:eastAsia="ja-JP"/>
        </w:rPr>
        <w:t>PEX</w:t>
      </w:r>
      <w:r w:rsidR="00B66A35">
        <w:rPr>
          <w:rFonts w:hint="eastAsia"/>
          <w:lang w:eastAsia="zh-CN"/>
        </w:rPr>
        <w:t>）</w:t>
      </w:r>
      <w:r w:rsidR="00F840E8">
        <w:rPr>
          <w:rFonts w:hint="eastAsia"/>
          <w:lang w:eastAsia="zh-CN"/>
        </w:rPr>
        <w:t>增加</w:t>
      </w:r>
      <w:r w:rsidR="00B66A35">
        <w:rPr>
          <w:rFonts w:hint="eastAsia"/>
          <w:lang w:eastAsia="zh-CN"/>
        </w:rPr>
        <w:t>，</w:t>
      </w:r>
      <w:r w:rsidR="00B40C56">
        <w:rPr>
          <w:rFonts w:hint="eastAsia"/>
          <w:lang w:eastAsia="zh-CN"/>
        </w:rPr>
        <w:t>这亦</w:t>
      </w:r>
      <w:r w:rsidR="00B66A35">
        <w:rPr>
          <w:rFonts w:hint="eastAsia"/>
          <w:lang w:eastAsia="zh-CN"/>
        </w:rPr>
        <w:t>将对业务产生负面影响。</w:t>
      </w:r>
    </w:p>
    <w:p w:rsidR="005D6C15" w:rsidRPr="00F34F8D" w:rsidRDefault="00B66A35" w:rsidP="002A3563">
      <w:pPr>
        <w:snapToGrid w:val="0"/>
        <w:spacing w:after="120"/>
        <w:ind w:firstLineChars="200" w:firstLine="480"/>
        <w:rPr>
          <w:lang w:eastAsia="zh-CN"/>
        </w:rPr>
      </w:pPr>
      <w:r>
        <w:rPr>
          <w:lang w:eastAsia="zh-CN"/>
        </w:rPr>
        <w:t>可以预见</w:t>
      </w:r>
      <w:r>
        <w:rPr>
          <w:rFonts w:hint="eastAsia"/>
          <w:lang w:eastAsia="zh-CN"/>
        </w:rPr>
        <w:t>，</w:t>
      </w:r>
      <w:r>
        <w:rPr>
          <w:lang w:eastAsia="zh-CN"/>
        </w:rPr>
        <w:t>这些支出将</w:t>
      </w:r>
      <w:r w:rsidR="00B40C56">
        <w:rPr>
          <w:rFonts w:hint="eastAsia"/>
          <w:lang w:eastAsia="zh-CN"/>
        </w:rPr>
        <w:t>摊</w:t>
      </w:r>
      <w:r>
        <w:rPr>
          <w:lang w:eastAsia="zh-CN"/>
        </w:rPr>
        <w:t>加</w:t>
      </w:r>
      <w:r w:rsidR="00F840E8">
        <w:rPr>
          <w:rFonts w:hint="eastAsia"/>
          <w:lang w:eastAsia="zh-CN"/>
        </w:rPr>
        <w:t>到</w:t>
      </w:r>
      <w:r>
        <w:rPr>
          <w:lang w:eastAsia="zh-CN"/>
        </w:rPr>
        <w:t>向最终用户</w:t>
      </w:r>
      <w:r w:rsidR="00C61483">
        <w:rPr>
          <w:rFonts w:hint="eastAsia"/>
          <w:lang w:eastAsia="zh-CN"/>
        </w:rPr>
        <w:t>（如每个国家的消费者和企业用户）提供的费率</w:t>
      </w:r>
      <w:r w:rsidR="00B40C56">
        <w:rPr>
          <w:rFonts w:hint="eastAsia"/>
          <w:lang w:eastAsia="zh-CN"/>
        </w:rPr>
        <w:t>中</w:t>
      </w:r>
      <w:r w:rsidR="00C61483">
        <w:rPr>
          <w:rFonts w:hint="eastAsia"/>
          <w:lang w:eastAsia="zh-CN"/>
        </w:rPr>
        <w:t>，这与当</w:t>
      </w:r>
      <w:r w:rsidR="00F840E8">
        <w:rPr>
          <w:rFonts w:hint="eastAsia"/>
          <w:lang w:eastAsia="zh-CN"/>
        </w:rPr>
        <w:t>前降低费率的趋势背道而驰。费率的上涨将促使最终用户转而使用其他</w:t>
      </w:r>
      <w:r w:rsidR="00C61483">
        <w:rPr>
          <w:rFonts w:hint="eastAsia"/>
          <w:lang w:eastAsia="zh-CN"/>
        </w:rPr>
        <w:t>通信方式。</w:t>
      </w:r>
      <w:r w:rsidR="005D6C15" w:rsidRPr="00F34F8D">
        <w:rPr>
          <w:lang w:eastAsia="zh-CN"/>
        </w:rPr>
        <w:t xml:space="preserve"> </w:t>
      </w:r>
    </w:p>
    <w:p w:rsidR="005D6C15" w:rsidRPr="00F34F8D" w:rsidRDefault="00AC69FF" w:rsidP="002A3563">
      <w:pPr>
        <w:snapToGrid w:val="0"/>
        <w:spacing w:after="120"/>
        <w:ind w:firstLineChars="200" w:firstLine="480"/>
        <w:rPr>
          <w:lang w:eastAsia="zh-CN"/>
        </w:rPr>
      </w:pPr>
      <w:r>
        <w:rPr>
          <w:lang w:eastAsia="zh-CN"/>
        </w:rPr>
        <w:t>用户数量一旦减少到一定水平</w:t>
      </w:r>
      <w:r>
        <w:rPr>
          <w:rFonts w:hint="eastAsia"/>
          <w:lang w:eastAsia="zh-CN"/>
        </w:rPr>
        <w:t>，</w:t>
      </w:r>
      <w:r w:rsidR="00B40C56">
        <w:rPr>
          <w:rFonts w:hint="eastAsia"/>
          <w:lang w:eastAsia="zh-CN"/>
        </w:rPr>
        <w:t>用以</w:t>
      </w:r>
      <w:r>
        <w:rPr>
          <w:lang w:eastAsia="zh-CN"/>
        </w:rPr>
        <w:t>提供语音终接的基础设施</w:t>
      </w:r>
      <w:r w:rsidR="00B40C56">
        <w:rPr>
          <w:rFonts w:hint="eastAsia"/>
          <w:lang w:eastAsia="zh-CN"/>
        </w:rPr>
        <w:t>将</w:t>
      </w:r>
      <w:r>
        <w:rPr>
          <w:lang w:eastAsia="zh-CN"/>
        </w:rPr>
        <w:t>不再具可持续性</w:t>
      </w:r>
      <w:r>
        <w:rPr>
          <w:rFonts w:hint="eastAsia"/>
          <w:lang w:eastAsia="zh-CN"/>
        </w:rPr>
        <w:t>，</w:t>
      </w:r>
      <w:r w:rsidR="00B40C56">
        <w:rPr>
          <w:rFonts w:hint="eastAsia"/>
          <w:lang w:eastAsia="zh-CN"/>
        </w:rPr>
        <w:t>从而</w:t>
      </w:r>
      <w:r>
        <w:rPr>
          <w:lang w:eastAsia="zh-CN"/>
        </w:rPr>
        <w:t>很可能引发该国电信行业的崩溃</w:t>
      </w:r>
      <w:r>
        <w:rPr>
          <w:rFonts w:hint="eastAsia"/>
          <w:lang w:eastAsia="zh-CN"/>
        </w:rPr>
        <w:t>。</w:t>
      </w:r>
    </w:p>
    <w:p w:rsidR="005D6C15" w:rsidRPr="00F34F8D" w:rsidRDefault="00B40C56" w:rsidP="002A3563">
      <w:pPr>
        <w:snapToGrid w:val="0"/>
        <w:spacing w:after="120"/>
        <w:ind w:firstLineChars="200" w:firstLine="480"/>
        <w:rPr>
          <w:lang w:eastAsia="zh-CN"/>
        </w:rPr>
      </w:pPr>
      <w:r>
        <w:rPr>
          <w:rFonts w:hint="eastAsia"/>
          <w:lang w:eastAsia="zh-CN"/>
        </w:rPr>
        <w:t>由于通过</w:t>
      </w:r>
      <w:r w:rsidR="00AC69FF">
        <w:rPr>
          <w:lang w:eastAsia="zh-CN"/>
        </w:rPr>
        <w:t>虚拟转接路由连接全世界目的地</w:t>
      </w:r>
      <w:r w:rsidR="00F840E8">
        <w:rPr>
          <w:rFonts w:hint="eastAsia"/>
          <w:lang w:eastAsia="zh-CN"/>
        </w:rPr>
        <w:t>已成为一种</w:t>
      </w:r>
      <w:r w:rsidR="00AC69FF">
        <w:rPr>
          <w:lang w:eastAsia="zh-CN"/>
        </w:rPr>
        <w:t>惯例</w:t>
      </w:r>
      <w:r w:rsidR="00AC69FF">
        <w:rPr>
          <w:rFonts w:hint="eastAsia"/>
          <w:lang w:eastAsia="zh-CN"/>
        </w:rPr>
        <w:t>，</w:t>
      </w:r>
      <w:r w:rsidR="00AC69FF" w:rsidRPr="00F34F8D">
        <w:rPr>
          <w:lang w:eastAsia="zh-CN"/>
        </w:rPr>
        <w:t>NTT</w:t>
      </w:r>
      <w:r w:rsidR="00AC69FF">
        <w:rPr>
          <w:lang w:eastAsia="zh-CN"/>
        </w:rPr>
        <w:t>通信公司亦是如此</w:t>
      </w:r>
      <w:r w:rsidR="00AC69FF">
        <w:rPr>
          <w:rFonts w:hint="eastAsia"/>
          <w:lang w:eastAsia="zh-CN"/>
        </w:rPr>
        <w:t>，</w:t>
      </w:r>
      <w:r w:rsidR="00AC69FF">
        <w:rPr>
          <w:lang w:eastAsia="zh-CN"/>
        </w:rPr>
        <w:t>其中一家虚拟转接路由提供商的崩溃将逐渐引发依靠这些运营商的国家间的连锁反应</w:t>
      </w:r>
      <w:r w:rsidR="00AC69FF">
        <w:rPr>
          <w:rFonts w:hint="eastAsia"/>
          <w:lang w:eastAsia="zh-CN"/>
        </w:rPr>
        <w:t>，</w:t>
      </w:r>
      <w:r w:rsidR="00AC69FF">
        <w:rPr>
          <w:lang w:eastAsia="zh-CN"/>
        </w:rPr>
        <w:t>并可能使全球电信网络陷入瘫痪</w:t>
      </w:r>
      <w:r w:rsidR="00AC69FF">
        <w:rPr>
          <w:rFonts w:hint="eastAsia"/>
          <w:lang w:eastAsia="zh-CN"/>
        </w:rPr>
        <w:t>。</w:t>
      </w:r>
    </w:p>
    <w:p w:rsidR="005D6C15" w:rsidRPr="00F34F8D" w:rsidRDefault="00A558E2" w:rsidP="002A3563">
      <w:pPr>
        <w:pStyle w:val="Headingb"/>
        <w:rPr>
          <w:lang w:eastAsia="zh-CN"/>
        </w:rPr>
      </w:pPr>
      <w:r>
        <w:rPr>
          <w:rFonts w:hint="eastAsia"/>
          <w:lang w:eastAsia="zh-CN"/>
        </w:rPr>
        <w:t>《国际电信规则》的原则</w:t>
      </w:r>
    </w:p>
    <w:p w:rsidR="005D6C15" w:rsidRPr="00F34F8D" w:rsidRDefault="00A558E2" w:rsidP="002A3563">
      <w:pPr>
        <w:snapToGrid w:val="0"/>
        <w:spacing w:after="120"/>
        <w:ind w:firstLineChars="200" w:firstLine="480"/>
        <w:rPr>
          <w:lang w:eastAsia="zh-CN"/>
        </w:rPr>
      </w:pPr>
      <w:r>
        <w:rPr>
          <w:rFonts w:hint="eastAsia"/>
          <w:lang w:eastAsia="zh-CN"/>
        </w:rPr>
        <w:t>《国际电信规则》</w:t>
      </w:r>
      <w:r w:rsidR="00F840E8">
        <w:rPr>
          <w:rFonts w:hint="eastAsia"/>
          <w:lang w:eastAsia="zh-CN"/>
        </w:rPr>
        <w:t>不应拘泥于</w:t>
      </w:r>
      <w:r w:rsidR="00B40C56">
        <w:rPr>
          <w:rFonts w:hint="eastAsia"/>
          <w:lang w:eastAsia="zh-CN"/>
        </w:rPr>
        <w:t>运营</w:t>
      </w:r>
      <w:r w:rsidR="00F840E8">
        <w:rPr>
          <w:rFonts w:hint="eastAsia"/>
          <w:lang w:eastAsia="zh-CN"/>
        </w:rPr>
        <w:t>细节，</w:t>
      </w:r>
      <w:r w:rsidR="00B40C56">
        <w:rPr>
          <w:rFonts w:hint="eastAsia"/>
          <w:lang w:eastAsia="zh-CN"/>
        </w:rPr>
        <w:t>而</w:t>
      </w:r>
      <w:r w:rsidR="00A0287E">
        <w:rPr>
          <w:rFonts w:hint="eastAsia"/>
          <w:lang w:eastAsia="zh-CN"/>
        </w:rPr>
        <w:t>必须将此类事项交</w:t>
      </w:r>
      <w:r w:rsidR="00B40C56">
        <w:rPr>
          <w:rFonts w:hint="eastAsia"/>
          <w:lang w:eastAsia="zh-CN"/>
        </w:rPr>
        <w:t>由各</w:t>
      </w:r>
      <w:r w:rsidR="00A0287E">
        <w:rPr>
          <w:rFonts w:hint="eastAsia"/>
          <w:lang w:eastAsia="zh-CN"/>
        </w:rPr>
        <w:t>运营商自行决定。</w:t>
      </w:r>
      <w:r w:rsidR="00B40C56">
        <w:rPr>
          <w:rFonts w:hint="eastAsia"/>
          <w:lang w:eastAsia="zh-CN"/>
        </w:rPr>
        <w:t>各运营商均遵守当地的规则和规定，双方运营商</w:t>
      </w:r>
      <w:r w:rsidR="00F840E8">
        <w:rPr>
          <w:rFonts w:hint="eastAsia"/>
          <w:lang w:eastAsia="zh-CN"/>
        </w:rPr>
        <w:t>在</w:t>
      </w:r>
      <w:r w:rsidR="00A0287E">
        <w:rPr>
          <w:rFonts w:hint="eastAsia"/>
          <w:lang w:eastAsia="zh-CN"/>
        </w:rPr>
        <w:t>这些规则和</w:t>
      </w:r>
      <w:r w:rsidR="00B40C56">
        <w:rPr>
          <w:rFonts w:hint="eastAsia"/>
          <w:lang w:eastAsia="zh-CN"/>
        </w:rPr>
        <w:t>规定的</w:t>
      </w:r>
      <w:r w:rsidR="00F840E8">
        <w:rPr>
          <w:rFonts w:hint="eastAsia"/>
          <w:lang w:eastAsia="zh-CN"/>
        </w:rPr>
        <w:t>基础上</w:t>
      </w:r>
      <w:r w:rsidR="00A0287E">
        <w:rPr>
          <w:rFonts w:hint="eastAsia"/>
          <w:lang w:eastAsia="zh-CN"/>
        </w:rPr>
        <w:t>，拟定充分平衡地体现这些规则的协议。</w:t>
      </w:r>
    </w:p>
    <w:p w:rsidR="005D6C15" w:rsidRPr="00F34F8D" w:rsidRDefault="00A0287E" w:rsidP="002A3563">
      <w:pPr>
        <w:snapToGrid w:val="0"/>
        <w:spacing w:after="120"/>
        <w:ind w:firstLineChars="200" w:firstLine="480"/>
        <w:rPr>
          <w:lang w:eastAsia="zh-CN"/>
        </w:rPr>
      </w:pPr>
      <w:r>
        <w:rPr>
          <w:rFonts w:hint="eastAsia"/>
          <w:lang w:eastAsia="zh-CN"/>
        </w:rPr>
        <w:t>《国际电信规则》一旦开始规范业务细节，业务自由</w:t>
      </w:r>
      <w:r w:rsidR="00B40C56">
        <w:rPr>
          <w:rFonts w:hint="eastAsia"/>
          <w:lang w:eastAsia="zh-CN"/>
        </w:rPr>
        <w:t>就会</w:t>
      </w:r>
      <w:r>
        <w:rPr>
          <w:rFonts w:hint="eastAsia"/>
          <w:lang w:eastAsia="zh-CN"/>
        </w:rPr>
        <w:t>受到阻碍。</w:t>
      </w:r>
      <w:r w:rsidR="005D6C15" w:rsidRPr="00F34F8D">
        <w:rPr>
          <w:lang w:eastAsia="zh-CN"/>
        </w:rPr>
        <w:t xml:space="preserve"> </w:t>
      </w:r>
    </w:p>
    <w:p w:rsidR="005D6C15" w:rsidRPr="00F34F8D" w:rsidRDefault="00A0287E" w:rsidP="002A3563">
      <w:pPr>
        <w:snapToGrid w:val="0"/>
        <w:spacing w:after="120"/>
        <w:ind w:firstLineChars="200" w:firstLine="480"/>
        <w:rPr>
          <w:lang w:eastAsia="zh-CN"/>
        </w:rPr>
      </w:pPr>
      <w:r w:rsidRPr="00F34F8D">
        <w:rPr>
          <w:lang w:eastAsia="zh-CN"/>
        </w:rPr>
        <w:t>NTT</w:t>
      </w:r>
      <w:r>
        <w:rPr>
          <w:lang w:eastAsia="zh-CN"/>
        </w:rPr>
        <w:t>通信公司认为每</w:t>
      </w:r>
      <w:r w:rsidR="00B40C56">
        <w:rPr>
          <w:rFonts w:hint="eastAsia"/>
          <w:lang w:eastAsia="zh-CN"/>
        </w:rPr>
        <w:t>个</w:t>
      </w:r>
      <w:r>
        <w:rPr>
          <w:lang w:eastAsia="zh-CN"/>
        </w:rPr>
        <w:t>运营商的关系和灵活性是当今不断发展的电信行业的重要因素</w:t>
      </w:r>
      <w:r>
        <w:rPr>
          <w:rFonts w:hint="eastAsia"/>
          <w:lang w:eastAsia="zh-CN"/>
        </w:rPr>
        <w:t>，《国际电信规则》应成为推动这一理想愿景实现的基础，</w:t>
      </w:r>
      <w:r w:rsidR="00B40C56">
        <w:rPr>
          <w:rFonts w:hint="eastAsia"/>
          <w:lang w:eastAsia="zh-CN"/>
        </w:rPr>
        <w:t>而</w:t>
      </w:r>
      <w:r w:rsidR="00174FD3">
        <w:rPr>
          <w:rFonts w:hint="eastAsia"/>
          <w:lang w:eastAsia="zh-CN"/>
        </w:rPr>
        <w:t>不应成为障碍。</w:t>
      </w:r>
    </w:p>
    <w:p w:rsidR="005D6C15" w:rsidRPr="00F34F8D" w:rsidRDefault="00174FD3" w:rsidP="002A3563">
      <w:pPr>
        <w:pStyle w:val="Headingb"/>
        <w:rPr>
          <w:lang w:eastAsia="zh-CN"/>
        </w:rPr>
      </w:pPr>
      <w:r>
        <w:rPr>
          <w:lang w:eastAsia="zh-CN"/>
        </w:rPr>
        <w:t>结论</w:t>
      </w:r>
    </w:p>
    <w:p w:rsidR="005411F2" w:rsidRDefault="00A53E80" w:rsidP="002A3563">
      <w:pPr>
        <w:snapToGrid w:val="0"/>
        <w:spacing w:after="120"/>
        <w:ind w:firstLineChars="200" w:firstLine="480"/>
        <w:rPr>
          <w:lang w:eastAsia="zh-CN"/>
        </w:rPr>
      </w:pPr>
      <w:r>
        <w:rPr>
          <w:lang w:eastAsia="zh-CN"/>
        </w:rPr>
        <w:t>在</w:t>
      </w:r>
      <w:r>
        <w:rPr>
          <w:rFonts w:hint="eastAsia"/>
          <w:lang w:eastAsia="zh-CN"/>
        </w:rPr>
        <w:t>《国际电信规则》中</w:t>
      </w:r>
      <w:r w:rsidR="00B40C56">
        <w:rPr>
          <w:rFonts w:hint="eastAsia"/>
          <w:lang w:eastAsia="zh-CN"/>
        </w:rPr>
        <w:t>纳</w:t>
      </w:r>
      <w:r>
        <w:rPr>
          <w:rFonts w:hint="eastAsia"/>
          <w:lang w:eastAsia="zh-CN"/>
        </w:rPr>
        <w:t>入细节化的</w:t>
      </w:r>
      <w:r w:rsidR="00B40C56">
        <w:rPr>
          <w:rFonts w:hint="eastAsia"/>
          <w:lang w:eastAsia="zh-CN"/>
        </w:rPr>
        <w:t>规定</w:t>
      </w:r>
      <w:r>
        <w:rPr>
          <w:rFonts w:hint="eastAsia"/>
          <w:lang w:eastAsia="zh-CN"/>
        </w:rPr>
        <w:t>将限制国际运营商之间的贸易自由，对电信行业和用户产生负面影响，</w:t>
      </w:r>
      <w:r w:rsidRPr="00F34F8D">
        <w:rPr>
          <w:lang w:eastAsia="zh-CN"/>
        </w:rPr>
        <w:t>NTT</w:t>
      </w:r>
      <w:r>
        <w:rPr>
          <w:lang w:eastAsia="zh-CN"/>
        </w:rPr>
        <w:t>通信公司强烈反对修订</w:t>
      </w:r>
      <w:r>
        <w:rPr>
          <w:rFonts w:hint="eastAsia"/>
          <w:lang w:eastAsia="zh-CN"/>
        </w:rPr>
        <w:t>《国际电信规则》。</w:t>
      </w:r>
    </w:p>
    <w:p w:rsidR="00AE17D4" w:rsidRDefault="00AE17D4" w:rsidP="001A2CC0">
      <w:pPr>
        <w:snapToGrid w:val="0"/>
        <w:spacing w:after="120"/>
        <w:rPr>
          <w:lang w:eastAsia="zh-CN"/>
        </w:rPr>
      </w:pPr>
    </w:p>
    <w:p w:rsidR="002A3563" w:rsidRPr="00DD00B4" w:rsidRDefault="002A3563" w:rsidP="001A2CC0">
      <w:pPr>
        <w:snapToGrid w:val="0"/>
        <w:spacing w:after="120"/>
        <w:rPr>
          <w:lang w:eastAsia="zh-CN"/>
        </w:rPr>
      </w:pPr>
    </w:p>
    <w:p w:rsidR="00195FED" w:rsidRDefault="00B40A53" w:rsidP="00B9636C">
      <w:pPr>
        <w:pStyle w:val="ListParagraph"/>
        <w:ind w:left="0"/>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9A" w:rsidRDefault="00911F9A">
      <w:r>
        <w:separator/>
      </w:r>
    </w:p>
  </w:endnote>
  <w:endnote w:type="continuationSeparator" w:id="0">
    <w:p w:rsidR="00911F9A" w:rsidRDefault="0091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AE020D" w:rsidP="004232E3">
    <w:pPr>
      <w:pStyle w:val="Footer"/>
    </w:pPr>
    <w:r>
      <w:fldChar w:fldCharType="begin"/>
    </w:r>
    <w:r>
      <w:instrText xml:space="preserve"> FILENAME \p  \* MERGEFORMAT </w:instrText>
    </w:r>
    <w:r>
      <w:fldChar w:fldCharType="separate"/>
    </w:r>
    <w:r w:rsidR="004232E3">
      <w:t>P:\CHI\SG\CONSEIL\EG-ITR\EG-ITR-2\000\017C.docx</w:t>
    </w:r>
    <w:r>
      <w:fldChar w:fldCharType="end"/>
    </w:r>
    <w:r w:rsidR="0036792E">
      <w:t xml:space="preserve"> (423</w:t>
    </w:r>
    <w:r w:rsidR="004232E3">
      <w:t>406</w:t>
    </w:r>
    <w:r w:rsidR="0036792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E020D" w:rsidRPr="004E4BFF" w:rsidRDefault="00AE020D" w:rsidP="00AE020D">
    <w:pPr>
      <w:pStyle w:val="Footer"/>
    </w:pPr>
    <w:r>
      <w:fldChar w:fldCharType="begin"/>
    </w:r>
    <w:r>
      <w:instrText xml:space="preserve"> FILENAME \p  \* MERGEFORMAT </w:instrText>
    </w:r>
    <w:r>
      <w:fldChar w:fldCharType="separate"/>
    </w:r>
    <w:r>
      <w:t>P:\CHI\SG\CONSEIL\EG-ITR\EG-ITR-2\000\017C.docx</w:t>
    </w:r>
    <w:r>
      <w:fldChar w:fldCharType="end"/>
    </w:r>
    <w:r>
      <w:t xml:space="preserve"> (423406)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9A" w:rsidRDefault="00911F9A">
      <w:r>
        <w:t>____________________</w:t>
      </w:r>
    </w:p>
  </w:footnote>
  <w:footnote w:type="continuationSeparator" w:id="0">
    <w:p w:rsidR="00911F9A" w:rsidRDefault="00911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36792E">
    <w:pPr>
      <w:pStyle w:val="Header"/>
    </w:pPr>
    <w:r>
      <w:fldChar w:fldCharType="begin"/>
    </w:r>
    <w:r>
      <w:instrText>PAGE</w:instrText>
    </w:r>
    <w:r>
      <w:fldChar w:fldCharType="separate"/>
    </w:r>
    <w:r w:rsidR="00AE020D">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9A"/>
    <w:rsid w:val="00001B77"/>
    <w:rsid w:val="0000517A"/>
    <w:rsid w:val="00031E72"/>
    <w:rsid w:val="000404D2"/>
    <w:rsid w:val="00050B65"/>
    <w:rsid w:val="00072857"/>
    <w:rsid w:val="000853C0"/>
    <w:rsid w:val="000A1C21"/>
    <w:rsid w:val="000A7888"/>
    <w:rsid w:val="000D15EA"/>
    <w:rsid w:val="000E14F9"/>
    <w:rsid w:val="00100D84"/>
    <w:rsid w:val="00124C9D"/>
    <w:rsid w:val="00157773"/>
    <w:rsid w:val="00174FD3"/>
    <w:rsid w:val="0018251A"/>
    <w:rsid w:val="00190272"/>
    <w:rsid w:val="00193244"/>
    <w:rsid w:val="00195C6C"/>
    <w:rsid w:val="00195FED"/>
    <w:rsid w:val="00196AC7"/>
    <w:rsid w:val="001A2CC0"/>
    <w:rsid w:val="001A4950"/>
    <w:rsid w:val="001A4BD6"/>
    <w:rsid w:val="001D5A18"/>
    <w:rsid w:val="001E6661"/>
    <w:rsid w:val="00216C10"/>
    <w:rsid w:val="00280EB8"/>
    <w:rsid w:val="002A3563"/>
    <w:rsid w:val="002A6670"/>
    <w:rsid w:val="00303502"/>
    <w:rsid w:val="0031017B"/>
    <w:rsid w:val="00325C25"/>
    <w:rsid w:val="0036792E"/>
    <w:rsid w:val="00372C8F"/>
    <w:rsid w:val="00377A27"/>
    <w:rsid w:val="00380ECE"/>
    <w:rsid w:val="00393DDF"/>
    <w:rsid w:val="00397F55"/>
    <w:rsid w:val="003B4454"/>
    <w:rsid w:val="003C2E37"/>
    <w:rsid w:val="003F1415"/>
    <w:rsid w:val="0040144C"/>
    <w:rsid w:val="00403EB7"/>
    <w:rsid w:val="004142DF"/>
    <w:rsid w:val="004232E3"/>
    <w:rsid w:val="00430BF0"/>
    <w:rsid w:val="004672E6"/>
    <w:rsid w:val="00474ED1"/>
    <w:rsid w:val="00493085"/>
    <w:rsid w:val="004A36EC"/>
    <w:rsid w:val="004D163F"/>
    <w:rsid w:val="004E4BFF"/>
    <w:rsid w:val="004F1528"/>
    <w:rsid w:val="004F2598"/>
    <w:rsid w:val="00516093"/>
    <w:rsid w:val="005403F7"/>
    <w:rsid w:val="00540632"/>
    <w:rsid w:val="005411F2"/>
    <w:rsid w:val="00541CF4"/>
    <w:rsid w:val="0054333F"/>
    <w:rsid w:val="005451E8"/>
    <w:rsid w:val="005507F2"/>
    <w:rsid w:val="00564AEC"/>
    <w:rsid w:val="005759CC"/>
    <w:rsid w:val="005A72E1"/>
    <w:rsid w:val="005C3788"/>
    <w:rsid w:val="005C56A5"/>
    <w:rsid w:val="005C6632"/>
    <w:rsid w:val="005D1C9E"/>
    <w:rsid w:val="005D6C15"/>
    <w:rsid w:val="00654257"/>
    <w:rsid w:val="0065435A"/>
    <w:rsid w:val="00673084"/>
    <w:rsid w:val="00676C2E"/>
    <w:rsid w:val="006A2DD3"/>
    <w:rsid w:val="006A5AF8"/>
    <w:rsid w:val="006B26CD"/>
    <w:rsid w:val="006C36CD"/>
    <w:rsid w:val="006D3C66"/>
    <w:rsid w:val="00700D1F"/>
    <w:rsid w:val="00710C50"/>
    <w:rsid w:val="007205CB"/>
    <w:rsid w:val="00726073"/>
    <w:rsid w:val="00734FE8"/>
    <w:rsid w:val="007360CE"/>
    <w:rsid w:val="00737172"/>
    <w:rsid w:val="00772315"/>
    <w:rsid w:val="00775157"/>
    <w:rsid w:val="007813AE"/>
    <w:rsid w:val="0078635B"/>
    <w:rsid w:val="007A37DB"/>
    <w:rsid w:val="007E189D"/>
    <w:rsid w:val="00811259"/>
    <w:rsid w:val="00813AA2"/>
    <w:rsid w:val="008173A3"/>
    <w:rsid w:val="0086059C"/>
    <w:rsid w:val="00864589"/>
    <w:rsid w:val="00867B24"/>
    <w:rsid w:val="0088515E"/>
    <w:rsid w:val="00890AFB"/>
    <w:rsid w:val="00890FC4"/>
    <w:rsid w:val="00895905"/>
    <w:rsid w:val="008A0E76"/>
    <w:rsid w:val="009005FB"/>
    <w:rsid w:val="00911F9A"/>
    <w:rsid w:val="009164A9"/>
    <w:rsid w:val="009258CB"/>
    <w:rsid w:val="0093362E"/>
    <w:rsid w:val="00944563"/>
    <w:rsid w:val="00953160"/>
    <w:rsid w:val="009625D8"/>
    <w:rsid w:val="00963F1F"/>
    <w:rsid w:val="0098459B"/>
    <w:rsid w:val="00997185"/>
    <w:rsid w:val="009C2458"/>
    <w:rsid w:val="009C4A7B"/>
    <w:rsid w:val="009C6123"/>
    <w:rsid w:val="009D6B2C"/>
    <w:rsid w:val="009F1E3E"/>
    <w:rsid w:val="00A0287E"/>
    <w:rsid w:val="00A0739D"/>
    <w:rsid w:val="00A1213C"/>
    <w:rsid w:val="00A272FF"/>
    <w:rsid w:val="00A30900"/>
    <w:rsid w:val="00A31EB2"/>
    <w:rsid w:val="00A5354B"/>
    <w:rsid w:val="00A53E80"/>
    <w:rsid w:val="00A558E2"/>
    <w:rsid w:val="00AB42C1"/>
    <w:rsid w:val="00AC516F"/>
    <w:rsid w:val="00AC69FF"/>
    <w:rsid w:val="00AD348C"/>
    <w:rsid w:val="00AE020D"/>
    <w:rsid w:val="00AE17D4"/>
    <w:rsid w:val="00AE2926"/>
    <w:rsid w:val="00B000B7"/>
    <w:rsid w:val="00B0184B"/>
    <w:rsid w:val="00B035CD"/>
    <w:rsid w:val="00B0769D"/>
    <w:rsid w:val="00B106E6"/>
    <w:rsid w:val="00B217F8"/>
    <w:rsid w:val="00B332EA"/>
    <w:rsid w:val="00B40A53"/>
    <w:rsid w:val="00B40C56"/>
    <w:rsid w:val="00B45365"/>
    <w:rsid w:val="00B46A65"/>
    <w:rsid w:val="00B60184"/>
    <w:rsid w:val="00B62D20"/>
    <w:rsid w:val="00B66A35"/>
    <w:rsid w:val="00B81E75"/>
    <w:rsid w:val="00B9636C"/>
    <w:rsid w:val="00BD1A5A"/>
    <w:rsid w:val="00BD7A9B"/>
    <w:rsid w:val="00BD7BE1"/>
    <w:rsid w:val="00BF416B"/>
    <w:rsid w:val="00C15105"/>
    <w:rsid w:val="00C61483"/>
    <w:rsid w:val="00C64E4E"/>
    <w:rsid w:val="00C66E64"/>
    <w:rsid w:val="00C761A0"/>
    <w:rsid w:val="00C85F7E"/>
    <w:rsid w:val="00CD47F0"/>
    <w:rsid w:val="00CD5566"/>
    <w:rsid w:val="00CD64D7"/>
    <w:rsid w:val="00CE6F22"/>
    <w:rsid w:val="00CF41F6"/>
    <w:rsid w:val="00CF7D3E"/>
    <w:rsid w:val="00D02B4E"/>
    <w:rsid w:val="00D16E16"/>
    <w:rsid w:val="00D17BB6"/>
    <w:rsid w:val="00D36817"/>
    <w:rsid w:val="00D5666C"/>
    <w:rsid w:val="00D666BC"/>
    <w:rsid w:val="00D75B7A"/>
    <w:rsid w:val="00D81264"/>
    <w:rsid w:val="00D83542"/>
    <w:rsid w:val="00D92F45"/>
    <w:rsid w:val="00D94637"/>
    <w:rsid w:val="00D9725C"/>
    <w:rsid w:val="00DA7006"/>
    <w:rsid w:val="00DC6427"/>
    <w:rsid w:val="00DD00B4"/>
    <w:rsid w:val="00DD66A1"/>
    <w:rsid w:val="00DE196D"/>
    <w:rsid w:val="00DF6B49"/>
    <w:rsid w:val="00E067C5"/>
    <w:rsid w:val="00E265BF"/>
    <w:rsid w:val="00E378D8"/>
    <w:rsid w:val="00E43A12"/>
    <w:rsid w:val="00E66085"/>
    <w:rsid w:val="00E67C67"/>
    <w:rsid w:val="00E77476"/>
    <w:rsid w:val="00E8228B"/>
    <w:rsid w:val="00ED61BC"/>
    <w:rsid w:val="00EE5706"/>
    <w:rsid w:val="00EF373D"/>
    <w:rsid w:val="00F041AA"/>
    <w:rsid w:val="00F11595"/>
    <w:rsid w:val="00F13BC9"/>
    <w:rsid w:val="00F22506"/>
    <w:rsid w:val="00F357B2"/>
    <w:rsid w:val="00F36556"/>
    <w:rsid w:val="00F705DF"/>
    <w:rsid w:val="00F70622"/>
    <w:rsid w:val="00F840E8"/>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0703AF7-94BF-4E51-A43A-9EB80533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F041A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NormalWeb">
    <w:name w:val="Normal (Web)"/>
    <w:basedOn w:val="Normal"/>
    <w:uiPriority w:val="99"/>
    <w:unhideWhenUsed/>
    <w:rsid w:val="00543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AU" w:eastAsia="en-AU"/>
    </w:rPr>
  </w:style>
  <w:style w:type="paragraph" w:styleId="BalloonText">
    <w:name w:val="Balloon Text"/>
    <w:basedOn w:val="Normal"/>
    <w:link w:val="BalloonTextChar"/>
    <w:semiHidden/>
    <w:unhideWhenUsed/>
    <w:rsid w:val="00B106E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106E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E672-B535-4968-B4EB-37503F7C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2</Pages>
  <Words>1409</Words>
  <Characters>157</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Yuan, Tianxiang</cp:lastModifiedBy>
  <cp:revision>4</cp:revision>
  <cp:lastPrinted>2015-02-24T13:23:00Z</cp:lastPrinted>
  <dcterms:created xsi:type="dcterms:W3CDTF">2017-09-11T15:03:00Z</dcterms:created>
  <dcterms:modified xsi:type="dcterms:W3CDTF">2017-09-11T15:06:00Z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