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C26F65" w:rsidRPr="0087410A">
        <w:trPr>
          <w:cantSplit/>
        </w:trPr>
        <w:tc>
          <w:tcPr>
            <w:tcW w:w="6912" w:type="dxa"/>
          </w:tcPr>
          <w:p w:rsidR="00C26F65" w:rsidRPr="0087410A" w:rsidRDefault="00C26F65" w:rsidP="00C26F65">
            <w:pPr>
              <w:spacing w:before="360"/>
              <w:rPr>
                <w:szCs w:val="24"/>
              </w:rPr>
            </w:pPr>
            <w:bookmarkStart w:id="0" w:name="dbluepink" w:colFirst="0" w:colLast="0"/>
            <w:r w:rsidRPr="0087410A">
              <w:rPr>
                <w:rFonts w:eastAsia="Calibri" w:cs="Calibri"/>
                <w:b/>
                <w:bCs/>
                <w:color w:val="000000"/>
                <w:position w:val="6"/>
                <w:sz w:val="30"/>
                <w:szCs w:val="30"/>
              </w:rPr>
              <w:t xml:space="preserve">Grupo de Expertos sobre el Reglamento de las </w:t>
            </w:r>
            <w:r w:rsidRPr="0087410A">
              <w:rPr>
                <w:rFonts w:eastAsia="Calibri" w:cs="Calibri"/>
                <w:b/>
                <w:bCs/>
                <w:color w:val="000000"/>
                <w:position w:val="6"/>
                <w:sz w:val="30"/>
                <w:szCs w:val="30"/>
              </w:rPr>
              <w:br/>
              <w:t>Telecomunicaciones Internacionales (GE-RTI)</w:t>
            </w:r>
          </w:p>
        </w:tc>
        <w:tc>
          <w:tcPr>
            <w:tcW w:w="3261" w:type="dxa"/>
          </w:tcPr>
          <w:p w:rsidR="00C26F65" w:rsidRPr="0087410A" w:rsidRDefault="00C26F65" w:rsidP="00C26F65">
            <w:pPr>
              <w:spacing w:before="0"/>
              <w:jc w:val="right"/>
              <w:rPr>
                <w:szCs w:val="24"/>
              </w:rPr>
            </w:pPr>
            <w:bookmarkStart w:id="1" w:name="ditulogo"/>
            <w:bookmarkEnd w:id="1"/>
            <w:r w:rsidRPr="0087410A">
              <w:rPr>
                <w:rFonts w:cstheme="minorHAnsi"/>
                <w:b/>
                <w:bCs/>
                <w:noProof/>
                <w:szCs w:val="24"/>
                <w:lang w:eastAsia="zh-CN"/>
              </w:rPr>
              <w:drawing>
                <wp:inline distT="0" distB="0" distL="0" distR="0" wp14:anchorId="279A9AA6" wp14:editId="712B9729">
                  <wp:extent cx="1771650" cy="695325"/>
                  <wp:effectExtent l="0" t="0" r="0" b="9525"/>
                  <wp:docPr id="2" name="Picture 2"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C26F65" w:rsidRPr="0087410A">
        <w:trPr>
          <w:cantSplit/>
          <w:trHeight w:val="20"/>
        </w:trPr>
        <w:tc>
          <w:tcPr>
            <w:tcW w:w="10173" w:type="dxa"/>
            <w:gridSpan w:val="2"/>
            <w:tcBorders>
              <w:bottom w:val="single" w:sz="12" w:space="0" w:color="auto"/>
            </w:tcBorders>
          </w:tcPr>
          <w:p w:rsidR="00C26F65" w:rsidRPr="0087410A" w:rsidRDefault="00F869A6" w:rsidP="00F869A6">
            <w:pPr>
              <w:spacing w:before="0"/>
              <w:rPr>
                <w:b/>
                <w:bCs/>
                <w:szCs w:val="24"/>
              </w:rPr>
            </w:pPr>
            <w:r w:rsidRPr="0087410A">
              <w:rPr>
                <w:rFonts w:eastAsia="Calibri" w:cs="Calibri"/>
                <w:b/>
                <w:color w:val="000000"/>
                <w:szCs w:val="24"/>
              </w:rPr>
              <w:t>Segunda</w:t>
            </w:r>
            <w:r w:rsidR="00C26F65" w:rsidRPr="0087410A">
              <w:rPr>
                <w:rFonts w:eastAsia="Calibri" w:cs="Calibri"/>
                <w:b/>
                <w:color w:val="000000"/>
                <w:szCs w:val="24"/>
              </w:rPr>
              <w:t xml:space="preserve"> reunión – Ginebra, </w:t>
            </w:r>
            <w:r w:rsidRPr="0087410A">
              <w:rPr>
                <w:rFonts w:eastAsia="Calibri" w:cs="Calibri"/>
                <w:b/>
                <w:color w:val="000000"/>
                <w:szCs w:val="24"/>
              </w:rPr>
              <w:t>13-15 de septiembre</w:t>
            </w:r>
            <w:r w:rsidR="00C26F65" w:rsidRPr="0087410A">
              <w:rPr>
                <w:rFonts w:eastAsia="Calibri" w:cs="Calibri"/>
                <w:b/>
                <w:color w:val="000000"/>
                <w:szCs w:val="24"/>
              </w:rPr>
              <w:t xml:space="preserve"> de 2017</w:t>
            </w:r>
          </w:p>
        </w:tc>
      </w:tr>
      <w:tr w:rsidR="00C26F65" w:rsidRPr="0087410A">
        <w:trPr>
          <w:cantSplit/>
          <w:trHeight w:val="20"/>
        </w:trPr>
        <w:tc>
          <w:tcPr>
            <w:tcW w:w="6912" w:type="dxa"/>
            <w:tcBorders>
              <w:top w:val="single" w:sz="12" w:space="0" w:color="auto"/>
            </w:tcBorders>
          </w:tcPr>
          <w:p w:rsidR="00C26F65" w:rsidRPr="0087410A" w:rsidRDefault="00C26F65">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rsidR="00C26F65" w:rsidRPr="0087410A" w:rsidRDefault="00C26F65">
            <w:pPr>
              <w:spacing w:before="0"/>
              <w:rPr>
                <w:b/>
                <w:bCs/>
                <w:szCs w:val="24"/>
              </w:rPr>
            </w:pPr>
          </w:p>
        </w:tc>
      </w:tr>
      <w:tr w:rsidR="00C26F65" w:rsidRPr="0087410A">
        <w:trPr>
          <w:cantSplit/>
          <w:trHeight w:val="20"/>
        </w:trPr>
        <w:tc>
          <w:tcPr>
            <w:tcW w:w="6912" w:type="dxa"/>
            <w:shd w:val="clear" w:color="auto" w:fill="auto"/>
          </w:tcPr>
          <w:p w:rsidR="00C26F65" w:rsidRPr="0087410A" w:rsidRDefault="00C26F65">
            <w:pPr>
              <w:tabs>
                <w:tab w:val="clear" w:pos="2268"/>
                <w:tab w:val="left" w:pos="1560"/>
                <w:tab w:val="left" w:pos="2269"/>
                <w:tab w:val="left" w:pos="3544"/>
                <w:tab w:val="left" w:pos="3969"/>
              </w:tabs>
              <w:spacing w:before="0" w:line="240" w:lineRule="atLeast"/>
              <w:rPr>
                <w:rFonts w:cs="Times"/>
                <w:b/>
                <w:szCs w:val="24"/>
              </w:rPr>
            </w:pPr>
            <w:bookmarkStart w:id="2" w:name="dnum" w:colFirst="1" w:colLast="1"/>
            <w:bookmarkStart w:id="3" w:name="dmeeting" w:colFirst="0" w:colLast="0"/>
          </w:p>
        </w:tc>
        <w:tc>
          <w:tcPr>
            <w:tcW w:w="3261" w:type="dxa"/>
          </w:tcPr>
          <w:p w:rsidR="00C26F65" w:rsidRPr="0087410A" w:rsidRDefault="00C26F65" w:rsidP="00573C91">
            <w:pPr>
              <w:spacing w:before="0"/>
              <w:rPr>
                <w:b/>
                <w:bCs/>
                <w:szCs w:val="24"/>
              </w:rPr>
            </w:pPr>
            <w:r w:rsidRPr="0087410A">
              <w:rPr>
                <w:b/>
              </w:rPr>
              <w:t>Documento EG-ITRs</w:t>
            </w:r>
            <w:r w:rsidR="00B174F9" w:rsidRPr="0087410A">
              <w:rPr>
                <w:b/>
              </w:rPr>
              <w:t>-</w:t>
            </w:r>
            <w:r w:rsidR="00F869A6" w:rsidRPr="0087410A">
              <w:rPr>
                <w:b/>
              </w:rPr>
              <w:t>2</w:t>
            </w:r>
            <w:r w:rsidRPr="0087410A">
              <w:rPr>
                <w:b/>
              </w:rPr>
              <w:t>/</w:t>
            </w:r>
            <w:r w:rsidR="00924784" w:rsidRPr="0087410A">
              <w:rPr>
                <w:b/>
              </w:rPr>
              <w:t>1</w:t>
            </w:r>
            <w:r w:rsidR="00573C91" w:rsidRPr="0087410A">
              <w:rPr>
                <w:b/>
              </w:rPr>
              <w:t>6</w:t>
            </w:r>
            <w:r w:rsidRPr="0087410A">
              <w:rPr>
                <w:b/>
              </w:rPr>
              <w:t>-S</w:t>
            </w:r>
          </w:p>
        </w:tc>
      </w:tr>
      <w:tr w:rsidR="00C26F65" w:rsidRPr="0087410A">
        <w:trPr>
          <w:cantSplit/>
          <w:trHeight w:val="20"/>
        </w:trPr>
        <w:tc>
          <w:tcPr>
            <w:tcW w:w="6912" w:type="dxa"/>
            <w:shd w:val="clear" w:color="auto" w:fill="auto"/>
          </w:tcPr>
          <w:p w:rsidR="00C26F65" w:rsidRPr="0087410A" w:rsidRDefault="00C26F65">
            <w:pPr>
              <w:shd w:val="solid" w:color="FFFFFF" w:fill="FFFFFF"/>
              <w:spacing w:before="0"/>
              <w:rPr>
                <w:smallCaps/>
                <w:szCs w:val="24"/>
              </w:rPr>
            </w:pPr>
            <w:bookmarkStart w:id="4" w:name="ddate" w:colFirst="1" w:colLast="1"/>
            <w:bookmarkEnd w:id="2"/>
            <w:bookmarkEnd w:id="3"/>
          </w:p>
        </w:tc>
        <w:tc>
          <w:tcPr>
            <w:tcW w:w="3261" w:type="dxa"/>
          </w:tcPr>
          <w:p w:rsidR="00C26F65" w:rsidRPr="0087410A" w:rsidRDefault="00573C91" w:rsidP="00881C9C">
            <w:pPr>
              <w:spacing w:before="0"/>
              <w:rPr>
                <w:b/>
                <w:bCs/>
                <w:szCs w:val="24"/>
              </w:rPr>
            </w:pPr>
            <w:r w:rsidRPr="0087410A">
              <w:rPr>
                <w:rFonts w:eastAsia="Calibri" w:cs="Calibri"/>
                <w:b/>
                <w:color w:val="000000"/>
                <w:szCs w:val="24"/>
              </w:rPr>
              <w:t>1 de septiembre de 2017</w:t>
            </w:r>
          </w:p>
        </w:tc>
      </w:tr>
      <w:tr w:rsidR="00C26F65" w:rsidRPr="0087410A">
        <w:trPr>
          <w:cantSplit/>
          <w:trHeight w:val="20"/>
        </w:trPr>
        <w:tc>
          <w:tcPr>
            <w:tcW w:w="6912" w:type="dxa"/>
            <w:shd w:val="clear" w:color="auto" w:fill="auto"/>
          </w:tcPr>
          <w:p w:rsidR="00C26F65" w:rsidRPr="0087410A" w:rsidRDefault="00C26F65">
            <w:pPr>
              <w:shd w:val="solid" w:color="FFFFFF" w:fill="FFFFFF"/>
              <w:spacing w:before="0"/>
              <w:rPr>
                <w:smallCaps/>
                <w:szCs w:val="24"/>
              </w:rPr>
            </w:pPr>
            <w:bookmarkStart w:id="5" w:name="dorlang" w:colFirst="1" w:colLast="1"/>
            <w:bookmarkEnd w:id="4"/>
          </w:p>
        </w:tc>
        <w:tc>
          <w:tcPr>
            <w:tcW w:w="3261" w:type="dxa"/>
          </w:tcPr>
          <w:p w:rsidR="00C26F65" w:rsidRPr="0087410A" w:rsidRDefault="00C26F65" w:rsidP="00881C9C">
            <w:pPr>
              <w:spacing w:before="0"/>
              <w:rPr>
                <w:b/>
                <w:bCs/>
                <w:szCs w:val="24"/>
              </w:rPr>
            </w:pPr>
            <w:r w:rsidRPr="0087410A">
              <w:rPr>
                <w:b/>
                <w:bCs/>
                <w:szCs w:val="24"/>
              </w:rPr>
              <w:t xml:space="preserve">Original: </w:t>
            </w:r>
            <w:r w:rsidR="00B454DB" w:rsidRPr="0087410A">
              <w:rPr>
                <w:b/>
              </w:rPr>
              <w:t>inglés</w:t>
            </w:r>
          </w:p>
        </w:tc>
      </w:tr>
      <w:tr w:rsidR="00C26F65" w:rsidRPr="0087410A">
        <w:trPr>
          <w:cantSplit/>
        </w:trPr>
        <w:tc>
          <w:tcPr>
            <w:tcW w:w="10173" w:type="dxa"/>
            <w:gridSpan w:val="2"/>
          </w:tcPr>
          <w:p w:rsidR="00C26F65" w:rsidRPr="0087410A" w:rsidRDefault="00573C91" w:rsidP="00924784">
            <w:pPr>
              <w:pStyle w:val="Normal1"/>
              <w:spacing w:before="600"/>
              <w:jc w:val="center"/>
              <w:rPr>
                <w:rFonts w:asciiTheme="minorHAnsi" w:hAnsiTheme="minorHAnsi" w:cs="Times New Roman"/>
                <w:b/>
                <w:sz w:val="28"/>
                <w:szCs w:val="28"/>
                <w:lang w:val="es-ES_tradnl"/>
              </w:rPr>
            </w:pPr>
            <w:bookmarkStart w:id="6" w:name="dsource" w:colFirst="0" w:colLast="0"/>
            <w:bookmarkEnd w:id="0"/>
            <w:bookmarkEnd w:id="5"/>
            <w:r w:rsidRPr="0087410A">
              <w:rPr>
                <w:b/>
                <w:sz w:val="28"/>
                <w:szCs w:val="28"/>
                <w:lang w:val="es-ES_tradnl"/>
              </w:rPr>
              <w:t>Contribución de Australia</w:t>
            </w:r>
          </w:p>
        </w:tc>
      </w:tr>
      <w:tr w:rsidR="00C26F65" w:rsidRPr="0087410A">
        <w:trPr>
          <w:cantSplit/>
        </w:trPr>
        <w:tc>
          <w:tcPr>
            <w:tcW w:w="10173" w:type="dxa"/>
            <w:gridSpan w:val="2"/>
          </w:tcPr>
          <w:p w:rsidR="00C26F65" w:rsidRPr="0087410A" w:rsidRDefault="00C26F65" w:rsidP="00573C91">
            <w:pPr>
              <w:pStyle w:val="Title1"/>
              <w:spacing w:before="0"/>
            </w:pPr>
            <w:bookmarkStart w:id="7" w:name="dtitle1" w:colFirst="0" w:colLast="0"/>
            <w:bookmarkEnd w:id="6"/>
          </w:p>
        </w:tc>
      </w:tr>
    </w:tbl>
    <w:bookmarkEnd w:id="7"/>
    <w:p w:rsidR="00573C91" w:rsidRPr="0087410A" w:rsidRDefault="00573C91" w:rsidP="00573C91">
      <w:pPr>
        <w:pStyle w:val="Headingb"/>
        <w:rPr>
          <w:rFonts w:eastAsia="MS Mincho"/>
        </w:rPr>
      </w:pPr>
      <w:r w:rsidRPr="0087410A">
        <w:rPr>
          <w:rFonts w:eastAsia="MS Mincho"/>
        </w:rPr>
        <w:t>Introducción</w:t>
      </w:r>
    </w:p>
    <w:p w:rsidR="00573C91" w:rsidRPr="0087410A" w:rsidRDefault="00573C91" w:rsidP="00573C91">
      <w:pPr>
        <w:snapToGrid w:val="0"/>
        <w:spacing w:after="120"/>
        <w:rPr>
          <w:rFonts w:eastAsia="MS Mincho"/>
          <w:szCs w:val="24"/>
        </w:rPr>
      </w:pPr>
      <w:r w:rsidRPr="0087410A">
        <w:rPr>
          <w:rFonts w:eastAsia="MS Mincho"/>
          <w:szCs w:val="24"/>
        </w:rPr>
        <w:t xml:space="preserve">Australia acoge con agrado la oportunidad de aportar una contribución a la segunda reunión del Grupo de Expertos sobre el Reglamento de las Telecomunicaciones Internacionales (RTI), y agradece las contribuciones presentadas y los debates celebrados hasta la fecha. También aprovechamos esta oportunidad para reconocer los esfuerzos desplegados por el Presidente y los Vicepresidentes para centrar y desarrollar la labor del Grupo </w:t>
      </w:r>
      <w:r w:rsidR="00C10BB5" w:rsidRPr="0087410A">
        <w:rPr>
          <w:rFonts w:eastAsia="MS Mincho"/>
          <w:szCs w:val="24"/>
        </w:rPr>
        <w:t>de Expertos.</w:t>
      </w:r>
    </w:p>
    <w:p w:rsidR="00573C91" w:rsidRPr="0087410A" w:rsidRDefault="00573C91" w:rsidP="00573C91">
      <w:pPr>
        <w:snapToGrid w:val="0"/>
        <w:spacing w:after="120"/>
        <w:rPr>
          <w:rFonts w:eastAsia="MS Mincho"/>
          <w:szCs w:val="24"/>
        </w:rPr>
      </w:pPr>
      <w:r w:rsidRPr="0087410A">
        <w:rPr>
          <w:rFonts w:eastAsia="MS Mincho"/>
          <w:szCs w:val="24"/>
        </w:rPr>
        <w:t>Australia no es signataria de las Actas Finales de la Conferencia Mundial de Telecomunicaciones Internacionales (CMTI-12), y no es conocedora de ninguna inquietud en relación con la coexistenci</w:t>
      </w:r>
      <w:r w:rsidR="00C10BB5" w:rsidRPr="0087410A">
        <w:rPr>
          <w:rFonts w:eastAsia="MS Mincho"/>
          <w:szCs w:val="24"/>
        </w:rPr>
        <w:t>a del RTI de 1988 y el de 2012.</w:t>
      </w:r>
    </w:p>
    <w:p w:rsidR="00573C91" w:rsidRPr="0087410A" w:rsidRDefault="00573C91" w:rsidP="00573C91">
      <w:pPr>
        <w:overflowPunct/>
        <w:autoSpaceDE/>
        <w:autoSpaceDN/>
        <w:adjustRightInd/>
        <w:snapToGrid w:val="0"/>
        <w:spacing w:after="120"/>
        <w:textAlignment w:val="auto"/>
        <w:rPr>
          <w:rFonts w:eastAsia="Calibri" w:cs="Arial"/>
          <w:szCs w:val="24"/>
        </w:rPr>
      </w:pPr>
      <w:r w:rsidRPr="0087410A">
        <w:rPr>
          <w:rFonts w:eastAsia="Calibri" w:cs="Arial"/>
          <w:szCs w:val="24"/>
        </w:rPr>
        <w:t>Cuando se adoptó el RTI en 1988, la mayoría de los operadores de telecomunicaciones eran empresas estatales, y se requería un tratado internacional para dar a los operadores de telecomunicaciones privados un marco mundial de referencia que velara por la interoperabilidad y garantizar el flujo de ingresos. Desde entonces, el panorama de las telecomunicaciones ha evolucionado. Las funciones básicas del RTI, como son el establecimiento de principios para la prestación de telecomunicaciones internacionales y el fomento de la interconexión y la interoperabilidad a escala mundial, se cumplen ahora a través de otros mecanismos. La adopción de marcos políticos apropiados, la promoción de la inversión en infraestructura y los mercados competitivos han contribuido al éxito de la implantación y la utilización de la</w:t>
      </w:r>
      <w:r w:rsidR="00C10BB5" w:rsidRPr="0087410A">
        <w:rPr>
          <w:rFonts w:eastAsia="Calibri" w:cs="Arial"/>
          <w:szCs w:val="24"/>
        </w:rPr>
        <w:t>s telecomunicaciones y las TIC.</w:t>
      </w:r>
    </w:p>
    <w:p w:rsidR="00573C91" w:rsidRPr="0087410A" w:rsidRDefault="00573C91" w:rsidP="00573C91">
      <w:pPr>
        <w:snapToGrid w:val="0"/>
        <w:spacing w:after="120"/>
        <w:rPr>
          <w:rFonts w:eastAsia="MS Mincho"/>
          <w:szCs w:val="24"/>
        </w:rPr>
      </w:pPr>
      <w:r w:rsidRPr="0087410A">
        <w:rPr>
          <w:rFonts w:eastAsia="MS Mincho"/>
          <w:szCs w:val="24"/>
        </w:rPr>
        <w:t>Australia sigue considerando que el RTI debe mantenerse centrado en la interconexión de las redes de telecomunicaciones internacionales, y no debe abarcar cuestiones como las relativas a Inter</w:t>
      </w:r>
      <w:r w:rsidR="00C10BB5" w:rsidRPr="0087410A">
        <w:rPr>
          <w:rFonts w:eastAsia="MS Mincho"/>
          <w:szCs w:val="24"/>
        </w:rPr>
        <w:t>net.</w:t>
      </w:r>
    </w:p>
    <w:p w:rsidR="00573C91" w:rsidRPr="0087410A" w:rsidRDefault="00573C91" w:rsidP="00573C91">
      <w:pPr>
        <w:snapToGrid w:val="0"/>
        <w:spacing w:after="120"/>
        <w:rPr>
          <w:rFonts w:eastAsia="MS Mincho"/>
          <w:szCs w:val="24"/>
        </w:rPr>
      </w:pPr>
      <w:r w:rsidRPr="0087410A">
        <w:rPr>
          <w:rFonts w:eastAsia="MS Mincho"/>
          <w:szCs w:val="24"/>
        </w:rPr>
        <w:t>Australia considera que iniciar una revisión del RTI podría detraer valioso</w:t>
      </w:r>
      <w:r w:rsidR="00175F68">
        <w:rPr>
          <w:rFonts w:eastAsia="MS Mincho"/>
          <w:szCs w:val="24"/>
        </w:rPr>
        <w:t>s</w:t>
      </w:r>
      <w:r w:rsidRPr="0087410A">
        <w:rPr>
          <w:rFonts w:eastAsia="MS Mincho"/>
          <w:szCs w:val="24"/>
        </w:rPr>
        <w:t xml:space="preserve"> recursos de la UIT y de los miembros de otras áreas prioritarias como la implementación de los resultados de la próxima Conferencia Mundial de Desarrollo de las Telecomunicaciones (CMDT-17), avanzar en relación con la Agenda Conectar 2030, apoyar el logro de los Objetivos de Desarrollo Sostenible (ODS) y la implementación del examen decenal de la Cumbre Mundial sobre la Sociedad de la Información (CMSI+10) y las líneas de acci</w:t>
      </w:r>
      <w:r w:rsidR="00C10BB5" w:rsidRPr="0087410A">
        <w:rPr>
          <w:rFonts w:eastAsia="MS Mincho"/>
          <w:szCs w:val="24"/>
        </w:rPr>
        <w:t>ón asociadas.</w:t>
      </w:r>
    </w:p>
    <w:p w:rsidR="00573C91" w:rsidRPr="0087410A" w:rsidRDefault="00573C91" w:rsidP="00573C91">
      <w:pPr>
        <w:snapToGrid w:val="0"/>
        <w:spacing w:after="120"/>
        <w:rPr>
          <w:rFonts w:eastAsia="MS Mincho"/>
          <w:szCs w:val="24"/>
        </w:rPr>
      </w:pPr>
      <w:r w:rsidRPr="0087410A">
        <w:rPr>
          <w:rFonts w:eastAsia="MS Mincho"/>
          <w:szCs w:val="24"/>
        </w:rPr>
        <w:t xml:space="preserve">Australia desea asegurar que la Unión y los miembros se encuentran en una buena posición para avanzar en la labor de la UIT para promover la conectividad, el acceso a la infraestructura y la capacitación para colmar la brecha digital. Esperamos seguir trabajando con los miembros y, cuando corresponda, con otras organizaciones </w:t>
      </w:r>
      <w:r w:rsidRPr="0087410A">
        <w:rPr>
          <w:rFonts w:eastAsia="MS Mincho"/>
          <w:szCs w:val="24"/>
        </w:rPr>
        <w:t>para alcanzar estas metas.</w:t>
      </w:r>
      <w:bookmarkStart w:id="8" w:name="_GoBack"/>
      <w:bookmarkEnd w:id="8"/>
    </w:p>
    <w:p w:rsidR="0037150E" w:rsidRPr="0087410A" w:rsidRDefault="0037150E">
      <w:pPr>
        <w:jc w:val="center"/>
      </w:pPr>
      <w:r w:rsidRPr="0087410A">
        <w:t>______________</w:t>
      </w:r>
    </w:p>
    <w:sectPr w:rsidR="0037150E" w:rsidRPr="0087410A" w:rsidSect="006710F6">
      <w:headerReference w:type="default" r:id="rId8"/>
      <w:footerReference w:type="default" r:id="rId9"/>
      <w:footerReference w:type="first" r:id="rId1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F65" w:rsidRDefault="00C26F65">
      <w:r>
        <w:separator/>
      </w:r>
    </w:p>
  </w:endnote>
  <w:endnote w:type="continuationSeparator" w:id="0">
    <w:p w:rsidR="00C26F65" w:rsidRDefault="00C26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Default="001A06A1" w:rsidP="00924784">
    <w:pPr>
      <w:pStyle w:val="Footer"/>
      <w:rPr>
        <w:lang w:val="en-US"/>
      </w:rPr>
    </w:pPr>
    <w:r>
      <w:fldChar w:fldCharType="begin"/>
    </w:r>
    <w:r w:rsidRPr="00B174F9">
      <w:rPr>
        <w:lang w:val="en-US"/>
      </w:rPr>
      <w:instrText xml:space="preserve"> FILENAME \p  \* MERGEFORMAT </w:instrText>
    </w:r>
    <w:r>
      <w:fldChar w:fldCharType="separate"/>
    </w:r>
    <w:r w:rsidR="00924784">
      <w:rPr>
        <w:lang w:val="en-US"/>
      </w:rPr>
      <w:t>P:\ESP\SG\CONSEIL\EG-ITR\EG-ITR-2\000\011S.docx</w:t>
    </w:r>
    <w:r>
      <w:fldChar w:fldCharType="end"/>
    </w:r>
    <w:r w:rsidR="00B174F9">
      <w:t xml:space="preserve"> (</w:t>
    </w:r>
    <w:r w:rsidR="00924784">
      <w:t>423139</w:t>
    </w:r>
    <w:r w:rsidR="00B174F9">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4F9" w:rsidRDefault="00B174F9" w:rsidP="00B174F9">
    <w:pPr>
      <w:spacing w:after="120"/>
      <w:jc w:val="center"/>
    </w:pPr>
    <w:r>
      <w:t xml:space="preserve">• </w:t>
    </w:r>
    <w:hyperlink r:id="rId1" w:history="1">
      <w:r>
        <w:rPr>
          <w:rStyle w:val="Hyperlink"/>
        </w:rPr>
        <w:t>http://www.itu.int/council</w:t>
      </w:r>
    </w:hyperlink>
    <w:r>
      <w:t xml:space="preserve"> •</w:t>
    </w:r>
  </w:p>
  <w:p w:rsidR="00E857AB" w:rsidRDefault="00E857AB" w:rsidP="00E857AB">
    <w:pPr>
      <w:pStyle w:val="Footer"/>
    </w:pPr>
    <w:fldSimple w:instr=" FILENAME \p  \* MERGEFORMAT ">
      <w:r>
        <w:t>P:\ESP\SG\CONSEIL\EG-ITR\EG-ITR-2\000\016S.docx</w:t>
      </w:r>
    </w:fldSimple>
    <w:r>
      <w:t xml:space="preserve"> (423269)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F65" w:rsidRDefault="00C26F65">
      <w:r>
        <w:t>____________________</w:t>
      </w:r>
    </w:p>
  </w:footnote>
  <w:footnote w:type="continuationSeparator" w:id="0">
    <w:p w:rsidR="00C26F65" w:rsidRDefault="00C26F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Pr="00F65DFF" w:rsidRDefault="000B7C15" w:rsidP="00C70A64">
    <w:pPr>
      <w:pStyle w:val="Header"/>
      <w:rPr>
        <w:sz w:val="16"/>
        <w:szCs w:val="16"/>
      </w:rPr>
    </w:pPr>
    <w:r w:rsidRPr="00F65DFF">
      <w:rPr>
        <w:sz w:val="16"/>
        <w:szCs w:val="16"/>
      </w:rPr>
      <w:fldChar w:fldCharType="begin"/>
    </w:r>
    <w:r w:rsidRPr="00F65DFF">
      <w:rPr>
        <w:sz w:val="16"/>
        <w:szCs w:val="16"/>
      </w:rPr>
      <w:instrText>PAGE</w:instrText>
    </w:r>
    <w:r w:rsidRPr="00F65DFF">
      <w:rPr>
        <w:sz w:val="16"/>
        <w:szCs w:val="16"/>
      </w:rPr>
      <w:fldChar w:fldCharType="separate"/>
    </w:r>
    <w:r w:rsidR="00E857AB">
      <w:rPr>
        <w:noProof/>
        <w:sz w:val="16"/>
        <w:szCs w:val="16"/>
      </w:rPr>
      <w:t>2</w:t>
    </w:r>
    <w:r w:rsidRPr="00F65DFF">
      <w:rPr>
        <w:noProof/>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128BD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946F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1C6EB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1606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82DA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C056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C63B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30C5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BCB7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C4B1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920C4C"/>
    <w:multiLevelType w:val="hybridMultilevel"/>
    <w:tmpl w:val="5AFCFC3E"/>
    <w:lvl w:ilvl="0" w:tplc="8E886EDC">
      <w:start w:val="4"/>
      <w:numFmt w:val="bullet"/>
      <w:lvlText w:val="-"/>
      <w:lvlJc w:val="left"/>
      <w:pPr>
        <w:ind w:left="470" w:hanging="360"/>
      </w:pPr>
      <w:rPr>
        <w:rFonts w:ascii="Calibri" w:eastAsia="MS Mincho" w:hAnsi="Calibri" w:cs="Times New Roman"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1" w15:restartNumberingAfterBreak="0">
    <w:nsid w:val="1A695CF9"/>
    <w:multiLevelType w:val="hybridMultilevel"/>
    <w:tmpl w:val="1452D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3669DD"/>
    <w:multiLevelType w:val="multilevel"/>
    <w:tmpl w:val="1B0E578E"/>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652207E1"/>
    <w:multiLevelType w:val="hybridMultilevel"/>
    <w:tmpl w:val="F6B4FA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12"/>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F65"/>
    <w:rsid w:val="000849A7"/>
    <w:rsid w:val="00084FF1"/>
    <w:rsid w:val="00092C7D"/>
    <w:rsid w:val="000B0D00"/>
    <w:rsid w:val="000B7C15"/>
    <w:rsid w:val="000D08E8"/>
    <w:rsid w:val="000D1D0F"/>
    <w:rsid w:val="000F5290"/>
    <w:rsid w:val="0010165C"/>
    <w:rsid w:val="0014456E"/>
    <w:rsid w:val="00146BFB"/>
    <w:rsid w:val="001756C8"/>
    <w:rsid w:val="00175F68"/>
    <w:rsid w:val="001809A9"/>
    <w:rsid w:val="001A06A1"/>
    <w:rsid w:val="001A14D7"/>
    <w:rsid w:val="001C6E3A"/>
    <w:rsid w:val="001F14A2"/>
    <w:rsid w:val="0025220D"/>
    <w:rsid w:val="002801AA"/>
    <w:rsid w:val="002823AF"/>
    <w:rsid w:val="002B1514"/>
    <w:rsid w:val="002C4676"/>
    <w:rsid w:val="002C70B0"/>
    <w:rsid w:val="002F3CC4"/>
    <w:rsid w:val="003251AC"/>
    <w:rsid w:val="00330465"/>
    <w:rsid w:val="003402FF"/>
    <w:rsid w:val="0037150E"/>
    <w:rsid w:val="00372E3D"/>
    <w:rsid w:val="00382AC0"/>
    <w:rsid w:val="003C313A"/>
    <w:rsid w:val="003F10E3"/>
    <w:rsid w:val="003F5098"/>
    <w:rsid w:val="004405FF"/>
    <w:rsid w:val="00445623"/>
    <w:rsid w:val="004D77EE"/>
    <w:rsid w:val="004F67E3"/>
    <w:rsid w:val="00513630"/>
    <w:rsid w:val="00513C96"/>
    <w:rsid w:val="00525083"/>
    <w:rsid w:val="00550CF3"/>
    <w:rsid w:val="00560125"/>
    <w:rsid w:val="00566632"/>
    <w:rsid w:val="00573C91"/>
    <w:rsid w:val="00585553"/>
    <w:rsid w:val="005A74F1"/>
    <w:rsid w:val="005B34D9"/>
    <w:rsid w:val="005D0CCF"/>
    <w:rsid w:val="005D6611"/>
    <w:rsid w:val="005F410F"/>
    <w:rsid w:val="0060149A"/>
    <w:rsid w:val="00601924"/>
    <w:rsid w:val="00621C36"/>
    <w:rsid w:val="0063045B"/>
    <w:rsid w:val="006447EA"/>
    <w:rsid w:val="0064731F"/>
    <w:rsid w:val="006626A2"/>
    <w:rsid w:val="006710F6"/>
    <w:rsid w:val="00696233"/>
    <w:rsid w:val="006A01BE"/>
    <w:rsid w:val="006B4804"/>
    <w:rsid w:val="006C1B56"/>
    <w:rsid w:val="006D4761"/>
    <w:rsid w:val="00703DED"/>
    <w:rsid w:val="007216C1"/>
    <w:rsid w:val="00726872"/>
    <w:rsid w:val="0073462F"/>
    <w:rsid w:val="00753101"/>
    <w:rsid w:val="00760F1C"/>
    <w:rsid w:val="0076194C"/>
    <w:rsid w:val="007657F0"/>
    <w:rsid w:val="007A7053"/>
    <w:rsid w:val="007C3423"/>
    <w:rsid w:val="007D2B18"/>
    <w:rsid w:val="007E5DD3"/>
    <w:rsid w:val="007F350B"/>
    <w:rsid w:val="00820BE4"/>
    <w:rsid w:val="00842D30"/>
    <w:rsid w:val="008451E8"/>
    <w:rsid w:val="0087410A"/>
    <w:rsid w:val="00881C9C"/>
    <w:rsid w:val="008F6151"/>
    <w:rsid w:val="00913B9C"/>
    <w:rsid w:val="00924784"/>
    <w:rsid w:val="0093171B"/>
    <w:rsid w:val="00956E77"/>
    <w:rsid w:val="00963408"/>
    <w:rsid w:val="009715DE"/>
    <w:rsid w:val="00975168"/>
    <w:rsid w:val="009B2945"/>
    <w:rsid w:val="009C3500"/>
    <w:rsid w:val="009C6224"/>
    <w:rsid w:val="009D1F34"/>
    <w:rsid w:val="009D350A"/>
    <w:rsid w:val="00A63114"/>
    <w:rsid w:val="00AA390C"/>
    <w:rsid w:val="00AE3296"/>
    <w:rsid w:val="00B0200A"/>
    <w:rsid w:val="00B174F9"/>
    <w:rsid w:val="00B454DB"/>
    <w:rsid w:val="00B574DB"/>
    <w:rsid w:val="00B826C2"/>
    <w:rsid w:val="00B8298E"/>
    <w:rsid w:val="00B907F5"/>
    <w:rsid w:val="00BD0723"/>
    <w:rsid w:val="00BD2518"/>
    <w:rsid w:val="00BE5FBC"/>
    <w:rsid w:val="00BF1D1C"/>
    <w:rsid w:val="00C10BB5"/>
    <w:rsid w:val="00C20C59"/>
    <w:rsid w:val="00C25181"/>
    <w:rsid w:val="00C26F65"/>
    <w:rsid w:val="00C55B1F"/>
    <w:rsid w:val="00C70A64"/>
    <w:rsid w:val="00C758B9"/>
    <w:rsid w:val="00C85206"/>
    <w:rsid w:val="00C96B93"/>
    <w:rsid w:val="00CD32DC"/>
    <w:rsid w:val="00CF1A67"/>
    <w:rsid w:val="00CF5C16"/>
    <w:rsid w:val="00D00B2F"/>
    <w:rsid w:val="00D212A4"/>
    <w:rsid w:val="00D2750E"/>
    <w:rsid w:val="00D62446"/>
    <w:rsid w:val="00DA4EA2"/>
    <w:rsid w:val="00DA722A"/>
    <w:rsid w:val="00DB1B4C"/>
    <w:rsid w:val="00DC3D3E"/>
    <w:rsid w:val="00DE2C90"/>
    <w:rsid w:val="00DE3B24"/>
    <w:rsid w:val="00E02673"/>
    <w:rsid w:val="00E041DD"/>
    <w:rsid w:val="00E06947"/>
    <w:rsid w:val="00E178F5"/>
    <w:rsid w:val="00E3592D"/>
    <w:rsid w:val="00E47B3A"/>
    <w:rsid w:val="00E638EA"/>
    <w:rsid w:val="00E745BE"/>
    <w:rsid w:val="00E752AB"/>
    <w:rsid w:val="00E857AB"/>
    <w:rsid w:val="00E92DE8"/>
    <w:rsid w:val="00EA31E7"/>
    <w:rsid w:val="00EA4A79"/>
    <w:rsid w:val="00EB1212"/>
    <w:rsid w:val="00ED65AB"/>
    <w:rsid w:val="00ED722B"/>
    <w:rsid w:val="00F12850"/>
    <w:rsid w:val="00F14068"/>
    <w:rsid w:val="00F33BF4"/>
    <w:rsid w:val="00F52831"/>
    <w:rsid w:val="00F65DFF"/>
    <w:rsid w:val="00F7105E"/>
    <w:rsid w:val="00F75C25"/>
    <w:rsid w:val="00F75F57"/>
    <w:rsid w:val="00F82FEE"/>
    <w:rsid w:val="00F869A6"/>
    <w:rsid w:val="00F95601"/>
    <w:rsid w:val="00FA68EF"/>
    <w:rsid w:val="00FD76C3"/>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1EBBCDED-C2DB-42E9-AC1B-6367E26E7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C26F65"/>
    <w:pPr>
      <w:keepNext/>
      <w:overflowPunct/>
      <w:autoSpaceDE/>
      <w:autoSpaceDN/>
      <w:adjustRightInd/>
      <w:spacing w:before="560" w:after="120"/>
      <w:jc w:val="center"/>
      <w:textAlignment w:val="auto"/>
    </w:pPr>
    <w:rPr>
      <w:caps/>
      <w:lang w:val="en-GB"/>
    </w:rPr>
  </w:style>
  <w:style w:type="paragraph" w:customStyle="1" w:styleId="Normal1">
    <w:name w:val="Normal1"/>
    <w:rsid w:val="00BE5FBC"/>
    <w:pPr>
      <w:tabs>
        <w:tab w:val="left" w:pos="567"/>
        <w:tab w:val="left" w:pos="1134"/>
        <w:tab w:val="left" w:pos="1701"/>
        <w:tab w:val="left" w:pos="2268"/>
        <w:tab w:val="left" w:pos="2835"/>
      </w:tabs>
      <w:spacing w:before="120"/>
    </w:pPr>
    <w:rPr>
      <w:rFonts w:ascii="Calibri" w:eastAsia="Calibri" w:hAnsi="Calibri" w:cs="Calibri"/>
      <w:color w:val="000000"/>
      <w:sz w:val="24"/>
      <w:szCs w:val="24"/>
      <w:lang w:val="en-GB" w:eastAsia="en-US"/>
    </w:rPr>
  </w:style>
  <w:style w:type="paragraph" w:styleId="ListParagraph">
    <w:name w:val="List Paragraph"/>
    <w:basedOn w:val="Normal"/>
    <w:uiPriority w:val="99"/>
    <w:qFormat/>
    <w:rsid w:val="00924784"/>
    <w:pPr>
      <w:tabs>
        <w:tab w:val="clear" w:pos="567"/>
        <w:tab w:val="clear" w:pos="1134"/>
        <w:tab w:val="clear" w:pos="1701"/>
        <w:tab w:val="clear" w:pos="2268"/>
        <w:tab w:val="clear" w:pos="2835"/>
      </w:tabs>
      <w:overflowPunct/>
      <w:autoSpaceDE/>
      <w:autoSpaceDN/>
      <w:adjustRightInd/>
      <w:spacing w:before="0" w:after="200" w:line="276" w:lineRule="auto"/>
      <w:ind w:left="720"/>
      <w:contextualSpacing/>
      <w:textAlignment w:val="auto"/>
    </w:pPr>
    <w:rPr>
      <w:rFonts w:asciiTheme="minorHAnsi" w:eastAsiaTheme="minorEastAsia" w:hAnsiTheme="minorHAnsi" w:cstheme="minorBidi"/>
      <w:sz w:val="22"/>
      <w:szCs w:val="22"/>
      <w:lang w:val="en-US" w:eastAsia="zh-CN"/>
    </w:rPr>
  </w:style>
  <w:style w:type="table" w:styleId="TableGrid">
    <w:name w:val="Table Grid"/>
    <w:basedOn w:val="TableNormal"/>
    <w:uiPriority w:val="59"/>
    <w:rsid w:val="00924784"/>
    <w:rPr>
      <w:rFonts w:ascii="Times New Roman" w:eastAsia="MS Mincho"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llejon\AppData\Roaming\Microsoft\Templates\POOL%20S%20-%20ITU\PS_C1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PS_C17.dotm</Template>
  <TotalTime>4</TotalTime>
  <Pages>1</Pages>
  <Words>423</Words>
  <Characters>2446</Characters>
  <Application>Microsoft Office Word</Application>
  <DocSecurity>0</DocSecurity>
  <Lines>20</Lines>
  <Paragraphs>5</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EXAMEN DEL REGLAMENTO DE LAS TELECOMUNICACIONES INTERNACIONALES DE 2012</vt:lpstr>
    </vt:vector>
  </TitlesOfParts>
  <Manager>Secretaría General - Pool</Manager>
  <Company>Unión Internacional de Telecomunicaciones (UIT)</Company>
  <LinksUpToDate>false</LinksUpToDate>
  <CharactersWithSpaces>2864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EXAMEN DEL REGLAMENTO DE LAS TELECOMUNICACIONES INTERNACIONALES DE 2012</dc:title>
  <dc:subject>Consejo 2010</dc:subject>
  <dc:creator>República Checa, Dinamarca, Países Bajos, Suecia y Reino Unido</dc:creator>
  <cp:keywords>C2010, C10</cp:keywords>
  <dc:description>Documento EG-ITRs 1/9-S  Para: _x000d_Fecha del documento: 24 de enero de 2017_x000d_Registrado por ITU51007781 a 10:26:15 el 01/02/2017</dc:description>
  <cp:lastModifiedBy>Spanish</cp:lastModifiedBy>
  <cp:revision>9</cp:revision>
  <cp:lastPrinted>2017-02-01T09:13:00Z</cp:lastPrinted>
  <dcterms:created xsi:type="dcterms:W3CDTF">2017-09-08T07:40:00Z</dcterms:created>
  <dcterms:modified xsi:type="dcterms:W3CDTF">2017-09-08T07:46:00Z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EG-ITRs 1/9-S</vt:lpwstr>
  </property>
  <property fmtid="{D5CDD505-2E9C-101B-9397-08002B2CF9AE}" pid="3" name="Docdate">
    <vt:lpwstr>24 de enero de 2017</vt:lpwstr>
  </property>
  <property fmtid="{D5CDD505-2E9C-101B-9397-08002B2CF9AE}" pid="4" name="Docorlang">
    <vt:lpwstr>Original: inglés</vt:lpwstr>
  </property>
  <property fmtid="{D5CDD505-2E9C-101B-9397-08002B2CF9AE}" pid="5" name="Docbluepink">
    <vt:lpwstr>Grupo de Expertos sobre el Reglamento de las Telecomunicaciones Internacionales (GE-RTI)</vt:lpwstr>
  </property>
  <property fmtid="{D5CDD505-2E9C-101B-9397-08002B2CF9AE}" pid="6" name="Docdest">
    <vt:lpwstr/>
  </property>
  <property fmtid="{D5CDD505-2E9C-101B-9397-08002B2CF9AE}" pid="7" name="Docauthor">
    <vt:lpwstr>República Checa, Dinamarca, Países Bajos, Suecia y Reino Unido</vt:lpwstr>
  </property>
</Properties>
</file>