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D837AA" w:rsidP="009B3BDE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99613D">
              <w:rPr>
                <w:b/>
                <w:bCs/>
                <w:szCs w:val="24"/>
              </w:rPr>
              <w:t>Deuxième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Pr="0099613D">
              <w:rPr>
                <w:b/>
                <w:bCs/>
                <w:szCs w:val="24"/>
              </w:rPr>
              <w:t>, 13-15 septembre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F06D0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D837AA">
              <w:rPr>
                <w:b/>
              </w:rPr>
              <w:t>2</w:t>
            </w:r>
            <w:r w:rsidR="00D837AA" w:rsidRPr="009B70A4">
              <w:rPr>
                <w:b/>
              </w:rPr>
              <w:t>/</w:t>
            </w:r>
            <w:r w:rsidR="005F23B3">
              <w:rPr>
                <w:b/>
              </w:rPr>
              <w:t>15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5F23B3" w:rsidP="005F23B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1A65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août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F23B3" w:rsidP="005F23B3">
            <w:pPr>
              <w:pStyle w:val="Source"/>
            </w:pPr>
            <w:bookmarkStart w:id="5" w:name="dsource" w:colFirst="0" w:colLast="0"/>
            <w:bookmarkEnd w:id="4"/>
            <w:r w:rsidRPr="005F23B3">
              <w:rPr>
                <w:lang w:val="fr-CH"/>
              </w:rPr>
              <w:t>Contribution de l</w:t>
            </w:r>
            <w:r w:rsidR="00F65750">
              <w:rPr>
                <w:lang w:val="fr-CH"/>
              </w:rPr>
              <w:t>'</w:t>
            </w:r>
            <w:r w:rsidRPr="005F23B3">
              <w:rPr>
                <w:lang w:val="fr-CH"/>
              </w:rPr>
              <w:t>Association pour le progrès des communications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F23B3" w:rsidP="005F23B3">
            <w:pPr>
              <w:pStyle w:val="Title1"/>
            </w:pPr>
            <w:bookmarkStart w:id="6" w:name="dtitle1" w:colFirst="0" w:colLast="0"/>
            <w:bookmarkEnd w:id="5"/>
            <w:r w:rsidRPr="005F23B3">
              <w:rPr>
                <w:lang w:val="fr-CH"/>
              </w:rPr>
              <w:t>EXAMEN DU RÈGLEMENT DES TÉLÉCOMMUNICATIONS INTERNATIONALES DE 2012</w:t>
            </w:r>
          </w:p>
        </w:tc>
      </w:tr>
      <w:tr w:rsidR="00D837AA" w:rsidRPr="0092392D">
        <w:trPr>
          <w:cantSplit/>
        </w:trPr>
        <w:tc>
          <w:tcPr>
            <w:tcW w:w="10173" w:type="dxa"/>
            <w:gridSpan w:val="2"/>
          </w:tcPr>
          <w:p w:rsidR="00D837AA" w:rsidRPr="0092392D" w:rsidRDefault="00D837AA" w:rsidP="00DF74DD">
            <w:pPr>
              <w:pStyle w:val="Title1"/>
            </w:pPr>
          </w:p>
        </w:tc>
      </w:tr>
    </w:tbl>
    <w:bookmarkEnd w:id="6"/>
    <w:p w:rsidR="005F23B3" w:rsidRPr="005F23B3" w:rsidRDefault="005F23B3" w:rsidP="000D1038">
      <w:pPr>
        <w:pStyle w:val="enumlev1"/>
        <w:rPr>
          <w:lang w:val="fr-CH"/>
        </w:rPr>
      </w:pPr>
      <w:r>
        <w:rPr>
          <w:lang w:val="fr-CH"/>
        </w:rPr>
        <w:t>1)</w:t>
      </w:r>
      <w:r w:rsidRPr="005F23B3">
        <w:rPr>
          <w:lang w:val="fr-CH"/>
        </w:rPr>
        <w:tab/>
        <w:t>L</w:t>
      </w:r>
      <w:r w:rsidR="00F65750">
        <w:rPr>
          <w:lang w:val="fr-CH"/>
        </w:rPr>
        <w:t>'</w:t>
      </w:r>
      <w:r w:rsidRPr="005F23B3">
        <w:rPr>
          <w:lang w:val="fr-CH"/>
        </w:rPr>
        <w:t>Association pour le progrès des communications (APC) se félicite de l</w:t>
      </w:r>
      <w:r w:rsidR="00F65750">
        <w:rPr>
          <w:lang w:val="fr-CH"/>
        </w:rPr>
        <w:t>'</w:t>
      </w:r>
      <w:r w:rsidRPr="005F23B3">
        <w:rPr>
          <w:lang w:val="fr-CH"/>
        </w:rPr>
        <w:t>occasion qui lui est offerte de soumettre la présente contribution à la deuxième réunion du Groupe d</w:t>
      </w:r>
      <w:r w:rsidR="00F65750">
        <w:rPr>
          <w:lang w:val="fr-CH"/>
        </w:rPr>
        <w:t>'</w:t>
      </w:r>
      <w:r w:rsidRPr="005F23B3">
        <w:rPr>
          <w:lang w:val="fr-CH"/>
        </w:rPr>
        <w:t>experts sur le Règlement des télécommunications internationales (RTI). 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APC, </w:t>
      </w:r>
      <w:r w:rsidR="00F65750">
        <w:rPr>
          <w:lang w:val="fr-CH"/>
        </w:rPr>
        <w:t xml:space="preserve">qui est </w:t>
      </w:r>
      <w:r w:rsidRPr="005F23B3">
        <w:rPr>
          <w:lang w:val="fr-CH"/>
        </w:rPr>
        <w:t>Membre de Secteur</w:t>
      </w:r>
      <w:r w:rsidR="00F65750">
        <w:rPr>
          <w:lang w:val="fr-CH"/>
        </w:rPr>
        <w:t xml:space="preserve"> de l'</w:t>
      </w:r>
      <w:r w:rsidRPr="005F23B3">
        <w:rPr>
          <w:lang w:val="fr-CH"/>
        </w:rPr>
        <w:t xml:space="preserve">UIT-D et </w:t>
      </w:r>
      <w:r w:rsidR="00F65750">
        <w:rPr>
          <w:lang w:val="fr-CH"/>
        </w:rPr>
        <w:t>de l'</w:t>
      </w:r>
      <w:r w:rsidRPr="005F23B3">
        <w:rPr>
          <w:lang w:val="fr-CH"/>
        </w:rPr>
        <w:t>UIT-R, est un réseau d</w:t>
      </w:r>
      <w:r w:rsidR="00F65750">
        <w:rPr>
          <w:lang w:val="fr-CH"/>
        </w:rPr>
        <w:t>'</w:t>
      </w:r>
      <w:r w:rsidRPr="005F23B3">
        <w:rPr>
          <w:lang w:val="fr-CH"/>
        </w:rPr>
        <w:t>organisations de la société civile qui s</w:t>
      </w:r>
      <w:r w:rsidR="00F65750">
        <w:rPr>
          <w:lang w:val="fr-CH"/>
        </w:rPr>
        <w:t>'</w:t>
      </w:r>
      <w:r w:rsidRPr="005F23B3">
        <w:rPr>
          <w:lang w:val="fr-CH"/>
        </w:rPr>
        <w:t>occupent des TIC, de l</w:t>
      </w:r>
      <w:r w:rsidR="00F65750">
        <w:rPr>
          <w:lang w:val="fr-CH"/>
        </w:rPr>
        <w:t>'</w:t>
      </w:r>
      <w:r w:rsidRPr="005F23B3">
        <w:rPr>
          <w:lang w:val="fr-CH"/>
        </w:rPr>
        <w:t>Internet, du développement et des droits correspondants. L</w:t>
      </w:r>
      <w:r w:rsidR="00F65750">
        <w:rPr>
          <w:lang w:val="fr-CH"/>
        </w:rPr>
        <w:t>'</w:t>
      </w:r>
      <w:r w:rsidRPr="005F23B3">
        <w:rPr>
          <w:lang w:val="fr-CH"/>
        </w:rPr>
        <w:t>APC a suivi de près les travaux de la CMTI-12 et y a contribué dans toute la mesure possible en sa qualité d</w:t>
      </w:r>
      <w:r w:rsidR="00F65750">
        <w:rPr>
          <w:lang w:val="fr-CH"/>
        </w:rPr>
        <w:t>'</w:t>
      </w:r>
      <w:r w:rsidRPr="005F23B3">
        <w:rPr>
          <w:lang w:val="fr-CH"/>
        </w:rPr>
        <w:t>organisation de la société civile.</w:t>
      </w:r>
      <w:r w:rsidR="000D1038">
        <w:rPr>
          <w:rStyle w:val="FootnoteReference"/>
          <w:lang w:val="fr-CH"/>
        </w:rPr>
        <w:footnoteReference w:id="1"/>
      </w:r>
    </w:p>
    <w:p w:rsidR="005F23B3" w:rsidRPr="005F23B3" w:rsidRDefault="005F23B3" w:rsidP="00376D8F">
      <w:pPr>
        <w:pStyle w:val="enumlev1"/>
        <w:rPr>
          <w:lang w:val="fr-CH"/>
        </w:rPr>
      </w:pPr>
      <w:r w:rsidRPr="005F23B3">
        <w:rPr>
          <w:lang w:val="fr-CH"/>
        </w:rPr>
        <w:t>2</w:t>
      </w:r>
      <w:r>
        <w:rPr>
          <w:lang w:val="fr-CH"/>
        </w:rPr>
        <w:t>)</w:t>
      </w:r>
      <w:r w:rsidRPr="005F23B3">
        <w:rPr>
          <w:lang w:val="fr-CH"/>
        </w:rPr>
        <w:tab/>
        <w:t xml:space="preserve">Le RTI est un instrument important </w:t>
      </w:r>
      <w:r w:rsidR="00F65750">
        <w:rPr>
          <w:lang w:val="fr-CH"/>
        </w:rPr>
        <w:t>pour les</w:t>
      </w:r>
      <w:r w:rsidRPr="005F23B3">
        <w:rPr>
          <w:lang w:val="fr-CH"/>
        </w:rPr>
        <w:t xml:space="preserve"> communications internationales et il est crucial que toutes les parties prenantes puissent contribuer aux débats </w:t>
      </w:r>
      <w:r w:rsidR="00F65750">
        <w:rPr>
          <w:lang w:val="fr-CH"/>
        </w:rPr>
        <w:t>sur les</w:t>
      </w:r>
      <w:r w:rsidRPr="005F23B3">
        <w:rPr>
          <w:lang w:val="fr-CH"/>
        </w:rPr>
        <w:t xml:space="preserve"> modalités de révision</w:t>
      </w:r>
      <w:r w:rsidR="008D6AA2">
        <w:rPr>
          <w:lang w:val="fr-CH"/>
        </w:rPr>
        <w:t xml:space="preserve"> de cet instrument</w:t>
      </w:r>
      <w:r w:rsidRPr="005F23B3">
        <w:rPr>
          <w:lang w:val="fr-CH"/>
        </w:rPr>
        <w:t xml:space="preserve">. </w:t>
      </w:r>
      <w:r w:rsidR="008D6AA2">
        <w:rPr>
          <w:lang w:val="fr-CH"/>
        </w:rPr>
        <w:t>Le principe qui doit guider</w:t>
      </w:r>
      <w:r w:rsidRPr="005F23B3">
        <w:rPr>
          <w:lang w:val="fr-CH"/>
        </w:rPr>
        <w:t xml:space="preserve"> la ré</w:t>
      </w:r>
      <w:bookmarkStart w:id="7" w:name="_GoBack"/>
      <w:bookmarkEnd w:id="7"/>
      <w:r w:rsidRPr="005F23B3">
        <w:rPr>
          <w:lang w:val="fr-CH"/>
        </w:rPr>
        <w:t xml:space="preserve">vision </w:t>
      </w:r>
      <w:r w:rsidR="008D6AA2">
        <w:rPr>
          <w:lang w:val="fr-CH"/>
        </w:rPr>
        <w:t>du RTI</w:t>
      </w:r>
      <w:r w:rsidRPr="005F23B3">
        <w:rPr>
          <w:lang w:val="fr-CH"/>
        </w:rPr>
        <w:t xml:space="preserve"> de </w:t>
      </w:r>
      <w:r w:rsidR="00934E83">
        <w:rPr>
          <w:lang w:val="fr-CH"/>
        </w:rPr>
        <w:t xml:space="preserve">2012 </w:t>
      </w:r>
      <w:r w:rsidR="008D6AA2">
        <w:rPr>
          <w:lang w:val="fr-CH"/>
        </w:rPr>
        <w:t>est celui de savoir si</w:t>
      </w:r>
      <w:r w:rsidRPr="005F23B3">
        <w:rPr>
          <w:lang w:val="fr-CH"/>
        </w:rPr>
        <w:t xml:space="preserve"> l</w:t>
      </w:r>
      <w:r w:rsidR="00F65750">
        <w:rPr>
          <w:lang w:val="fr-CH"/>
        </w:rPr>
        <w:t>'</w:t>
      </w:r>
      <w:r w:rsidRPr="005F23B3">
        <w:rPr>
          <w:lang w:val="fr-CH"/>
        </w:rPr>
        <w:t>ex</w:t>
      </w:r>
      <w:r w:rsidR="00376D8F">
        <w:rPr>
          <w:lang w:val="fr-CH"/>
        </w:rPr>
        <w:t>istence de deux versions du RTI</w:t>
      </w:r>
      <w:r w:rsidR="008D6AA2">
        <w:rPr>
          <w:lang w:val="fr-CH"/>
        </w:rPr>
        <w:t xml:space="preserve"> est source de problèmes ou de conflits, en particulier pour ce qui est des</w:t>
      </w:r>
      <w:r w:rsidRPr="005F23B3">
        <w:rPr>
          <w:lang w:val="fr-CH"/>
        </w:rPr>
        <w:t xml:space="preserve"> objectifs</w:t>
      </w:r>
      <w:r w:rsidR="008D6AA2">
        <w:rPr>
          <w:lang w:val="fr-CH"/>
        </w:rPr>
        <w:t xml:space="preserve"> de cet instrument</w:t>
      </w:r>
      <w:r w:rsidR="004930D2">
        <w:rPr>
          <w:lang w:val="fr-CH"/>
        </w:rPr>
        <w:t>,</w:t>
      </w:r>
      <w:r w:rsidR="008D6AA2">
        <w:rPr>
          <w:lang w:val="fr-CH"/>
        </w:rPr>
        <w:t xml:space="preserve"> à savoir:</w:t>
      </w:r>
    </w:p>
    <w:p w:rsidR="005F23B3" w:rsidRPr="005F23B3" w:rsidRDefault="005F23B3" w:rsidP="00F65750">
      <w:pPr>
        <w:pStyle w:val="enumlev2"/>
        <w:rPr>
          <w:lang w:val="fr-CH"/>
        </w:rPr>
      </w:pPr>
      <w:r w:rsidRPr="005F23B3">
        <w:rPr>
          <w:lang w:val="fr-CH"/>
        </w:rPr>
        <w:t>•</w:t>
      </w:r>
      <w:r>
        <w:rPr>
          <w:lang w:val="fr-CH"/>
        </w:rPr>
        <w:tab/>
      </w:r>
      <w:r w:rsidRPr="005F23B3">
        <w:rPr>
          <w:lang w:val="fr-CH"/>
        </w:rPr>
        <w:t>faciliter l'interconnexion et l'interopérabilité à l'échelle mondiale des moyens de télécommunication;</w:t>
      </w:r>
    </w:p>
    <w:p w:rsidR="005F23B3" w:rsidRPr="005F23B3" w:rsidRDefault="005F23B3" w:rsidP="00F65750">
      <w:pPr>
        <w:pStyle w:val="enumlev2"/>
        <w:rPr>
          <w:lang w:val="fr-CH"/>
        </w:rPr>
      </w:pPr>
      <w:r w:rsidRPr="005F23B3">
        <w:rPr>
          <w:lang w:val="fr-CH"/>
        </w:rPr>
        <w:t>•</w:t>
      </w:r>
      <w:r>
        <w:rPr>
          <w:lang w:val="fr-CH"/>
        </w:rPr>
        <w:tab/>
      </w:r>
      <w:r w:rsidRPr="005F23B3">
        <w:rPr>
          <w:lang w:val="fr-CH"/>
        </w:rPr>
        <w:t>favoriser le développement harmonieux des moyens de télécommunication et leur exploitation efficace; et</w:t>
      </w:r>
    </w:p>
    <w:p w:rsidR="005F23B3" w:rsidRPr="005F23B3" w:rsidRDefault="005F23B3" w:rsidP="00F65750">
      <w:pPr>
        <w:pStyle w:val="enumlev2"/>
        <w:rPr>
          <w:lang w:val="fr-CH"/>
        </w:rPr>
      </w:pPr>
      <w:r w:rsidRPr="005F23B3">
        <w:rPr>
          <w:lang w:val="fr-CH"/>
        </w:rPr>
        <w:t>•</w:t>
      </w:r>
      <w:r>
        <w:rPr>
          <w:lang w:val="fr-CH"/>
        </w:rPr>
        <w:tab/>
      </w:r>
      <w:r w:rsidRPr="005F23B3">
        <w:rPr>
          <w:lang w:val="fr-CH"/>
        </w:rPr>
        <w:t>promouvoir l</w:t>
      </w:r>
      <w:r w:rsidR="00F65750">
        <w:rPr>
          <w:lang w:val="fr-CH"/>
        </w:rPr>
        <w:t>'</w:t>
      </w:r>
      <w:r w:rsidRPr="005F23B3">
        <w:rPr>
          <w:lang w:val="fr-CH"/>
        </w:rPr>
        <w:t>efficacité, l</w:t>
      </w:r>
      <w:r w:rsidR="00F65750">
        <w:rPr>
          <w:lang w:val="fr-CH"/>
        </w:rPr>
        <w:t>'</w:t>
      </w:r>
      <w:r w:rsidRPr="005F23B3">
        <w:rPr>
          <w:lang w:val="fr-CH"/>
        </w:rPr>
        <w:t>utilité et la disponibilité pour le public de services internationaux de télécommunication.</w:t>
      </w:r>
    </w:p>
    <w:p w:rsidR="000D1038" w:rsidRDefault="005F23B3" w:rsidP="004930D2">
      <w:pPr>
        <w:pStyle w:val="enumlev1"/>
        <w:rPr>
          <w:lang w:val="fr-CH"/>
        </w:rPr>
      </w:pPr>
      <w:r>
        <w:rPr>
          <w:lang w:val="fr-CH"/>
        </w:rPr>
        <w:t>3)</w:t>
      </w:r>
      <w:r w:rsidRPr="005F23B3">
        <w:rPr>
          <w:lang w:val="fr-CH"/>
        </w:rPr>
        <w:tab/>
        <w:t>L</w:t>
      </w:r>
      <w:r w:rsidR="00F65750">
        <w:rPr>
          <w:lang w:val="fr-CH"/>
        </w:rPr>
        <w:t>'</w:t>
      </w:r>
      <w:r w:rsidRPr="005F23B3">
        <w:rPr>
          <w:lang w:val="fr-CH"/>
        </w:rPr>
        <w:t>APC n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 pas connaissance de </w:t>
      </w:r>
      <w:r w:rsidR="008D6AA2">
        <w:rPr>
          <w:lang w:val="fr-CH"/>
        </w:rPr>
        <w:t>problèmes ou de conflits découlant de</w:t>
      </w:r>
      <w:r w:rsidRPr="005F23B3">
        <w:rPr>
          <w:lang w:val="fr-CH"/>
        </w:rPr>
        <w:t xml:space="preserve"> 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existence de deux versions du RTI. De plus, </w:t>
      </w:r>
      <w:r w:rsidR="004930D2">
        <w:rPr>
          <w:lang w:val="fr-CH"/>
        </w:rPr>
        <w:t>à notre sen</w:t>
      </w:r>
      <w:r w:rsidR="008D6AA2">
        <w:rPr>
          <w:lang w:val="fr-CH"/>
        </w:rPr>
        <w:t>s, le clivage qui a vu le jour</w:t>
      </w:r>
      <w:r w:rsidR="00376D8F">
        <w:rPr>
          <w:lang w:val="fr-CH"/>
        </w:rPr>
        <w:t xml:space="preserve"> à la CMTI-12</w:t>
      </w:r>
      <w:r w:rsidR="008D6AA2">
        <w:rPr>
          <w:lang w:val="fr-CH"/>
        </w:rPr>
        <w:t xml:space="preserve"> </w:t>
      </w:r>
      <w:r w:rsidR="008D6AA2" w:rsidRPr="008D6AA2">
        <w:rPr>
          <w:lang w:val="fr-CH"/>
        </w:rPr>
        <w:t>–</w:t>
      </w:r>
      <w:r w:rsidR="00CF431C">
        <w:rPr>
          <w:lang w:val="fr-CH"/>
        </w:rPr>
        <w:t xml:space="preserve"> </w:t>
      </w:r>
      <w:r w:rsidRPr="005F23B3">
        <w:rPr>
          <w:lang w:val="fr-CH"/>
        </w:rPr>
        <w:t>seulement 89 des 193 Etats Membres ont signé les Actes finals</w:t>
      </w:r>
      <w:r w:rsidR="008D6AA2">
        <w:rPr>
          <w:lang w:val="fr-CH"/>
        </w:rPr>
        <w:t xml:space="preserve"> </w:t>
      </w:r>
      <w:r w:rsidR="008D6AA2" w:rsidRPr="008D6AA2">
        <w:rPr>
          <w:lang w:val="fr-CH"/>
        </w:rPr>
        <w:t xml:space="preserve">– </w:t>
      </w:r>
      <w:r w:rsidR="008D6AA2">
        <w:rPr>
          <w:lang w:val="fr-CH"/>
        </w:rPr>
        <w:t xml:space="preserve">n'a pas disparu </w:t>
      </w:r>
      <w:r w:rsidRPr="005F23B3">
        <w:rPr>
          <w:lang w:val="fr-CH"/>
        </w:rPr>
        <w:t xml:space="preserve">ces cinq dernières années. Nous </w:t>
      </w:r>
      <w:r w:rsidR="008D6AA2">
        <w:rPr>
          <w:lang w:val="fr-CH"/>
        </w:rPr>
        <w:t>craignons qu'une</w:t>
      </w:r>
      <w:r w:rsidRPr="005F23B3">
        <w:rPr>
          <w:lang w:val="fr-CH"/>
        </w:rPr>
        <w:t xml:space="preserve"> modification</w:t>
      </w:r>
      <w:r w:rsidR="008D6AA2">
        <w:rPr>
          <w:lang w:val="fr-CH"/>
        </w:rPr>
        <w:t xml:space="preserve"> ou une</w:t>
      </w:r>
      <w:r w:rsidRPr="005F23B3">
        <w:rPr>
          <w:lang w:val="fr-CH"/>
        </w:rPr>
        <w:t xml:space="preserve"> mise à jour du RTI </w:t>
      </w:r>
      <w:r w:rsidR="008D6AA2">
        <w:rPr>
          <w:lang w:val="fr-CH"/>
        </w:rPr>
        <w:t>ne rouvrent des débats sans fin</w:t>
      </w:r>
      <w:r w:rsidRPr="005F23B3">
        <w:rPr>
          <w:lang w:val="fr-CH"/>
        </w:rPr>
        <w:t xml:space="preserve"> et n</w:t>
      </w:r>
      <w:r w:rsidR="008D6AA2">
        <w:rPr>
          <w:lang w:val="fr-CH"/>
        </w:rPr>
        <w:t>'aboutissent à aucun résultat positif</w:t>
      </w:r>
      <w:r w:rsidRPr="005F23B3">
        <w:rPr>
          <w:lang w:val="fr-CH"/>
        </w:rPr>
        <w:t>.</w:t>
      </w:r>
    </w:p>
    <w:p w:rsidR="000D1038" w:rsidRDefault="000D10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5F23B3" w:rsidRPr="005F23B3" w:rsidRDefault="005F23B3" w:rsidP="00F65750">
      <w:pPr>
        <w:pStyle w:val="enumlev1"/>
        <w:rPr>
          <w:lang w:val="fr-CH"/>
        </w:rPr>
      </w:pPr>
      <w:r w:rsidRPr="005F23B3">
        <w:rPr>
          <w:lang w:val="fr-CH"/>
        </w:rPr>
        <w:lastRenderedPageBreak/>
        <w:t>4</w:t>
      </w:r>
      <w:r>
        <w:rPr>
          <w:lang w:val="fr-CH"/>
        </w:rPr>
        <w:t>)</w:t>
      </w:r>
      <w:r w:rsidRPr="005F23B3">
        <w:rPr>
          <w:lang w:val="fr-CH"/>
        </w:rPr>
        <w:tab/>
        <w:t>En outre, nous sommes d</w:t>
      </w:r>
      <w:r w:rsidR="00F65750">
        <w:rPr>
          <w:lang w:val="fr-CH"/>
        </w:rPr>
        <w:t>'</w:t>
      </w:r>
      <w:r w:rsidRPr="005F23B3">
        <w:rPr>
          <w:lang w:val="fr-CH"/>
        </w:rPr>
        <w:t>avis qu</w:t>
      </w:r>
      <w:r w:rsidR="00F65750">
        <w:rPr>
          <w:lang w:val="fr-CH"/>
        </w:rPr>
        <w:t>'</w:t>
      </w:r>
      <w:r w:rsidRPr="005F23B3">
        <w:rPr>
          <w:lang w:val="fr-CH"/>
        </w:rPr>
        <w:t>une renégociation du RTI s</w:t>
      </w:r>
      <w:r w:rsidR="00F65750">
        <w:rPr>
          <w:lang w:val="fr-CH"/>
        </w:rPr>
        <w:t>'</w:t>
      </w:r>
      <w:r w:rsidRPr="005F23B3">
        <w:rPr>
          <w:lang w:val="fr-CH"/>
        </w:rPr>
        <w:t>accompagnerait de risques importants, notamment pour ce qui est des trois éléments suivants: a) restriction de l</w:t>
      </w:r>
      <w:r w:rsidR="00F65750">
        <w:rPr>
          <w:lang w:val="fr-CH"/>
        </w:rPr>
        <w:t>'</w:t>
      </w:r>
      <w:r w:rsidRPr="005F23B3">
        <w:rPr>
          <w:lang w:val="fr-CH"/>
        </w:rPr>
        <w:t>utilisation des télécommunications; b) coût financier; et c) incidences sur la réputation</w:t>
      </w:r>
      <w:r w:rsidR="008D6AA2">
        <w:rPr>
          <w:lang w:val="fr-CH"/>
        </w:rPr>
        <w:t xml:space="preserve"> de l'Union</w:t>
      </w:r>
      <w:r w:rsidRPr="005F23B3">
        <w:rPr>
          <w:lang w:val="fr-CH"/>
        </w:rPr>
        <w:t>.</w:t>
      </w:r>
    </w:p>
    <w:p w:rsidR="005F23B3" w:rsidRPr="005F23B3" w:rsidRDefault="005F23B3" w:rsidP="00376D8F">
      <w:pPr>
        <w:pStyle w:val="enumlev2"/>
        <w:rPr>
          <w:lang w:val="fr-CH"/>
        </w:rPr>
      </w:pPr>
      <w:r w:rsidRPr="005F23B3">
        <w:rPr>
          <w:lang w:val="fr-CH"/>
        </w:rPr>
        <w:t>a)</w:t>
      </w:r>
      <w:r w:rsidRPr="005F23B3">
        <w:rPr>
          <w:lang w:val="fr-CH"/>
        </w:rPr>
        <w:tab/>
        <w:t>Restriction de 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utilisation des télécommunications: </w:t>
      </w:r>
      <w:r w:rsidR="008D6AA2">
        <w:rPr>
          <w:lang w:val="fr-CH"/>
        </w:rPr>
        <w:t>certaines</w:t>
      </w:r>
      <w:r w:rsidRPr="005F23B3">
        <w:rPr>
          <w:lang w:val="fr-CH"/>
        </w:rPr>
        <w:t xml:space="preserve"> propositions f</w:t>
      </w:r>
      <w:r w:rsidR="008D6AA2">
        <w:rPr>
          <w:lang w:val="fr-CH"/>
        </w:rPr>
        <w:t>ormulées</w:t>
      </w:r>
      <w:r w:rsidRPr="005F23B3">
        <w:rPr>
          <w:lang w:val="fr-CH"/>
        </w:rPr>
        <w:t xml:space="preserve"> à la CMTI-12 et dans d</w:t>
      </w:r>
      <w:r w:rsidR="00F65750">
        <w:rPr>
          <w:lang w:val="fr-CH"/>
        </w:rPr>
        <w:t>'</w:t>
      </w:r>
      <w:r w:rsidR="008D6AA2">
        <w:rPr>
          <w:lang w:val="fr-CH"/>
        </w:rPr>
        <w:t>autres instances</w:t>
      </w:r>
      <w:r w:rsidRPr="005F23B3">
        <w:rPr>
          <w:lang w:val="fr-CH"/>
        </w:rPr>
        <w:t xml:space="preserve"> de 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UIT ces dernières années, </w:t>
      </w:r>
      <w:r w:rsidR="008D6AA2">
        <w:rPr>
          <w:lang w:val="fr-CH"/>
        </w:rPr>
        <w:t>par exemple</w:t>
      </w:r>
      <w:r w:rsidRPr="005F23B3">
        <w:rPr>
          <w:lang w:val="fr-CH"/>
        </w:rPr>
        <w:t xml:space="preserve"> à la PP-14 et </w:t>
      </w:r>
      <w:r w:rsidR="008D6AA2">
        <w:rPr>
          <w:lang w:val="fr-CH"/>
        </w:rPr>
        <w:t xml:space="preserve">à </w:t>
      </w:r>
      <w:r w:rsidRPr="005F23B3">
        <w:rPr>
          <w:lang w:val="fr-CH"/>
        </w:rPr>
        <w:t>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AMNT-16, </w:t>
      </w:r>
      <w:r w:rsidR="00261395">
        <w:rPr>
          <w:lang w:val="fr-CH"/>
        </w:rPr>
        <w:t>mettaient en danger</w:t>
      </w:r>
      <w:r w:rsidRPr="005F23B3">
        <w:rPr>
          <w:lang w:val="fr-CH"/>
        </w:rPr>
        <w:t xml:space="preserve"> l</w:t>
      </w:r>
      <w:r w:rsidR="00F65750">
        <w:rPr>
          <w:lang w:val="fr-CH"/>
        </w:rPr>
        <w:t>'</w:t>
      </w:r>
      <w:r w:rsidRPr="005F23B3">
        <w:rPr>
          <w:lang w:val="fr-CH"/>
        </w:rPr>
        <w:t>accès à l</w:t>
      </w:r>
      <w:r w:rsidR="00F65750">
        <w:rPr>
          <w:lang w:val="fr-CH"/>
        </w:rPr>
        <w:t>'</w:t>
      </w:r>
      <w:r w:rsidRPr="005F23B3">
        <w:rPr>
          <w:lang w:val="fr-CH"/>
        </w:rPr>
        <w:t>information et la liberté d</w:t>
      </w:r>
      <w:r w:rsidR="00F65750">
        <w:rPr>
          <w:lang w:val="fr-CH"/>
        </w:rPr>
        <w:t>'</w:t>
      </w:r>
      <w:r w:rsidRPr="005F23B3">
        <w:rPr>
          <w:lang w:val="fr-CH"/>
        </w:rPr>
        <w:t>expression par</w:t>
      </w:r>
      <w:r w:rsidR="00261395">
        <w:rPr>
          <w:lang w:val="fr-CH"/>
        </w:rPr>
        <w:t xml:space="preserve"> le biais</w:t>
      </w:r>
      <w:r w:rsidRPr="005F23B3">
        <w:rPr>
          <w:lang w:val="fr-CH"/>
        </w:rPr>
        <w:t xml:space="preserve"> </w:t>
      </w:r>
      <w:r w:rsidR="00261395">
        <w:rPr>
          <w:lang w:val="fr-CH"/>
        </w:rPr>
        <w:t>d</w:t>
      </w:r>
      <w:r w:rsidRPr="005F23B3">
        <w:rPr>
          <w:lang w:val="fr-CH"/>
        </w:rPr>
        <w:t>es télécommunications, ainsi que d</w:t>
      </w:r>
      <w:r w:rsidR="00F65750">
        <w:rPr>
          <w:lang w:val="fr-CH"/>
        </w:rPr>
        <w:t>'</w:t>
      </w:r>
      <w:r w:rsidRPr="005F23B3">
        <w:rPr>
          <w:lang w:val="fr-CH"/>
        </w:rPr>
        <w:t>autres droits de l</w:t>
      </w:r>
      <w:r w:rsidR="00F65750">
        <w:rPr>
          <w:lang w:val="fr-CH"/>
        </w:rPr>
        <w:t>'</w:t>
      </w:r>
      <w:r w:rsidRPr="005F23B3">
        <w:rPr>
          <w:lang w:val="fr-CH"/>
        </w:rPr>
        <w:t>homme, comme le droit au respect de la vie privée.</w:t>
      </w:r>
      <w:r w:rsidRPr="005F23B3">
        <w:rPr>
          <w:vertAlign w:val="superscript"/>
          <w:lang w:val="en-US"/>
        </w:rPr>
        <w:footnoteReference w:id="2"/>
      </w:r>
      <w:r w:rsidRPr="005F23B3">
        <w:rPr>
          <w:lang w:val="fr-CH"/>
        </w:rPr>
        <w:t xml:space="preserve"> </w:t>
      </w:r>
    </w:p>
    <w:p w:rsidR="005F23B3" w:rsidRPr="005F23B3" w:rsidRDefault="005F23B3" w:rsidP="00AB7C23">
      <w:pPr>
        <w:pStyle w:val="enumlev2"/>
        <w:rPr>
          <w:lang w:val="fr-CH"/>
        </w:rPr>
      </w:pPr>
      <w:r w:rsidRPr="005F23B3">
        <w:rPr>
          <w:lang w:val="fr-CH"/>
        </w:rPr>
        <w:t>b)</w:t>
      </w:r>
      <w:r w:rsidRPr="005F23B3">
        <w:rPr>
          <w:lang w:val="fr-CH"/>
        </w:rPr>
        <w:tab/>
        <w:t xml:space="preserve">Coût financier: comme </w:t>
      </w:r>
      <w:r w:rsidR="00261395">
        <w:rPr>
          <w:lang w:val="fr-CH"/>
        </w:rPr>
        <w:t>cela a été indiqué</w:t>
      </w:r>
      <w:r w:rsidRPr="005F23B3">
        <w:rPr>
          <w:lang w:val="fr-CH"/>
        </w:rPr>
        <w:t xml:space="preserve"> dans d</w:t>
      </w:r>
      <w:r w:rsidR="00F65750">
        <w:rPr>
          <w:lang w:val="fr-CH"/>
        </w:rPr>
        <w:t>'</w:t>
      </w:r>
      <w:r w:rsidRPr="005F23B3">
        <w:rPr>
          <w:lang w:val="fr-CH"/>
        </w:rPr>
        <w:t>autres contributions, le coû</w:t>
      </w:r>
      <w:r w:rsidR="00261395">
        <w:rPr>
          <w:lang w:val="fr-CH"/>
        </w:rPr>
        <w:t>t financier lié à la tenue</w:t>
      </w:r>
      <w:r w:rsidRPr="005F23B3">
        <w:rPr>
          <w:lang w:val="fr-CH"/>
        </w:rPr>
        <w:t xml:space="preserve"> d</w:t>
      </w:r>
      <w:r w:rsidR="00F65750">
        <w:rPr>
          <w:lang w:val="fr-CH"/>
        </w:rPr>
        <w:t>'</w:t>
      </w:r>
      <w:r w:rsidR="00376D8F">
        <w:rPr>
          <w:lang w:val="fr-CH"/>
        </w:rPr>
        <w:t>une CMTI est considérable</w:t>
      </w:r>
      <w:r w:rsidRPr="005F23B3">
        <w:rPr>
          <w:vertAlign w:val="superscript"/>
          <w:lang w:val="en-US"/>
        </w:rPr>
        <w:footnoteReference w:id="3"/>
      </w:r>
      <w:r w:rsidR="00376D8F">
        <w:rPr>
          <w:lang w:val="fr-CH"/>
        </w:rPr>
        <w:t>.</w:t>
      </w:r>
      <w:r w:rsidRPr="005F23B3">
        <w:rPr>
          <w:lang w:val="fr-CH"/>
        </w:rPr>
        <w:t xml:space="preserve"> Le</w:t>
      </w:r>
      <w:r w:rsidR="00261395">
        <w:rPr>
          <w:lang w:val="fr-CH"/>
        </w:rPr>
        <w:t>s</w:t>
      </w:r>
      <w:r w:rsidRPr="005F23B3">
        <w:rPr>
          <w:lang w:val="fr-CH"/>
        </w:rPr>
        <w:t xml:space="preserve"> treize journées de réunion </w:t>
      </w:r>
      <w:r w:rsidR="00261395">
        <w:rPr>
          <w:lang w:val="fr-CH"/>
        </w:rPr>
        <w:t>pour</w:t>
      </w:r>
      <w:r w:rsidRPr="005F23B3">
        <w:rPr>
          <w:lang w:val="fr-CH"/>
        </w:rPr>
        <w:t xml:space="preserve"> la CMTI-12 </w:t>
      </w:r>
      <w:r w:rsidR="00261395">
        <w:rPr>
          <w:lang w:val="fr-CH"/>
        </w:rPr>
        <w:t xml:space="preserve">ont </w:t>
      </w:r>
      <w:r w:rsidR="00376D8F">
        <w:rPr>
          <w:lang w:val="fr-CH"/>
        </w:rPr>
        <w:t>coû</w:t>
      </w:r>
      <w:r w:rsidR="00261395">
        <w:rPr>
          <w:lang w:val="fr-CH"/>
        </w:rPr>
        <w:t>té</w:t>
      </w:r>
      <w:r w:rsidRPr="005F23B3">
        <w:rPr>
          <w:lang w:val="fr-CH"/>
        </w:rPr>
        <w:t xml:space="preserve"> 1,9 million CHF (soit 147 000 CHF par jour). Ce </w:t>
      </w:r>
      <w:r w:rsidR="00261395">
        <w:rPr>
          <w:lang w:val="fr-CH"/>
        </w:rPr>
        <w:t>chiffre</w:t>
      </w:r>
      <w:r w:rsidRPr="005F23B3">
        <w:rPr>
          <w:lang w:val="fr-CH"/>
        </w:rPr>
        <w:t xml:space="preserve"> ne</w:t>
      </w:r>
      <w:r w:rsidR="00261395">
        <w:rPr>
          <w:lang w:val="fr-CH"/>
        </w:rPr>
        <w:t xml:space="preserve"> tient pas compte des</w:t>
      </w:r>
      <w:r w:rsidRPr="005F23B3">
        <w:rPr>
          <w:lang w:val="fr-CH"/>
        </w:rPr>
        <w:t xml:space="preserve"> réunions régionales préparatoires, </w:t>
      </w:r>
      <w:r w:rsidR="00261395">
        <w:rPr>
          <w:lang w:val="fr-CH"/>
        </w:rPr>
        <w:t>ainsi que des</w:t>
      </w:r>
      <w:r w:rsidRPr="005F23B3">
        <w:rPr>
          <w:lang w:val="fr-CH"/>
        </w:rPr>
        <w:t xml:space="preserve"> consultations et </w:t>
      </w:r>
      <w:r w:rsidR="00261395">
        <w:rPr>
          <w:lang w:val="fr-CH"/>
        </w:rPr>
        <w:t>d</w:t>
      </w:r>
      <w:r w:rsidRPr="005F23B3">
        <w:rPr>
          <w:lang w:val="fr-CH"/>
        </w:rPr>
        <w:t>es travaux</w:t>
      </w:r>
      <w:r w:rsidR="00261395">
        <w:rPr>
          <w:lang w:val="fr-CH"/>
        </w:rPr>
        <w:t xml:space="preserve"> préparatoires</w:t>
      </w:r>
      <w:r w:rsidRPr="005F23B3">
        <w:rPr>
          <w:lang w:val="fr-CH"/>
        </w:rPr>
        <w:t xml:space="preserve"> </w:t>
      </w:r>
      <w:r w:rsidR="00261395">
        <w:rPr>
          <w:lang w:val="fr-CH"/>
        </w:rPr>
        <w:t>menés par l</w:t>
      </w:r>
      <w:r w:rsidRPr="005F23B3">
        <w:rPr>
          <w:lang w:val="fr-CH"/>
        </w:rPr>
        <w:t xml:space="preserve">es Etats Membres au niveau national, </w:t>
      </w:r>
      <w:r w:rsidR="00261395">
        <w:rPr>
          <w:lang w:val="fr-CH"/>
        </w:rPr>
        <w:t xml:space="preserve">de sorte que le coût total </w:t>
      </w:r>
      <w:r w:rsidRPr="005F23B3">
        <w:rPr>
          <w:lang w:val="fr-CH"/>
        </w:rPr>
        <w:t>serait beaucoup plus élevé.</w:t>
      </w:r>
    </w:p>
    <w:p w:rsidR="005F23B3" w:rsidRPr="005F23B3" w:rsidRDefault="005F23B3" w:rsidP="00934E83">
      <w:pPr>
        <w:pStyle w:val="enumlev2"/>
        <w:rPr>
          <w:lang w:val="fr-CH"/>
        </w:rPr>
      </w:pPr>
      <w:r w:rsidRPr="005F23B3">
        <w:rPr>
          <w:lang w:val="fr-CH"/>
        </w:rPr>
        <w:t>c)</w:t>
      </w:r>
      <w:r w:rsidRPr="005F23B3">
        <w:rPr>
          <w:lang w:val="fr-CH"/>
        </w:rPr>
        <w:tab/>
        <w:t>Incidences sur la réputation</w:t>
      </w:r>
      <w:r w:rsidR="00261395">
        <w:rPr>
          <w:lang w:val="fr-CH"/>
        </w:rPr>
        <w:t xml:space="preserve"> de l'Union</w:t>
      </w:r>
      <w:r w:rsidRPr="005F23B3">
        <w:rPr>
          <w:lang w:val="fr-CH"/>
        </w:rPr>
        <w:t xml:space="preserve">: la CMTI-12 </w:t>
      </w:r>
      <w:r w:rsidR="00261395">
        <w:rPr>
          <w:lang w:val="fr-CH"/>
        </w:rPr>
        <w:t>a suscité de très nombreuses</w:t>
      </w:r>
      <w:r w:rsidRPr="005F23B3">
        <w:rPr>
          <w:lang w:val="fr-CH"/>
        </w:rPr>
        <w:t xml:space="preserve"> controverses car elle n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 </w:t>
      </w:r>
      <w:r w:rsidR="00261395">
        <w:rPr>
          <w:lang w:val="fr-CH"/>
        </w:rPr>
        <w:t>pas su dégager un</w:t>
      </w:r>
      <w:r w:rsidRPr="005F23B3">
        <w:rPr>
          <w:lang w:val="fr-CH"/>
        </w:rPr>
        <w:t xml:space="preserve"> consensus</w:t>
      </w:r>
      <w:r w:rsidR="00261395">
        <w:rPr>
          <w:lang w:val="fr-CH"/>
        </w:rPr>
        <w:t>,</w:t>
      </w:r>
      <w:r w:rsidR="006C05EB">
        <w:rPr>
          <w:lang w:val="fr-CH"/>
        </w:rPr>
        <w:t xml:space="preserve"> </w:t>
      </w:r>
      <w:r w:rsidR="00261395">
        <w:rPr>
          <w:lang w:val="fr-CH"/>
        </w:rPr>
        <w:t>elle a manqué de transparence et la</w:t>
      </w:r>
      <w:r w:rsidRPr="005F23B3">
        <w:rPr>
          <w:lang w:val="fr-CH"/>
        </w:rPr>
        <w:t xml:space="preserve"> participation des parties prenantes</w:t>
      </w:r>
      <w:r w:rsidR="00261395">
        <w:rPr>
          <w:lang w:val="fr-CH"/>
        </w:rPr>
        <w:t xml:space="preserve"> n'a pas été adéquate</w:t>
      </w:r>
      <w:r w:rsidRPr="005F23B3">
        <w:rPr>
          <w:lang w:val="fr-CH"/>
        </w:rPr>
        <w:t xml:space="preserve">. </w:t>
      </w:r>
      <w:r w:rsidR="00261395">
        <w:rPr>
          <w:lang w:val="fr-CH"/>
        </w:rPr>
        <w:t>C</w:t>
      </w:r>
      <w:r w:rsidRPr="005F23B3">
        <w:rPr>
          <w:lang w:val="fr-CH"/>
        </w:rPr>
        <w:t xml:space="preserve">ertains rapports des médias </w:t>
      </w:r>
      <w:r w:rsidR="006C05EB">
        <w:rPr>
          <w:lang w:val="fr-CH"/>
        </w:rPr>
        <w:t xml:space="preserve">ont certes </w:t>
      </w:r>
      <w:r w:rsidR="00934E83">
        <w:rPr>
          <w:lang w:val="fr-CH"/>
        </w:rPr>
        <w:t>été</w:t>
      </w:r>
      <w:r w:rsidRPr="005F23B3">
        <w:rPr>
          <w:lang w:val="fr-CH"/>
        </w:rPr>
        <w:t xml:space="preserve"> excessifs, </w:t>
      </w:r>
      <w:r w:rsidR="006C05EB">
        <w:rPr>
          <w:lang w:val="fr-CH"/>
        </w:rPr>
        <w:t xml:space="preserve">mais </w:t>
      </w:r>
      <w:r w:rsidRPr="005F23B3">
        <w:rPr>
          <w:lang w:val="fr-CH"/>
        </w:rPr>
        <w:t>il est indéniable que la CMTI-12 n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 pas répondu aux attentes des parties prenantes </w:t>
      </w:r>
      <w:r w:rsidR="006C05EB">
        <w:rPr>
          <w:lang w:val="fr-CH"/>
        </w:rPr>
        <w:t>qui souhaitaient</w:t>
      </w:r>
      <w:r w:rsidRPr="005F23B3">
        <w:rPr>
          <w:lang w:val="fr-CH"/>
        </w:rPr>
        <w:t xml:space="preserve"> un processus ouvert, inclusif et transparent. Nous félicitons l</w:t>
      </w:r>
      <w:r w:rsidR="00F65750">
        <w:rPr>
          <w:lang w:val="fr-CH"/>
        </w:rPr>
        <w:t>'</w:t>
      </w:r>
      <w:r w:rsidRPr="005F23B3">
        <w:rPr>
          <w:lang w:val="fr-CH"/>
        </w:rPr>
        <w:t>UIT d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avoir pris </w:t>
      </w:r>
      <w:r w:rsidR="006C05EB" w:rsidRPr="005F23B3">
        <w:rPr>
          <w:lang w:val="fr-CH"/>
        </w:rPr>
        <w:t xml:space="preserve">ces dernières années </w:t>
      </w:r>
      <w:r w:rsidRPr="005F23B3">
        <w:rPr>
          <w:lang w:val="fr-CH"/>
        </w:rPr>
        <w:t>des mesures en faveur de</w:t>
      </w:r>
      <w:r w:rsidR="006C05EB">
        <w:rPr>
          <w:lang w:val="fr-CH"/>
        </w:rPr>
        <w:t>s</w:t>
      </w:r>
      <w:r w:rsidRPr="005F23B3">
        <w:rPr>
          <w:lang w:val="fr-CH"/>
        </w:rPr>
        <w:t xml:space="preserve"> </w:t>
      </w:r>
      <w:r w:rsidR="006C05EB">
        <w:rPr>
          <w:lang w:val="fr-CH"/>
        </w:rPr>
        <w:t>organisations</w:t>
      </w:r>
      <w:r w:rsidRPr="005F23B3">
        <w:rPr>
          <w:lang w:val="fr-CH"/>
        </w:rPr>
        <w:t xml:space="preserve"> non gouvernementales et </w:t>
      </w:r>
      <w:r w:rsidR="006C05EB">
        <w:rPr>
          <w:lang w:val="fr-CH"/>
        </w:rPr>
        <w:t xml:space="preserve">des parties prenantes </w:t>
      </w:r>
      <w:r w:rsidR="00346E78">
        <w:rPr>
          <w:lang w:val="fr-CH"/>
        </w:rPr>
        <w:t xml:space="preserve">issues </w:t>
      </w:r>
      <w:r w:rsidRPr="005F23B3">
        <w:rPr>
          <w:lang w:val="fr-CH"/>
        </w:rPr>
        <w:t xml:space="preserve">de la société civile, en particulier en </w:t>
      </w:r>
      <w:r w:rsidR="006C05EB">
        <w:rPr>
          <w:lang w:val="fr-CH"/>
        </w:rPr>
        <w:t>ouvrant la catégorie de</w:t>
      </w:r>
      <w:r w:rsidRPr="005F23B3">
        <w:rPr>
          <w:lang w:val="fr-CH"/>
        </w:rPr>
        <w:t xml:space="preserve"> </w:t>
      </w:r>
      <w:r w:rsidR="006C05EB">
        <w:rPr>
          <w:lang w:val="fr-CH"/>
        </w:rPr>
        <w:t>Membre</w:t>
      </w:r>
      <w:r w:rsidR="006C05EB" w:rsidRPr="005F23B3">
        <w:rPr>
          <w:lang w:val="fr-CH"/>
        </w:rPr>
        <w:t xml:space="preserve"> de Secteur </w:t>
      </w:r>
      <w:r w:rsidR="006C05EB">
        <w:rPr>
          <w:lang w:val="fr-CH"/>
        </w:rPr>
        <w:t xml:space="preserve">à des </w:t>
      </w:r>
      <w:r w:rsidRPr="005F23B3">
        <w:rPr>
          <w:lang w:val="fr-CH"/>
        </w:rPr>
        <w:t>membres ne s</w:t>
      </w:r>
      <w:r w:rsidR="00F65750">
        <w:rPr>
          <w:lang w:val="fr-CH"/>
        </w:rPr>
        <w:t>'</w:t>
      </w:r>
      <w:r w:rsidRPr="005F23B3">
        <w:rPr>
          <w:lang w:val="fr-CH"/>
        </w:rPr>
        <w:t>acquittant d</w:t>
      </w:r>
      <w:r w:rsidR="00F65750">
        <w:rPr>
          <w:lang w:val="fr-CH"/>
        </w:rPr>
        <w:t>'</w:t>
      </w:r>
      <w:r w:rsidRPr="005F23B3">
        <w:rPr>
          <w:lang w:val="fr-CH"/>
        </w:rPr>
        <w:t>aucune contribution, en adoptant à titre préliminaire une nouvelle politique en matière d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accès aux documents, et en menant des consultations en ligne et traditionnelles </w:t>
      </w:r>
      <w:r w:rsidR="00261395">
        <w:rPr>
          <w:lang w:val="fr-CH"/>
        </w:rPr>
        <w:t>pour le groupe</w:t>
      </w:r>
      <w:r w:rsidRPr="005F23B3">
        <w:rPr>
          <w:lang w:val="fr-CH"/>
        </w:rPr>
        <w:t xml:space="preserve"> GTC-Internet. Toutefois, nous sommes d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avis </w:t>
      </w:r>
      <w:r w:rsidR="00926A30">
        <w:rPr>
          <w:lang w:val="fr-CH"/>
        </w:rPr>
        <w:t>qu'il reste encore beaucoup à faire</w:t>
      </w:r>
      <w:r w:rsidRPr="005F23B3">
        <w:rPr>
          <w:lang w:val="fr-CH"/>
        </w:rPr>
        <w:t xml:space="preserve"> pour garantir une participation significative des parties prenantes et éviter tout risque de nuire à la réputation de l</w:t>
      </w:r>
      <w:r w:rsidR="00F65750">
        <w:rPr>
          <w:lang w:val="fr-CH"/>
        </w:rPr>
        <w:t>'</w:t>
      </w:r>
      <w:r w:rsidRPr="005F23B3">
        <w:rPr>
          <w:lang w:val="fr-CH"/>
        </w:rPr>
        <w:t>UIT.</w:t>
      </w:r>
    </w:p>
    <w:p w:rsidR="005F23B3" w:rsidRPr="005F23B3" w:rsidRDefault="005F23B3" w:rsidP="00926A30">
      <w:pPr>
        <w:pStyle w:val="enumlev1"/>
        <w:rPr>
          <w:lang w:val="fr-CH"/>
        </w:rPr>
      </w:pPr>
      <w:r w:rsidRPr="005F23B3">
        <w:rPr>
          <w:lang w:val="fr-CH"/>
        </w:rPr>
        <w:t>5</w:t>
      </w:r>
      <w:r>
        <w:rPr>
          <w:lang w:val="fr-CH"/>
        </w:rPr>
        <w:t>)</w:t>
      </w:r>
      <w:r w:rsidRPr="005F23B3">
        <w:rPr>
          <w:lang w:val="fr-CH"/>
        </w:rPr>
        <w:tab/>
        <w:t>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APC réaffirme que le </w:t>
      </w:r>
      <w:r w:rsidRPr="009E29E8">
        <w:rPr>
          <w:b/>
          <w:bCs/>
          <w:lang w:val="fr-CH"/>
        </w:rPr>
        <w:t>RTI devrait continuer de traiter des télécommunications de base</w:t>
      </w:r>
      <w:r w:rsidRPr="005F23B3">
        <w:rPr>
          <w:lang w:val="fr-CH"/>
        </w:rPr>
        <w:t xml:space="preserve"> et </w:t>
      </w:r>
      <w:r w:rsidR="00926A30" w:rsidRPr="009E29E8">
        <w:rPr>
          <w:b/>
          <w:bCs/>
          <w:lang w:val="fr-CH"/>
        </w:rPr>
        <w:t>ne devrait pas être élargi</w:t>
      </w:r>
      <w:r w:rsidRPr="009E29E8">
        <w:rPr>
          <w:b/>
          <w:bCs/>
          <w:lang w:val="fr-CH"/>
        </w:rPr>
        <w:t xml:space="preserve"> aux services qui </w:t>
      </w:r>
      <w:r w:rsidR="00926A30" w:rsidRPr="009E29E8">
        <w:rPr>
          <w:b/>
          <w:bCs/>
          <w:lang w:val="fr-CH"/>
        </w:rPr>
        <w:t>utilisent</w:t>
      </w:r>
      <w:r w:rsidRPr="009E29E8">
        <w:rPr>
          <w:b/>
          <w:bCs/>
          <w:lang w:val="fr-CH"/>
        </w:rPr>
        <w:t xml:space="preserve"> les réseaux de télécommunication, comme les TIC en général ou l</w:t>
      </w:r>
      <w:r w:rsidR="00F65750" w:rsidRPr="009E29E8">
        <w:rPr>
          <w:b/>
          <w:bCs/>
          <w:lang w:val="fr-CH"/>
        </w:rPr>
        <w:t>'</w:t>
      </w:r>
      <w:r w:rsidRPr="009E29E8">
        <w:rPr>
          <w:b/>
          <w:bCs/>
          <w:lang w:val="fr-CH"/>
        </w:rPr>
        <w:t>Internet</w:t>
      </w:r>
      <w:r w:rsidRPr="005F23B3">
        <w:rPr>
          <w:lang w:val="fr-CH"/>
        </w:rPr>
        <w:t xml:space="preserve"> en particulier</w:t>
      </w:r>
      <w:r w:rsidR="00926A30">
        <w:rPr>
          <w:lang w:val="fr-CH"/>
        </w:rPr>
        <w:t>.</w:t>
      </w:r>
      <w:r w:rsidRPr="005F23B3">
        <w:rPr>
          <w:lang w:val="fr-CH"/>
        </w:rPr>
        <w:t xml:space="preserve"> </w:t>
      </w:r>
      <w:r w:rsidR="00926A30" w:rsidRPr="009E29E8">
        <w:rPr>
          <w:b/>
          <w:bCs/>
          <w:lang w:val="fr-CH"/>
        </w:rPr>
        <w:t>L</w:t>
      </w:r>
      <w:r w:rsidRPr="009E29E8">
        <w:rPr>
          <w:b/>
          <w:bCs/>
          <w:lang w:val="fr-CH"/>
        </w:rPr>
        <w:t xml:space="preserve">e RTI ne devrait pas englober des objectifs </w:t>
      </w:r>
      <w:r w:rsidR="00926A30" w:rsidRPr="009E29E8">
        <w:rPr>
          <w:b/>
          <w:bCs/>
          <w:lang w:val="fr-CH"/>
        </w:rPr>
        <w:t>de politique</w:t>
      </w:r>
      <w:r w:rsidRPr="009E29E8">
        <w:rPr>
          <w:b/>
          <w:bCs/>
          <w:lang w:val="fr-CH"/>
        </w:rPr>
        <w:t xml:space="preserve"> publique et des domaines de gouvernance qui n</w:t>
      </w:r>
      <w:r w:rsidR="00F65750" w:rsidRPr="009E29E8">
        <w:rPr>
          <w:b/>
          <w:bCs/>
          <w:lang w:val="fr-CH"/>
        </w:rPr>
        <w:t>'</w:t>
      </w:r>
      <w:r w:rsidRPr="009E29E8">
        <w:rPr>
          <w:b/>
          <w:bCs/>
          <w:lang w:val="fr-CH"/>
        </w:rPr>
        <w:t xml:space="preserve">entrent pas dans son mandat actuel </w:t>
      </w:r>
      <w:r w:rsidR="00926A30" w:rsidRPr="009E29E8">
        <w:rPr>
          <w:b/>
          <w:bCs/>
          <w:lang w:val="fr-CH"/>
        </w:rPr>
        <w:t>qui touche le</w:t>
      </w:r>
      <w:r w:rsidRPr="009E29E8">
        <w:rPr>
          <w:b/>
          <w:bCs/>
          <w:lang w:val="fr-CH"/>
        </w:rPr>
        <w:t xml:space="preserve"> secteur des télécommunications</w:t>
      </w:r>
      <w:r w:rsidRPr="005F23B3">
        <w:rPr>
          <w:lang w:val="fr-CH"/>
        </w:rPr>
        <w:t>. En outre</w:t>
      </w:r>
      <w:r w:rsidRPr="00376D8F">
        <w:rPr>
          <w:b/>
          <w:bCs/>
          <w:lang w:val="fr-CH"/>
        </w:rPr>
        <w:t xml:space="preserve">, le RTI devrait toujours </w:t>
      </w:r>
      <w:r w:rsidR="00926A30" w:rsidRPr="00376D8F">
        <w:rPr>
          <w:b/>
          <w:bCs/>
          <w:lang w:val="fr-CH"/>
        </w:rPr>
        <w:t>chercher à</w:t>
      </w:r>
      <w:r w:rsidRPr="00376D8F">
        <w:rPr>
          <w:b/>
          <w:bCs/>
          <w:lang w:val="fr-CH"/>
        </w:rPr>
        <w:t xml:space="preserve"> faciliter et non </w:t>
      </w:r>
      <w:r w:rsidR="00926A30" w:rsidRPr="00376D8F">
        <w:rPr>
          <w:b/>
          <w:bCs/>
          <w:lang w:val="fr-CH"/>
        </w:rPr>
        <w:t>à</w:t>
      </w:r>
      <w:r w:rsidRPr="00376D8F">
        <w:rPr>
          <w:b/>
          <w:bCs/>
          <w:lang w:val="fr-CH"/>
        </w:rPr>
        <w:t xml:space="preserve"> limiter</w:t>
      </w:r>
      <w:r w:rsidRPr="005F23B3">
        <w:rPr>
          <w:lang w:val="fr-CH"/>
        </w:rPr>
        <w:t xml:space="preserve"> le développement des télécommunications et la disponibilité des services de communication.</w:t>
      </w:r>
    </w:p>
    <w:p w:rsidR="009E29E8" w:rsidRDefault="005F23B3" w:rsidP="009E29E8">
      <w:pPr>
        <w:pStyle w:val="enumlev1"/>
        <w:spacing w:before="50"/>
      </w:pPr>
      <w:r>
        <w:rPr>
          <w:lang w:val="fr-CH"/>
        </w:rPr>
        <w:lastRenderedPageBreak/>
        <w:t>6)</w:t>
      </w:r>
      <w:r w:rsidRPr="005F23B3">
        <w:rPr>
          <w:lang w:val="fr-CH"/>
        </w:rPr>
        <w:tab/>
      </w:r>
      <w:r w:rsidR="00926A30">
        <w:rPr>
          <w:lang w:val="fr-CH"/>
        </w:rPr>
        <w:t>En outre</w:t>
      </w:r>
      <w:r w:rsidRPr="005F23B3">
        <w:rPr>
          <w:lang w:val="fr-CH"/>
        </w:rPr>
        <w:t>, nous encourageons l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UIT à prendre de </w:t>
      </w:r>
      <w:r w:rsidR="00926A30">
        <w:rPr>
          <w:lang w:val="fr-CH"/>
        </w:rPr>
        <w:t xml:space="preserve">nouvelles </w:t>
      </w:r>
      <w:r w:rsidRPr="005F23B3">
        <w:rPr>
          <w:lang w:val="fr-CH"/>
        </w:rPr>
        <w:t xml:space="preserve">mesures en vue de faciliter </w:t>
      </w:r>
      <w:r w:rsidR="00926A30">
        <w:rPr>
          <w:lang w:val="fr-CH"/>
        </w:rPr>
        <w:t>une</w:t>
      </w:r>
      <w:r w:rsidRPr="005F23B3">
        <w:rPr>
          <w:lang w:val="fr-CH"/>
        </w:rPr>
        <w:t xml:space="preserve"> participation significative à ses travaux d</w:t>
      </w:r>
      <w:r w:rsidR="00F65750">
        <w:rPr>
          <w:lang w:val="fr-CH"/>
        </w:rPr>
        <w:t>'</w:t>
      </w:r>
      <w:r w:rsidRPr="005F23B3">
        <w:rPr>
          <w:lang w:val="fr-CH"/>
        </w:rPr>
        <w:t xml:space="preserve">acteurs indépendants issus de la société civile, en </w:t>
      </w:r>
      <w:r w:rsidR="00926A30">
        <w:rPr>
          <w:lang w:val="fr-CH"/>
        </w:rPr>
        <w:t>offrant</w:t>
      </w:r>
      <w:r w:rsidRPr="005F23B3">
        <w:rPr>
          <w:lang w:val="fr-CH"/>
        </w:rPr>
        <w:t xml:space="preserve"> </w:t>
      </w:r>
      <w:r w:rsidR="00926A30">
        <w:rPr>
          <w:lang w:val="fr-CH"/>
        </w:rPr>
        <w:t>des</w:t>
      </w:r>
      <w:r w:rsidRPr="005F23B3">
        <w:rPr>
          <w:lang w:val="fr-CH"/>
        </w:rPr>
        <w:t xml:space="preserve"> </w:t>
      </w:r>
      <w:r w:rsidRPr="005F23B3">
        <w:rPr>
          <w:b/>
          <w:bCs/>
          <w:lang w:val="fr-CH"/>
        </w:rPr>
        <w:t>processus</w:t>
      </w:r>
      <w:r w:rsidRPr="005F23B3">
        <w:rPr>
          <w:lang w:val="fr-CH"/>
        </w:rPr>
        <w:t xml:space="preserve"> </w:t>
      </w:r>
      <w:r w:rsidRPr="005F23B3">
        <w:rPr>
          <w:b/>
          <w:bCs/>
          <w:lang w:val="fr-CH"/>
        </w:rPr>
        <w:t>ouvert</w:t>
      </w:r>
      <w:r w:rsidR="00926A30">
        <w:rPr>
          <w:b/>
          <w:bCs/>
          <w:lang w:val="fr-CH"/>
        </w:rPr>
        <w:t>s</w:t>
      </w:r>
      <w:r w:rsidRPr="005F23B3">
        <w:rPr>
          <w:b/>
          <w:bCs/>
          <w:lang w:val="fr-CH"/>
        </w:rPr>
        <w:t xml:space="preserve">, </w:t>
      </w:r>
      <w:r w:rsidR="00926A30">
        <w:rPr>
          <w:b/>
          <w:bCs/>
          <w:lang w:val="fr-CH"/>
        </w:rPr>
        <w:t>participatifs</w:t>
      </w:r>
      <w:r w:rsidRPr="005F23B3">
        <w:rPr>
          <w:b/>
          <w:bCs/>
          <w:lang w:val="fr-CH"/>
        </w:rPr>
        <w:t>, transparent</w:t>
      </w:r>
      <w:r w:rsidR="00926A30">
        <w:rPr>
          <w:b/>
          <w:bCs/>
          <w:lang w:val="fr-CH"/>
        </w:rPr>
        <w:t>s</w:t>
      </w:r>
      <w:r w:rsidRPr="005F23B3">
        <w:rPr>
          <w:b/>
          <w:bCs/>
          <w:lang w:val="fr-CH"/>
        </w:rPr>
        <w:t>, fiable</w:t>
      </w:r>
      <w:r w:rsidR="00926A30">
        <w:rPr>
          <w:b/>
          <w:bCs/>
          <w:lang w:val="fr-CH"/>
        </w:rPr>
        <w:t>s</w:t>
      </w:r>
      <w:r w:rsidRPr="005F23B3">
        <w:rPr>
          <w:b/>
          <w:bCs/>
          <w:lang w:val="fr-CH"/>
        </w:rPr>
        <w:t>, inclusif</w:t>
      </w:r>
      <w:r w:rsidR="00926A30">
        <w:rPr>
          <w:b/>
          <w:bCs/>
          <w:lang w:val="fr-CH"/>
        </w:rPr>
        <w:t>s</w:t>
      </w:r>
      <w:r w:rsidRPr="005F23B3">
        <w:rPr>
          <w:b/>
          <w:bCs/>
          <w:lang w:val="fr-CH"/>
        </w:rPr>
        <w:t xml:space="preserve"> et équitable</w:t>
      </w:r>
      <w:r w:rsidR="00926A30">
        <w:rPr>
          <w:b/>
          <w:bCs/>
          <w:lang w:val="fr-CH"/>
        </w:rPr>
        <w:t>s</w:t>
      </w:r>
      <w:r w:rsidRPr="005F23B3">
        <w:rPr>
          <w:lang w:val="fr-CH"/>
        </w:rPr>
        <w:t>.</w:t>
      </w:r>
    </w:p>
    <w:p w:rsidR="009E29E8" w:rsidRDefault="009E29E8">
      <w:pPr>
        <w:jc w:val="center"/>
      </w:pPr>
      <w:r>
        <w:t>______________</w:t>
      </w:r>
    </w:p>
    <w:sectPr w:rsidR="009E29E8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3A" w:rsidRDefault="00D4793A">
      <w:r>
        <w:separator/>
      </w:r>
    </w:p>
  </w:endnote>
  <w:endnote w:type="continuationSeparator" w:id="0">
    <w:p w:rsidR="00D4793A" w:rsidRDefault="00D4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D3C13">
      <w:rPr>
        <w:lang w:val="en-US"/>
      </w:rPr>
      <w:t>C:\Users\brouard\Desktop\015F.docx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D3C13">
      <w:t>08.09.17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D3C13">
      <w:t>08.09.17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D3C13">
      <w:rPr>
        <w:lang w:val="en-US"/>
      </w:rPr>
      <w:t>C:\Users\brouard\Desktop\015F.docx</w:t>
    </w:r>
    <w:r>
      <w:fldChar w:fldCharType="end"/>
    </w:r>
    <w:r w:rsidR="00F65750">
      <w:t xml:space="preserve"> (423267)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F65750" w:rsidRDefault="001A6508" w:rsidP="00D837AA">
    <w:pPr>
      <w:pStyle w:val="Footer"/>
    </w:pPr>
    <w:r>
      <w:fldChar w:fldCharType="begin"/>
    </w:r>
    <w:r w:rsidRPr="00F65750">
      <w:instrText xml:space="preserve"> FILENAME \p \* MERGEFORMAT </w:instrText>
    </w:r>
    <w:r>
      <w:fldChar w:fldCharType="separate"/>
    </w:r>
    <w:r w:rsidR="00FD3C13">
      <w:t>C:\Users\brouard\Desktop\015F.docx</w:t>
    </w:r>
    <w:r>
      <w:fldChar w:fldCharType="end"/>
    </w:r>
    <w:r w:rsidR="00F65750">
      <w:t xml:space="preserve"> (423267)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3A" w:rsidRDefault="00D4793A">
      <w:r>
        <w:t>____________________</w:t>
      </w:r>
    </w:p>
  </w:footnote>
  <w:footnote w:type="continuationSeparator" w:id="0">
    <w:p w:rsidR="00D4793A" w:rsidRDefault="00D4793A">
      <w:r>
        <w:continuationSeparator/>
      </w:r>
    </w:p>
  </w:footnote>
  <w:footnote w:id="1">
    <w:p w:rsidR="000D1038" w:rsidRDefault="000D10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60D0">
        <w:rPr>
          <w:sz w:val="20"/>
          <w:lang w:val="fr-CH"/>
        </w:rPr>
        <w:t xml:space="preserve">Voir </w:t>
      </w:r>
      <w:hyperlink r:id="rId1" w:history="1">
        <w:r w:rsidRPr="002C60D0">
          <w:rPr>
            <w:rStyle w:val="Hyperlink"/>
            <w:sz w:val="20"/>
            <w:lang w:val="fr-CH"/>
          </w:rPr>
          <w:t>https://www.apc.org/sites/default/files/APC%20Perspectives%20on%20the%20revision%20of%20the%20ITRs_0.pdf</w:t>
        </w:r>
      </w:hyperlink>
      <w:r w:rsidRPr="002C60D0">
        <w:rPr>
          <w:sz w:val="20"/>
          <w:lang w:val="fr-CH"/>
        </w:rPr>
        <w:t xml:space="preserve">. </w:t>
      </w:r>
      <w:r>
        <w:rPr>
          <w:sz w:val="20"/>
          <w:lang w:val="fr-CH"/>
        </w:rPr>
        <w:t>Il est à noter qu’à l’époque, l’APC n’était pas Membre de Secteur de l’UIT et ne pouvait contribuer officiellement à ses travaux que dans les limites des possibilités offertes par les consultations publiques.</w:t>
      </w:r>
    </w:p>
  </w:footnote>
  <w:footnote w:id="2">
    <w:p w:rsidR="005F23B3" w:rsidRPr="006629D4" w:rsidRDefault="005F23B3" w:rsidP="009E29E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6629D4">
        <w:rPr>
          <w:lang w:val="fr-CH"/>
        </w:rPr>
        <w:tab/>
      </w:r>
      <w:r>
        <w:rPr>
          <w:sz w:val="20"/>
          <w:lang w:val="fr-CH"/>
        </w:rPr>
        <w:t>C’est le cas, par exemple, d</w:t>
      </w:r>
      <w:r w:rsidRPr="006629D4">
        <w:rPr>
          <w:sz w:val="20"/>
          <w:lang w:val="fr-CH"/>
        </w:rPr>
        <w:t xml:space="preserve">es propositions </w:t>
      </w:r>
      <w:r>
        <w:rPr>
          <w:sz w:val="20"/>
          <w:lang w:val="fr-CH"/>
        </w:rPr>
        <w:t>qui auraient limité</w:t>
      </w:r>
      <w:r w:rsidRPr="006629D4">
        <w:rPr>
          <w:sz w:val="20"/>
          <w:lang w:val="fr-CH"/>
        </w:rPr>
        <w:t xml:space="preserve"> la capacité des utilisateurs de contourner la censure ou de communiquer de façon anonyme, en donnant le pouvoir aux Etats Membres de déterminer des trajets de routage et </w:t>
      </w:r>
      <w:r w:rsidR="009E29E8">
        <w:rPr>
          <w:sz w:val="20"/>
          <w:lang w:val="fr-CH"/>
        </w:rPr>
        <w:t>"</w:t>
      </w:r>
      <w:r w:rsidRPr="006629D4">
        <w:rPr>
          <w:sz w:val="20"/>
          <w:lang w:val="fr-CH"/>
        </w:rPr>
        <w:t>d’empêcher l'utilisation abusive et le détournement des ressources de numérotage</w:t>
      </w:r>
      <w:r w:rsidR="009E29E8">
        <w:rPr>
          <w:sz w:val="20"/>
          <w:lang w:val="fr-CH"/>
        </w:rPr>
        <w:t>"</w:t>
      </w:r>
      <w:r w:rsidRPr="006629D4">
        <w:rPr>
          <w:sz w:val="20"/>
          <w:lang w:val="fr-CH"/>
        </w:rPr>
        <w:t>; o</w:t>
      </w:r>
      <w:r>
        <w:rPr>
          <w:sz w:val="20"/>
          <w:lang w:val="fr-CH"/>
        </w:rPr>
        <w:t xml:space="preserve">u </w:t>
      </w:r>
      <w:r w:rsidR="009E29E8">
        <w:rPr>
          <w:sz w:val="20"/>
          <w:lang w:val="fr-CH"/>
        </w:rPr>
        <w:t>de celles qui auraient autorisé</w:t>
      </w:r>
      <w:r>
        <w:rPr>
          <w:sz w:val="20"/>
          <w:lang w:val="fr-CH"/>
        </w:rPr>
        <w:t xml:space="preserve"> dans les faits </w:t>
      </w:r>
      <w:r w:rsidR="009E29E8">
        <w:rPr>
          <w:sz w:val="20"/>
          <w:lang w:val="fr-CH"/>
        </w:rPr>
        <w:t>l'arrêt, par l'autorité publique, de l'exploitation</w:t>
      </w:r>
      <w:r>
        <w:rPr>
          <w:sz w:val="20"/>
          <w:lang w:val="fr-CH"/>
        </w:rPr>
        <w:t xml:space="preserve"> des équipements </w:t>
      </w:r>
      <w:r w:rsidR="009E29E8">
        <w:rPr>
          <w:sz w:val="20"/>
          <w:lang w:val="fr-CH"/>
        </w:rPr>
        <w:t>sans</w:t>
      </w:r>
      <w:r>
        <w:rPr>
          <w:sz w:val="20"/>
          <w:lang w:val="fr-CH"/>
        </w:rPr>
        <w:t xml:space="preserve"> licence;</w:t>
      </w:r>
      <w:r w:rsidRPr="006629D4">
        <w:rPr>
          <w:sz w:val="20"/>
          <w:lang w:val="fr-CH"/>
        </w:rPr>
        <w:t xml:space="preserve"> o</w:t>
      </w:r>
      <w:r>
        <w:rPr>
          <w:sz w:val="20"/>
          <w:lang w:val="fr-CH"/>
        </w:rPr>
        <w:t>u encore de celles qui auraient impos</w:t>
      </w:r>
      <w:r w:rsidR="009E29E8">
        <w:rPr>
          <w:sz w:val="20"/>
          <w:lang w:val="fr-CH"/>
        </w:rPr>
        <w:t>é</w:t>
      </w:r>
      <w:r>
        <w:rPr>
          <w:sz w:val="20"/>
          <w:lang w:val="fr-CH"/>
        </w:rPr>
        <w:t xml:space="preserve"> un système mondial d’identificateur numérique, associant à chaque appareil connecté à l’Internet un numéro unique, ce qui aurait porté atteinte à la vie privée des utilisateurs et mis à mal leur confiance.</w:t>
      </w:r>
    </w:p>
  </w:footnote>
  <w:footnote w:id="3">
    <w:p w:rsidR="005F23B3" w:rsidRPr="008465CA" w:rsidRDefault="005F23B3" w:rsidP="005F23B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465CA">
        <w:rPr>
          <w:lang w:val="fr-CH"/>
        </w:rPr>
        <w:tab/>
      </w:r>
      <w:r w:rsidRPr="008465CA">
        <w:rPr>
          <w:sz w:val="20"/>
          <w:lang w:val="fr-CH"/>
        </w:rPr>
        <w:t xml:space="preserve">Voir le Document </w:t>
      </w:r>
      <w:r w:rsidRPr="00B938B6">
        <w:rPr>
          <w:rFonts w:cs="Times New Roman Bold"/>
          <w:spacing w:val="-4"/>
          <w:sz w:val="20"/>
          <w:lang w:val="de-CH"/>
        </w:rPr>
        <w:t>EG-ITRs-2/4-</w:t>
      </w:r>
      <w:r>
        <w:rPr>
          <w:rFonts w:cs="Times New Roman Bold"/>
          <w:spacing w:val="-4"/>
          <w:sz w:val="20"/>
          <w:lang w:val="de-CH"/>
        </w:rPr>
        <w:t>F</w:t>
      </w:r>
      <w:r w:rsidRPr="00B938B6">
        <w:rPr>
          <w:rFonts w:cs="Times New Roman Bold"/>
          <w:spacing w:val="-4"/>
          <w:sz w:val="20"/>
          <w:lang w:val="de-CH"/>
        </w:rPr>
        <w:t xml:space="preserve"> </w:t>
      </w:r>
      <w:r w:rsidR="009E29E8">
        <w:rPr>
          <w:rFonts w:cs="Times New Roman Bold"/>
          <w:spacing w:val="-4"/>
          <w:sz w:val="20"/>
          <w:lang w:val="de-CH"/>
        </w:rPr>
        <w:t xml:space="preserve">qui est une </w:t>
      </w:r>
      <w:r w:rsidR="009E29E8" w:rsidRPr="008465CA">
        <w:rPr>
          <w:rFonts w:cs="Times New Roman Bold"/>
          <w:spacing w:val="-4"/>
          <w:sz w:val="20"/>
          <w:lang w:val="fr-CH"/>
        </w:rPr>
        <w:t>contribution</w:t>
      </w:r>
      <w:r w:rsidRPr="008465CA">
        <w:rPr>
          <w:rFonts w:cs="Times New Roman Bold"/>
          <w:spacing w:val="-4"/>
          <w:sz w:val="20"/>
          <w:lang w:val="fr-CH"/>
        </w:rPr>
        <w:t xml:space="preserve"> de la République fédérative du Brésil.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D3C1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B3"/>
    <w:rsid w:val="000D0D0A"/>
    <w:rsid w:val="000D1038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1395"/>
    <w:rsid w:val="00263A51"/>
    <w:rsid w:val="00267E02"/>
    <w:rsid w:val="002A5D44"/>
    <w:rsid w:val="002E0BC4"/>
    <w:rsid w:val="002F1B76"/>
    <w:rsid w:val="00346E78"/>
    <w:rsid w:val="00355FF5"/>
    <w:rsid w:val="00361350"/>
    <w:rsid w:val="00376D8F"/>
    <w:rsid w:val="004038CB"/>
    <w:rsid w:val="0040546F"/>
    <w:rsid w:val="0042404A"/>
    <w:rsid w:val="0044618F"/>
    <w:rsid w:val="0046769A"/>
    <w:rsid w:val="00474A8E"/>
    <w:rsid w:val="00475FB3"/>
    <w:rsid w:val="004930D2"/>
    <w:rsid w:val="004A559F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23B3"/>
    <w:rsid w:val="005F7BFE"/>
    <w:rsid w:val="00600017"/>
    <w:rsid w:val="006235CA"/>
    <w:rsid w:val="006643AB"/>
    <w:rsid w:val="006A785C"/>
    <w:rsid w:val="006C05E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6AA2"/>
    <w:rsid w:val="008D76E6"/>
    <w:rsid w:val="0092392D"/>
    <w:rsid w:val="00926A30"/>
    <w:rsid w:val="0093234A"/>
    <w:rsid w:val="00934E83"/>
    <w:rsid w:val="0099613D"/>
    <w:rsid w:val="009B3BDE"/>
    <w:rsid w:val="009C307F"/>
    <w:rsid w:val="009E29E8"/>
    <w:rsid w:val="00A2113E"/>
    <w:rsid w:val="00A23A51"/>
    <w:rsid w:val="00A24607"/>
    <w:rsid w:val="00A25CD3"/>
    <w:rsid w:val="00A82767"/>
    <w:rsid w:val="00AA332F"/>
    <w:rsid w:val="00AA7BBB"/>
    <w:rsid w:val="00AB64A8"/>
    <w:rsid w:val="00AB7C23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CF431C"/>
    <w:rsid w:val="00D375CD"/>
    <w:rsid w:val="00D4793A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4F64"/>
    <w:rsid w:val="00EB6350"/>
    <w:rsid w:val="00F06D00"/>
    <w:rsid w:val="00F15B57"/>
    <w:rsid w:val="00F427DB"/>
    <w:rsid w:val="00F65750"/>
    <w:rsid w:val="00FA5EB1"/>
    <w:rsid w:val="00FA7439"/>
    <w:rsid w:val="00FC19BD"/>
    <w:rsid w:val="00FC4EC0"/>
    <w:rsid w:val="00FD3C1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EC794B-209B-4FF5-B535-BBEC964E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c.org/sites/default/files/APC%20Perspectives%20on%20the%20revision%20of%20the%20ITRs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E6E3-7DF9-40E3-900E-3EB1AA50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de l'APC</vt:lpstr>
    </vt:vector>
  </TitlesOfParts>
  <Manager>Secrétariat général - Pool</Manager>
  <Company>Union internationale des télécommunications (UIT)</Company>
  <LinksUpToDate>false</LinksUpToDate>
  <CharactersWithSpaces>5213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l'APC</dc:title>
  <dc:subject>EG-ITRs</dc:subject>
  <dc:creator>Bontemps, Johann</dc:creator>
  <cp:keywords>EG-ITRs</cp:keywords>
  <dc:description/>
  <cp:lastModifiedBy>Brouard, Ricarda</cp:lastModifiedBy>
  <cp:revision>4</cp:revision>
  <cp:lastPrinted>2017-09-08T13:10:00Z</cp:lastPrinted>
  <dcterms:created xsi:type="dcterms:W3CDTF">2017-09-08T13:10:00Z</dcterms:created>
  <dcterms:modified xsi:type="dcterms:W3CDTF">2017-09-08T13:10:00Z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