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2ED59012" wp14:editId="5204D1AA">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950A5B" w:rsidP="00950A5B">
            <w:pPr>
              <w:rPr>
                <w:rFonts w:eastAsiaTheme="minorEastAsia"/>
                <w:rtl/>
                <w:lang w:eastAsia="zh-CN" w:bidi="ar-EG"/>
              </w:rPr>
            </w:pPr>
            <w:r w:rsidRPr="00950A5B">
              <w:rPr>
                <w:rFonts w:eastAsiaTheme="minorEastAsia" w:hint="cs"/>
                <w:b/>
                <w:bCs/>
                <w:sz w:val="24"/>
                <w:szCs w:val="32"/>
                <w:rtl/>
                <w:lang w:eastAsia="zh-CN" w:bidi="ar-EG"/>
              </w:rPr>
              <w:t xml:space="preserve">الاجتماع </w:t>
            </w:r>
            <w:r w:rsidRPr="00950A5B">
              <w:rPr>
                <w:rFonts w:eastAsiaTheme="minorEastAsia" w:hint="cs"/>
                <w:b/>
                <w:bCs/>
                <w:sz w:val="24"/>
                <w:szCs w:val="32"/>
                <w:rtl/>
                <w:lang w:eastAsia="zh-CN"/>
              </w:rPr>
              <w:t>الثاني</w:t>
            </w:r>
            <w:r w:rsidRPr="00950A5B">
              <w:rPr>
                <w:rFonts w:eastAsiaTheme="minorEastAsia" w:hint="cs"/>
                <w:b/>
                <w:bCs/>
                <w:sz w:val="24"/>
                <w:szCs w:val="32"/>
                <w:rtl/>
                <w:lang w:eastAsia="zh-CN" w:bidi="ar-EG"/>
              </w:rPr>
              <w:t xml:space="preserve"> - جنيف، </w:t>
            </w:r>
            <w:r w:rsidRPr="00950A5B">
              <w:rPr>
                <w:rFonts w:eastAsiaTheme="minorEastAsia"/>
                <w:b/>
                <w:bCs/>
                <w:sz w:val="24"/>
                <w:szCs w:val="32"/>
                <w:lang w:eastAsia="zh-CN" w:bidi="ar-EG"/>
              </w:rPr>
              <w:t>15-13</w:t>
            </w:r>
            <w:r w:rsidRPr="00950A5B">
              <w:rPr>
                <w:rFonts w:eastAsiaTheme="minorEastAsia" w:hint="cs"/>
                <w:b/>
                <w:bCs/>
                <w:sz w:val="24"/>
                <w:szCs w:val="32"/>
                <w:rtl/>
                <w:lang w:eastAsia="zh-CN" w:bidi="ar-EG"/>
              </w:rPr>
              <w:t xml:space="preserve"> سبتمبر </w:t>
            </w:r>
            <w:r w:rsidRPr="00950A5B">
              <w:rPr>
                <w:rFonts w:eastAsiaTheme="minorEastAsia"/>
                <w:b/>
                <w:bCs/>
                <w:sz w:val="24"/>
                <w:szCs w:val="32"/>
                <w:lang w:eastAsia="zh-CN" w:bidi="ar-EG"/>
              </w:rPr>
              <w:t>2017</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p>
        </w:tc>
        <w:tc>
          <w:tcPr>
            <w:tcW w:w="3052" w:type="dxa"/>
            <w:vAlign w:val="center"/>
          </w:tcPr>
          <w:p w:rsidR="00950A5B" w:rsidRPr="00950A5B" w:rsidRDefault="00950A5B" w:rsidP="0001628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EG-ITR-2/</w:t>
            </w:r>
            <w:r w:rsidR="00016285">
              <w:rPr>
                <w:rFonts w:eastAsiaTheme="minorEastAsia"/>
                <w:b/>
                <w:bCs/>
                <w:lang w:eastAsia="zh-CN" w:bidi="ar-SY"/>
              </w:rPr>
              <w:t>15</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950A5B" w:rsidRPr="00950A5B" w:rsidRDefault="00016285"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EG"/>
              </w:rPr>
              <w:t>31</w:t>
            </w:r>
            <w:r w:rsidR="00950A5B" w:rsidRPr="00950A5B">
              <w:rPr>
                <w:rFonts w:eastAsiaTheme="minorEastAsia" w:hint="cs"/>
                <w:b/>
                <w:bCs/>
                <w:rtl/>
                <w:lang w:eastAsia="zh-CN" w:bidi="ar-EG"/>
              </w:rPr>
              <w:t xml:space="preserve"> أغسطس </w:t>
            </w:r>
            <w:r w:rsidR="00950A5B" w:rsidRPr="00950A5B">
              <w:rPr>
                <w:rFonts w:eastAsiaTheme="minorEastAsia"/>
                <w:b/>
                <w:bCs/>
                <w:lang w:eastAsia="zh-CN" w:bidi="ar-SY"/>
              </w:rPr>
              <w:t>2017</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b/>
                <w:bCs/>
                <w:rtl/>
                <w:lang w:eastAsia="zh-CN" w:bidi="ar-EG"/>
              </w:rPr>
              <w:t xml:space="preserve">الأصل: </w:t>
            </w:r>
            <w:r w:rsidRPr="00950A5B">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016285" w:rsidP="00016285">
            <w:pPr>
              <w:pStyle w:val="Source"/>
              <w:rPr>
                <w:rFonts w:eastAsiaTheme="minorEastAsia"/>
                <w:lang w:eastAsia="zh-CN"/>
              </w:rPr>
            </w:pPr>
            <w:r w:rsidRPr="00016285">
              <w:rPr>
                <w:rFonts w:eastAsiaTheme="minorEastAsia" w:hint="cs"/>
                <w:rtl/>
                <w:lang w:eastAsia="zh-CN"/>
              </w:rPr>
              <w:t>مساهمة من رابطة الاتصالات التقدمية</w:t>
            </w:r>
            <w:r w:rsidR="0039783E">
              <w:rPr>
                <w:rFonts w:eastAsiaTheme="minorEastAsia" w:hint="cs"/>
                <w:rtl/>
                <w:lang w:eastAsia="zh-CN"/>
              </w:rPr>
              <w:t xml:space="preserve"> </w:t>
            </w:r>
            <w:r w:rsidR="0039783E">
              <w:rPr>
                <w:rFonts w:eastAsiaTheme="minorEastAsia"/>
                <w:lang w:eastAsia="zh-CN"/>
              </w:rPr>
              <w:t>(APC)</w:t>
            </w:r>
          </w:p>
        </w:tc>
      </w:tr>
      <w:tr w:rsidR="00950A5B" w:rsidRPr="00950A5B" w:rsidTr="004B6B8C">
        <w:trPr>
          <w:cantSplit/>
        </w:trPr>
        <w:tc>
          <w:tcPr>
            <w:tcW w:w="9672" w:type="dxa"/>
            <w:gridSpan w:val="2"/>
          </w:tcPr>
          <w:p w:rsidR="00950A5B" w:rsidRPr="00950A5B" w:rsidRDefault="00016285" w:rsidP="00016285">
            <w:pPr>
              <w:pStyle w:val="Title1"/>
              <w:rPr>
                <w:rFonts w:eastAsiaTheme="minorEastAsia"/>
                <w:rtl/>
                <w:lang w:eastAsia="zh-CN"/>
              </w:rPr>
            </w:pPr>
            <w:r w:rsidRPr="00016285">
              <w:rPr>
                <w:rFonts w:eastAsiaTheme="minorEastAsia" w:hint="cs"/>
                <w:rtl/>
                <w:lang w:eastAsia="zh-CN"/>
              </w:rPr>
              <w:t xml:space="preserve">استعراض لوائح الاتصالات الدولية لعام </w:t>
            </w:r>
            <w:r w:rsidRPr="00016285">
              <w:rPr>
                <w:rFonts w:eastAsiaTheme="minorEastAsia"/>
                <w:lang w:eastAsia="zh-CN"/>
              </w:rPr>
              <w:t>2012</w:t>
            </w:r>
          </w:p>
        </w:tc>
      </w:tr>
      <w:tr w:rsidR="00016285" w:rsidRPr="00950A5B" w:rsidTr="004B6B8C">
        <w:trPr>
          <w:cantSplit/>
        </w:trPr>
        <w:tc>
          <w:tcPr>
            <w:tcW w:w="9672" w:type="dxa"/>
            <w:gridSpan w:val="2"/>
          </w:tcPr>
          <w:p w:rsidR="00016285" w:rsidRPr="00016285" w:rsidRDefault="00016285" w:rsidP="00016285">
            <w:pPr>
              <w:rPr>
                <w:rFonts w:eastAsiaTheme="minorEastAsia"/>
                <w:rtl/>
                <w:lang w:eastAsia="zh-CN"/>
              </w:rPr>
            </w:pPr>
          </w:p>
        </w:tc>
      </w:tr>
    </w:tbl>
    <w:p w:rsidR="00016285" w:rsidRPr="00016285" w:rsidRDefault="00016285" w:rsidP="00016285">
      <w:pPr>
        <w:rPr>
          <w:rFonts w:eastAsiaTheme="minorEastAsia"/>
          <w:rtl/>
          <w:lang w:eastAsia="zh-CN" w:bidi="ar"/>
        </w:rPr>
      </w:pPr>
      <w:bookmarkStart w:id="1" w:name="lt_pId026"/>
      <w:r w:rsidRPr="00016285">
        <w:rPr>
          <w:rFonts w:eastAsiaTheme="minorEastAsia"/>
          <w:lang w:eastAsia="zh-CN"/>
        </w:rPr>
        <w:t>1</w:t>
      </w:r>
      <w:r w:rsidRPr="00016285">
        <w:rPr>
          <w:rFonts w:eastAsiaTheme="minorEastAsia"/>
          <w:rtl/>
          <w:lang w:eastAsia="zh-CN" w:bidi="ar-LB"/>
        </w:rPr>
        <w:tab/>
      </w:r>
      <w:r w:rsidRPr="00016285">
        <w:rPr>
          <w:rFonts w:eastAsiaTheme="minorEastAsia" w:hint="cs"/>
          <w:rtl/>
          <w:lang w:eastAsia="zh-CN" w:bidi="ar-LB"/>
        </w:rPr>
        <w:t xml:space="preserve">ترحب رابطة الاتصالات التقدمية </w:t>
      </w:r>
      <w:r w:rsidRPr="00016285">
        <w:rPr>
          <w:rFonts w:eastAsiaTheme="minorEastAsia"/>
          <w:lang w:eastAsia="zh-CN"/>
        </w:rPr>
        <w:t>(APC)</w:t>
      </w:r>
      <w:r w:rsidRPr="00016285">
        <w:rPr>
          <w:rFonts w:eastAsiaTheme="minorEastAsia" w:hint="cs"/>
          <w:rtl/>
          <w:lang w:eastAsia="zh-CN" w:bidi="ar-LB"/>
        </w:rPr>
        <w:t xml:space="preserve"> بالفرصة المتاحة لتقديم هذه المساهمة في الاجتماع الثاني ل</w:t>
      </w:r>
      <w:r w:rsidRPr="00016285">
        <w:rPr>
          <w:rFonts w:eastAsiaTheme="minorEastAsia" w:hint="cs"/>
          <w:rtl/>
          <w:lang w:eastAsia="zh-CN" w:bidi="ar-EG"/>
        </w:rPr>
        <w:t>فريق الخبراء المعني بلوائح الاتصالات الدولي</w:t>
      </w:r>
      <w:r w:rsidRPr="00016285">
        <w:rPr>
          <w:rFonts w:eastAsiaTheme="minorEastAsia" w:hint="cs"/>
          <w:rtl/>
          <w:lang w:eastAsia="zh-CN" w:bidi="ar"/>
        </w:rPr>
        <w:t>ة</w:t>
      </w:r>
      <w:r>
        <w:rPr>
          <w:rFonts w:eastAsiaTheme="minorEastAsia" w:hint="eastAsia"/>
          <w:rtl/>
          <w:lang w:eastAsia="zh-CN" w:bidi="ar-EG"/>
        </w:rPr>
        <w:t> </w:t>
      </w:r>
      <w:r>
        <w:rPr>
          <w:rFonts w:eastAsiaTheme="minorEastAsia"/>
          <w:lang w:eastAsia="zh-CN" w:bidi="ar-EG"/>
        </w:rPr>
        <w:t>(ITR)</w:t>
      </w:r>
      <w:r w:rsidRPr="00016285">
        <w:rPr>
          <w:rFonts w:eastAsiaTheme="minorEastAsia" w:hint="cs"/>
          <w:rtl/>
          <w:lang w:eastAsia="zh-CN" w:bidi="ar"/>
        </w:rPr>
        <w:t>. ورابطة الاتصالات التقدمية، التي هي عضو في قطاع تنمية الاتصالات وقطاع الاتصالات الراديوية، عبارة عن شبكة دولية لمنظمات المجتمع المدني المعنية بتكنولوجيا المعلومات والاتصالات والإنترنت والتنمية والحقوق. وقد</w:t>
      </w:r>
      <w:r>
        <w:rPr>
          <w:rFonts w:eastAsiaTheme="minorEastAsia" w:hint="eastAsia"/>
          <w:rtl/>
          <w:lang w:eastAsia="zh-CN" w:bidi="ar"/>
        </w:rPr>
        <w:t> </w:t>
      </w:r>
      <w:r w:rsidRPr="00016285">
        <w:rPr>
          <w:rFonts w:eastAsiaTheme="minorEastAsia" w:hint="cs"/>
          <w:rtl/>
          <w:lang w:eastAsia="zh-CN" w:bidi="ar"/>
        </w:rPr>
        <w:t xml:space="preserve">تابعت رابطة الاتصالات التقدمية عملية </w:t>
      </w:r>
      <w:r w:rsidRPr="00016285">
        <w:rPr>
          <w:rFonts w:eastAsiaTheme="minorEastAsia"/>
          <w:rtl/>
          <w:lang w:eastAsia="zh-CN"/>
        </w:rPr>
        <w:t xml:space="preserve">المؤتمر العالمي للاتصالات الدولية لعام </w:t>
      </w:r>
      <w:r w:rsidRPr="00016285">
        <w:rPr>
          <w:rFonts w:eastAsiaTheme="minorEastAsia"/>
          <w:lang w:eastAsia="zh-CN"/>
        </w:rPr>
        <w:t>2012</w:t>
      </w:r>
      <w:r w:rsidRPr="00016285">
        <w:rPr>
          <w:rFonts w:eastAsiaTheme="minorEastAsia" w:hint="cs"/>
          <w:rtl/>
          <w:lang w:eastAsia="zh-CN" w:bidi="ar-LB"/>
        </w:rPr>
        <w:t xml:space="preserve"> بشكل وثيق وساهمت قدر المستطاع في</w:t>
      </w:r>
      <w:r>
        <w:rPr>
          <w:rFonts w:eastAsiaTheme="minorEastAsia" w:hint="eastAsia"/>
          <w:rtl/>
          <w:lang w:eastAsia="zh-CN" w:bidi="ar-LB"/>
        </w:rPr>
        <w:t> </w:t>
      </w:r>
      <w:r w:rsidRPr="00016285">
        <w:rPr>
          <w:rFonts w:eastAsiaTheme="minorEastAsia" w:hint="cs"/>
          <w:rtl/>
          <w:lang w:eastAsia="zh-CN" w:bidi="ar-LB"/>
        </w:rPr>
        <w:t>تنظيم المجتمع المدني.</w:t>
      </w:r>
      <w:r w:rsidRPr="00016285">
        <w:rPr>
          <w:rStyle w:val="FootnoteReference"/>
          <w:rtl/>
          <w:lang w:eastAsia="zh-CN" w:bidi="ar-LB"/>
        </w:rPr>
        <w:footnoteReference w:id="1"/>
      </w:r>
    </w:p>
    <w:p w:rsidR="00016285" w:rsidRPr="00016285" w:rsidRDefault="00016285" w:rsidP="001F7426">
      <w:pPr>
        <w:rPr>
          <w:rFonts w:eastAsiaTheme="minorEastAsia"/>
          <w:rtl/>
          <w:lang w:eastAsia="zh-CN" w:bidi="ar-LB"/>
        </w:rPr>
      </w:pPr>
      <w:r w:rsidRPr="00016285">
        <w:rPr>
          <w:rFonts w:eastAsiaTheme="minorEastAsia"/>
          <w:lang w:eastAsia="zh-CN"/>
        </w:rPr>
        <w:t>2</w:t>
      </w:r>
      <w:r w:rsidRPr="00016285">
        <w:rPr>
          <w:rFonts w:eastAsiaTheme="minorEastAsia"/>
          <w:rtl/>
          <w:lang w:eastAsia="zh-CN" w:bidi="ar-LB"/>
        </w:rPr>
        <w:tab/>
      </w:r>
      <w:r w:rsidRPr="00016285">
        <w:rPr>
          <w:rFonts w:eastAsiaTheme="minorEastAsia" w:hint="cs"/>
          <w:rtl/>
          <w:lang w:eastAsia="zh-CN" w:bidi="ar-LB"/>
        </w:rPr>
        <w:t>ولوائح الاتصالات الدولية هي بمثابة صكوك هامة في مجال الاتصالات الدولية ومن الأمور الحاسمة الأهمية أن</w:t>
      </w:r>
      <w:r w:rsidR="001F7426">
        <w:rPr>
          <w:rFonts w:eastAsiaTheme="minorEastAsia" w:hint="eastAsia"/>
          <w:rtl/>
          <w:lang w:eastAsia="zh-CN" w:bidi="ar-LB"/>
        </w:rPr>
        <w:t> </w:t>
      </w:r>
      <w:r w:rsidRPr="00016285">
        <w:rPr>
          <w:rFonts w:eastAsiaTheme="minorEastAsia" w:hint="cs"/>
          <w:rtl/>
          <w:lang w:eastAsia="zh-CN" w:bidi="ar-LB"/>
        </w:rPr>
        <w:t>يكون أصحاب المصلحة قادرين على الإسهام في المناقشات الدائرة حول كيفية مراجعتها. ولدى استعراض لوائح الاتصالات الدولية لعام</w:t>
      </w:r>
      <w:r>
        <w:rPr>
          <w:rFonts w:eastAsiaTheme="minorEastAsia" w:hint="eastAsia"/>
          <w:rtl/>
          <w:lang w:eastAsia="zh-CN" w:bidi="ar-LB"/>
        </w:rPr>
        <w:t> </w:t>
      </w:r>
      <w:r w:rsidRPr="00016285">
        <w:rPr>
          <w:rFonts w:eastAsiaTheme="minorEastAsia"/>
          <w:lang w:eastAsia="zh-CN"/>
        </w:rPr>
        <w:t>2012</w:t>
      </w:r>
      <w:r w:rsidRPr="00016285">
        <w:rPr>
          <w:rFonts w:eastAsiaTheme="minorEastAsia" w:hint="cs"/>
          <w:rtl/>
          <w:lang w:eastAsia="zh-CN" w:bidi="ar-LB"/>
        </w:rPr>
        <w:t>، ينبغي أن تكون المسألة الأساسية هي ما إذا كان هناك قضايا أو أوجه تضارب ناشئة عن وجود نسختين للوائح، لا</w:t>
      </w:r>
      <w:r>
        <w:rPr>
          <w:rFonts w:eastAsiaTheme="minorEastAsia" w:hint="eastAsia"/>
          <w:rtl/>
          <w:lang w:eastAsia="zh-CN" w:bidi="ar-LB"/>
        </w:rPr>
        <w:t> </w:t>
      </w:r>
      <w:r w:rsidRPr="00016285">
        <w:rPr>
          <w:rFonts w:eastAsiaTheme="minorEastAsia" w:hint="cs"/>
          <w:rtl/>
          <w:lang w:eastAsia="zh-CN" w:bidi="ar-LB"/>
        </w:rPr>
        <w:t>سيما فيما</w:t>
      </w:r>
      <w:r>
        <w:rPr>
          <w:rFonts w:eastAsiaTheme="minorEastAsia" w:hint="eastAsia"/>
          <w:rtl/>
          <w:lang w:eastAsia="zh-CN" w:bidi="ar-LB"/>
        </w:rPr>
        <w:t> </w:t>
      </w:r>
      <w:r w:rsidRPr="00016285">
        <w:rPr>
          <w:rFonts w:eastAsiaTheme="minorEastAsia" w:hint="cs"/>
          <w:rtl/>
          <w:lang w:eastAsia="zh-CN" w:bidi="ar-LB"/>
        </w:rPr>
        <w:t>يتعلق بأهداف لوائح الاتصالات الدولية المتمثلة في:</w:t>
      </w:r>
    </w:p>
    <w:p w:rsidR="00016285" w:rsidRPr="00016285" w:rsidRDefault="00016285" w:rsidP="00016285">
      <w:pPr>
        <w:pStyle w:val="enumlev1"/>
        <w:rPr>
          <w:rFonts w:eastAsiaTheme="minorEastAsia"/>
          <w:lang w:eastAsia="zh-CN"/>
        </w:rPr>
      </w:pPr>
      <w:r>
        <w:rPr>
          <w:rFonts w:eastAsiaTheme="minorEastAsia"/>
          <w:lang w:eastAsia="zh-CN"/>
        </w:rPr>
        <w:sym w:font="Symbol" w:char="F0B7"/>
      </w:r>
      <w:r>
        <w:rPr>
          <w:rFonts w:eastAsiaTheme="minorEastAsia"/>
          <w:rtl/>
          <w:lang w:eastAsia="zh-CN"/>
        </w:rPr>
        <w:tab/>
      </w:r>
      <w:r w:rsidRPr="00016285">
        <w:rPr>
          <w:rFonts w:eastAsiaTheme="minorEastAsia"/>
          <w:rtl/>
          <w:lang w:eastAsia="zh-CN"/>
        </w:rPr>
        <w:t>تيسير التوصيل البيني والتشغيل البيني لمرافق الاتصالات على الصعيد العالمي</w:t>
      </w:r>
      <w:r w:rsidRPr="00016285">
        <w:rPr>
          <w:rFonts w:eastAsiaTheme="minorEastAsia" w:hint="cs"/>
          <w:rtl/>
          <w:lang w:eastAsia="zh-CN"/>
        </w:rPr>
        <w:t>؛</w:t>
      </w:r>
    </w:p>
    <w:p w:rsidR="00016285" w:rsidRPr="00016285" w:rsidRDefault="00016285" w:rsidP="00016285">
      <w:pPr>
        <w:pStyle w:val="enumlev1"/>
        <w:rPr>
          <w:rFonts w:eastAsiaTheme="minorEastAsia"/>
          <w:lang w:eastAsia="zh-CN"/>
        </w:rPr>
      </w:pPr>
      <w:r>
        <w:rPr>
          <w:rFonts w:eastAsiaTheme="minorEastAsia"/>
          <w:lang w:eastAsia="zh-CN"/>
        </w:rPr>
        <w:sym w:font="Symbol" w:char="F0B7"/>
      </w:r>
      <w:r>
        <w:rPr>
          <w:rFonts w:eastAsiaTheme="minorEastAsia"/>
          <w:rtl/>
          <w:lang w:eastAsia="zh-CN"/>
        </w:rPr>
        <w:tab/>
      </w:r>
      <w:r w:rsidRPr="00016285">
        <w:rPr>
          <w:rFonts w:eastAsiaTheme="minorEastAsia" w:hint="cs"/>
          <w:rtl/>
          <w:lang w:eastAsia="zh-CN"/>
        </w:rPr>
        <w:t>و</w:t>
      </w:r>
      <w:r w:rsidRPr="00016285">
        <w:rPr>
          <w:rFonts w:eastAsiaTheme="minorEastAsia"/>
          <w:rtl/>
          <w:lang w:eastAsia="zh-CN"/>
        </w:rPr>
        <w:t xml:space="preserve">تشجيع تنسيق التنمية وكفاءة تشغيل </w:t>
      </w:r>
      <w:r w:rsidRPr="00016285">
        <w:rPr>
          <w:rFonts w:eastAsiaTheme="minorEastAsia" w:hint="cs"/>
          <w:rtl/>
          <w:lang w:eastAsia="zh-CN"/>
        </w:rPr>
        <w:t xml:space="preserve">هذه </w:t>
      </w:r>
      <w:r w:rsidRPr="00016285">
        <w:rPr>
          <w:rFonts w:eastAsiaTheme="minorEastAsia"/>
          <w:rtl/>
          <w:lang w:eastAsia="zh-CN"/>
        </w:rPr>
        <w:t>المرافق</w:t>
      </w:r>
      <w:r w:rsidRPr="00016285">
        <w:rPr>
          <w:rFonts w:eastAsiaTheme="minorEastAsia" w:hint="cs"/>
          <w:rtl/>
          <w:lang w:eastAsia="zh-CN"/>
        </w:rPr>
        <w:t>؛</w:t>
      </w:r>
    </w:p>
    <w:p w:rsidR="00016285" w:rsidRPr="00016285" w:rsidRDefault="00016285" w:rsidP="00016285">
      <w:pPr>
        <w:pStyle w:val="enumlev1"/>
        <w:rPr>
          <w:rFonts w:eastAsiaTheme="minorEastAsia"/>
          <w:rtl/>
          <w:lang w:eastAsia="zh-CN" w:bidi="ar-LB"/>
        </w:rPr>
      </w:pPr>
      <w:r>
        <w:rPr>
          <w:rFonts w:eastAsiaTheme="minorEastAsia"/>
          <w:lang w:eastAsia="zh-CN"/>
        </w:rPr>
        <w:sym w:font="Symbol" w:char="F0B7"/>
      </w:r>
      <w:r>
        <w:rPr>
          <w:rFonts w:eastAsiaTheme="minorEastAsia"/>
          <w:rtl/>
          <w:lang w:eastAsia="zh-CN"/>
        </w:rPr>
        <w:tab/>
      </w:r>
      <w:r w:rsidRPr="00016285">
        <w:rPr>
          <w:rFonts w:eastAsiaTheme="minorEastAsia" w:hint="cs"/>
          <w:rtl/>
          <w:lang w:eastAsia="zh-CN"/>
        </w:rPr>
        <w:t>وتعزيز كفاءة</w:t>
      </w:r>
      <w:r w:rsidRPr="00016285">
        <w:rPr>
          <w:rFonts w:eastAsiaTheme="minorEastAsia"/>
          <w:rtl/>
          <w:lang w:eastAsia="zh-CN"/>
        </w:rPr>
        <w:t xml:space="preserve"> الخدمات الدولية للاتصالات وفائدتها وتيسّرها للجمهور</w:t>
      </w:r>
      <w:r w:rsidRPr="00016285">
        <w:rPr>
          <w:rFonts w:eastAsiaTheme="minorEastAsia" w:hint="cs"/>
          <w:rtl/>
          <w:lang w:eastAsia="zh-CN"/>
        </w:rPr>
        <w:t>.</w:t>
      </w:r>
    </w:p>
    <w:p w:rsidR="00016285" w:rsidRPr="00016285" w:rsidRDefault="00016285" w:rsidP="00016285">
      <w:pPr>
        <w:rPr>
          <w:rFonts w:eastAsiaTheme="minorEastAsia"/>
          <w:rtl/>
          <w:lang w:eastAsia="zh-CN" w:bidi="ar-LB"/>
        </w:rPr>
      </w:pPr>
      <w:r w:rsidRPr="00016285">
        <w:rPr>
          <w:rFonts w:eastAsiaTheme="minorEastAsia"/>
          <w:lang w:eastAsia="zh-CN"/>
        </w:rPr>
        <w:t>3</w:t>
      </w:r>
      <w:r w:rsidRPr="00016285">
        <w:rPr>
          <w:rFonts w:eastAsiaTheme="minorEastAsia"/>
          <w:rtl/>
          <w:lang w:eastAsia="zh-CN" w:bidi="ar-LB"/>
        </w:rPr>
        <w:tab/>
      </w:r>
      <w:r w:rsidRPr="00016285">
        <w:rPr>
          <w:rFonts w:eastAsiaTheme="minorEastAsia" w:hint="cs"/>
          <w:rtl/>
          <w:lang w:eastAsia="zh-CN" w:bidi="ar-LB"/>
        </w:rPr>
        <w:t xml:space="preserve">وليست رابطة الاتصالات التقدمية على علم بالقضايا وأوجه التضارب الناجمة عن وجود نسختين للوائح الاتصالات الدولية. علاوة على ذلك، نرى أن الاستقطاب الذي برز في </w:t>
      </w:r>
      <w:r w:rsidRPr="00016285">
        <w:rPr>
          <w:rFonts w:eastAsiaTheme="minorEastAsia"/>
          <w:rtl/>
          <w:lang w:eastAsia="zh-CN"/>
        </w:rPr>
        <w:t>المؤتمر العالمي للاتصالات الدولية لعام</w:t>
      </w:r>
      <w:r w:rsidRPr="00016285">
        <w:rPr>
          <w:rFonts w:eastAsiaTheme="minorEastAsia" w:hint="cs"/>
          <w:rtl/>
          <w:lang w:eastAsia="zh-CN"/>
        </w:rPr>
        <w:t xml:space="preserve"> </w:t>
      </w:r>
      <w:r w:rsidRPr="00016285">
        <w:rPr>
          <w:rFonts w:eastAsiaTheme="minorEastAsia"/>
          <w:lang w:eastAsia="zh-CN"/>
        </w:rPr>
        <w:t>2012</w:t>
      </w:r>
      <w:r w:rsidRPr="00016285">
        <w:rPr>
          <w:rFonts w:eastAsiaTheme="minorEastAsia" w:hint="cs"/>
          <w:rtl/>
          <w:lang w:eastAsia="zh-CN" w:bidi="ar-LB"/>
        </w:rPr>
        <w:t xml:space="preserve">، وتحديداً توقيع </w:t>
      </w:r>
      <w:r w:rsidRPr="00016285">
        <w:rPr>
          <w:rFonts w:eastAsiaTheme="minorEastAsia"/>
          <w:lang w:eastAsia="zh-CN"/>
        </w:rPr>
        <w:t>89</w:t>
      </w:r>
      <w:r>
        <w:rPr>
          <w:rFonts w:eastAsiaTheme="minorEastAsia" w:hint="eastAsia"/>
          <w:rtl/>
          <w:lang w:eastAsia="zh-CN" w:bidi="ar-LB"/>
        </w:rPr>
        <w:t> </w:t>
      </w:r>
      <w:r w:rsidRPr="00016285">
        <w:rPr>
          <w:rFonts w:eastAsiaTheme="minorEastAsia"/>
          <w:rtl/>
          <w:lang w:eastAsia="zh-CN"/>
        </w:rPr>
        <w:t xml:space="preserve">دولة </w:t>
      </w:r>
      <w:r w:rsidRPr="00016285">
        <w:rPr>
          <w:rFonts w:eastAsiaTheme="minorEastAsia" w:hint="cs"/>
          <w:rtl/>
          <w:lang w:eastAsia="zh-CN"/>
        </w:rPr>
        <w:t xml:space="preserve">فقط من أصل </w:t>
      </w:r>
      <w:r w:rsidRPr="00016285">
        <w:rPr>
          <w:rFonts w:eastAsiaTheme="minorEastAsia"/>
          <w:lang w:eastAsia="zh-CN"/>
        </w:rPr>
        <w:t>193</w:t>
      </w:r>
      <w:r w:rsidRPr="00016285">
        <w:rPr>
          <w:rFonts w:eastAsiaTheme="minorEastAsia" w:hint="cs"/>
          <w:rtl/>
          <w:lang w:eastAsia="zh-CN" w:bidi="ar-LB"/>
        </w:rPr>
        <w:t xml:space="preserve"> دولة من الدول الأعضاء </w:t>
      </w:r>
      <w:r w:rsidRPr="00016285">
        <w:rPr>
          <w:rFonts w:eastAsiaTheme="minorEastAsia"/>
          <w:rtl/>
          <w:lang w:eastAsia="zh-CN"/>
        </w:rPr>
        <w:t>في الاتحاد</w:t>
      </w:r>
      <w:r w:rsidRPr="00016285">
        <w:rPr>
          <w:rFonts w:eastAsiaTheme="minorEastAsia" w:hint="cs"/>
          <w:rtl/>
          <w:lang w:eastAsia="zh-CN" w:bidi="ar-LB"/>
        </w:rPr>
        <w:t xml:space="preserve"> على الوثائق الختامية، لم </w:t>
      </w:r>
      <w:r>
        <w:rPr>
          <w:rFonts w:eastAsiaTheme="minorEastAsia" w:hint="cs"/>
          <w:rtl/>
          <w:lang w:eastAsia="zh-CN" w:bidi="ar-LB"/>
        </w:rPr>
        <w:t>يُسو</w:t>
      </w:r>
      <w:r w:rsidRPr="00016285">
        <w:rPr>
          <w:rFonts w:eastAsiaTheme="minorEastAsia" w:hint="cs"/>
          <w:rtl/>
          <w:lang w:eastAsia="zh-CN" w:bidi="ar-LB"/>
        </w:rPr>
        <w:t>ى في السنوات الخمس الأخيرة. ويساورنا القلق من أن أي جهد لتعديل أو تحديث لوائح الاتصالات الدولية سوف يعيد فتح نقاشات مديدة ولن ينتج عنه أي تقدم.</w:t>
      </w:r>
    </w:p>
    <w:p w:rsidR="00016285" w:rsidRPr="00016285" w:rsidRDefault="00016285" w:rsidP="00016285">
      <w:pPr>
        <w:rPr>
          <w:rFonts w:eastAsiaTheme="minorEastAsia"/>
          <w:rtl/>
          <w:lang w:eastAsia="zh-CN" w:bidi="ar-LB"/>
        </w:rPr>
      </w:pPr>
      <w:r w:rsidRPr="00016285">
        <w:rPr>
          <w:rFonts w:eastAsiaTheme="minorEastAsia"/>
          <w:lang w:eastAsia="zh-CN"/>
        </w:rPr>
        <w:t>4</w:t>
      </w:r>
      <w:r w:rsidRPr="00016285">
        <w:rPr>
          <w:rFonts w:eastAsiaTheme="minorEastAsia"/>
          <w:rtl/>
          <w:lang w:eastAsia="zh-CN" w:bidi="ar-LB"/>
        </w:rPr>
        <w:tab/>
      </w:r>
      <w:r w:rsidRPr="00016285">
        <w:rPr>
          <w:rFonts w:eastAsiaTheme="minorEastAsia" w:hint="cs"/>
          <w:rtl/>
          <w:lang w:eastAsia="zh-CN" w:bidi="ar-LB"/>
        </w:rPr>
        <w:t>علاوة</w:t>
      </w:r>
      <w:r>
        <w:rPr>
          <w:rFonts w:eastAsiaTheme="minorEastAsia" w:hint="cs"/>
          <w:rtl/>
          <w:lang w:eastAsia="zh-CN" w:bidi="ar-LB"/>
        </w:rPr>
        <w:t>ً</w:t>
      </w:r>
      <w:r w:rsidRPr="00016285">
        <w:rPr>
          <w:rFonts w:eastAsiaTheme="minorEastAsia" w:hint="cs"/>
          <w:rtl/>
          <w:lang w:eastAsia="zh-CN" w:bidi="ar-LB"/>
        </w:rPr>
        <w:t xml:space="preserve"> على ذلك، يساورنا القلق من أن إعادة التفاوض بشأن لوائح الاتصالات الدولية تحمل مخاطر كبيرة في</w:t>
      </w:r>
      <w:r>
        <w:rPr>
          <w:rFonts w:eastAsiaTheme="minorEastAsia" w:hint="eastAsia"/>
          <w:rtl/>
          <w:lang w:eastAsia="zh-CN" w:bidi="ar-LB"/>
        </w:rPr>
        <w:t> </w:t>
      </w:r>
      <w:r w:rsidRPr="00016285">
        <w:rPr>
          <w:rFonts w:eastAsiaTheme="minorEastAsia" w:hint="cs"/>
          <w:rtl/>
          <w:lang w:eastAsia="zh-CN" w:bidi="ar-LB"/>
        </w:rPr>
        <w:t xml:space="preserve">ثلاثة مجالات: </w:t>
      </w:r>
      <w:proofErr w:type="gramStart"/>
      <w:r w:rsidRPr="00016285">
        <w:rPr>
          <w:rFonts w:eastAsiaTheme="minorEastAsia" w:hint="cs"/>
          <w:rtl/>
          <w:lang w:eastAsia="zh-CN" w:bidi="ar-LB"/>
        </w:rPr>
        <w:t>أ</w:t>
      </w:r>
      <w:r>
        <w:rPr>
          <w:rFonts w:eastAsiaTheme="minorEastAsia" w:hint="eastAsia"/>
          <w:rtl/>
          <w:lang w:eastAsia="zh-CN" w:bidi="ar-LB"/>
        </w:rPr>
        <w:t> </w:t>
      </w:r>
      <w:r w:rsidRPr="00016285">
        <w:rPr>
          <w:rFonts w:eastAsiaTheme="minorEastAsia" w:hint="cs"/>
          <w:rtl/>
          <w:lang w:eastAsia="zh-CN" w:bidi="ar-LB"/>
        </w:rPr>
        <w:t>)</w:t>
      </w:r>
      <w:proofErr w:type="gramEnd"/>
      <w:r w:rsidRPr="00016285">
        <w:rPr>
          <w:rFonts w:eastAsiaTheme="minorEastAsia" w:hint="cs"/>
          <w:rtl/>
          <w:lang w:eastAsia="zh-CN" w:bidi="ar-LB"/>
        </w:rPr>
        <w:t xml:space="preserve"> تقييد استعمال الاتصالات؛ ب) والتكاليف المالية؛ ج) والإضرار بالسمعة.</w:t>
      </w:r>
    </w:p>
    <w:p w:rsidR="00016285" w:rsidRPr="00016285" w:rsidRDefault="00016285" w:rsidP="0039783E">
      <w:pPr>
        <w:pStyle w:val="enumlev1"/>
        <w:rPr>
          <w:rFonts w:eastAsiaTheme="minorEastAsia"/>
          <w:rtl/>
          <w:lang w:eastAsia="zh-CN" w:bidi="ar-LB"/>
        </w:rPr>
      </w:pPr>
      <w:r>
        <w:rPr>
          <w:rFonts w:eastAsiaTheme="minorEastAsia" w:hint="eastAsia"/>
          <w:rtl/>
          <w:lang w:eastAsia="zh-CN" w:bidi="ar-LB"/>
        </w:rPr>
        <w:lastRenderedPageBreak/>
        <w:t> </w:t>
      </w:r>
      <w:r w:rsidRPr="0039783E">
        <w:rPr>
          <w:rFonts w:eastAsiaTheme="minorEastAsia" w:hint="cs"/>
          <w:rtl/>
          <w:lang w:eastAsia="zh-CN" w:bidi="ar-LB"/>
        </w:rPr>
        <w:t>أ</w:t>
      </w:r>
      <w:r w:rsidRPr="0039783E">
        <w:rPr>
          <w:rFonts w:eastAsiaTheme="minorEastAsia" w:hint="eastAsia"/>
          <w:rtl/>
          <w:lang w:eastAsia="zh-CN" w:bidi="ar-LB"/>
        </w:rPr>
        <w:t> </w:t>
      </w:r>
      <w:r w:rsidRPr="0039783E">
        <w:rPr>
          <w:rFonts w:eastAsiaTheme="minorEastAsia" w:hint="cs"/>
          <w:rtl/>
          <w:lang w:eastAsia="zh-CN" w:bidi="ar-LB"/>
        </w:rPr>
        <w:t>)</w:t>
      </w:r>
      <w:r w:rsidRPr="0039783E">
        <w:rPr>
          <w:rFonts w:eastAsiaTheme="minorEastAsia" w:hint="cs"/>
          <w:rtl/>
          <w:lang w:eastAsia="zh-CN" w:bidi="ar-LB"/>
        </w:rPr>
        <w:tab/>
        <w:t xml:space="preserve">تقييد استعمال الاتصالات: طرحت المقترحات التي قدمت في المؤتمر </w:t>
      </w:r>
      <w:r w:rsidRPr="0039783E">
        <w:rPr>
          <w:rFonts w:eastAsiaTheme="minorEastAsia"/>
          <w:lang w:eastAsia="zh-CN"/>
        </w:rPr>
        <w:t>WCIT-12</w:t>
      </w:r>
      <w:r w:rsidRPr="0039783E">
        <w:rPr>
          <w:rFonts w:eastAsiaTheme="minorEastAsia" w:hint="cs"/>
          <w:rtl/>
          <w:lang w:eastAsia="zh-CN" w:bidi="ar-LB"/>
        </w:rPr>
        <w:t xml:space="preserve"> وفي عمليات أخرى قام بها الاتحاد الدولي للاتصالات في السنوات الأخيرة، </w:t>
      </w:r>
      <w:r w:rsidR="0039783E" w:rsidRPr="0039783E">
        <w:rPr>
          <w:rFonts w:eastAsiaTheme="minorEastAsia" w:hint="cs"/>
          <w:rtl/>
          <w:lang w:eastAsia="zh-CN" w:bidi="ar-LB"/>
        </w:rPr>
        <w:t xml:space="preserve">من قبيل مؤتمر المندوبين المفوضين لعام </w:t>
      </w:r>
      <w:r w:rsidR="0039783E" w:rsidRPr="0039783E">
        <w:rPr>
          <w:rFonts w:eastAsiaTheme="minorEastAsia"/>
          <w:lang w:eastAsia="zh-CN" w:bidi="ar-LB"/>
        </w:rPr>
        <w:t>2014</w:t>
      </w:r>
      <w:r w:rsidR="0039783E" w:rsidRPr="0039783E">
        <w:rPr>
          <w:rFonts w:eastAsiaTheme="minorEastAsia" w:hint="cs"/>
          <w:rtl/>
          <w:lang w:eastAsia="zh-CN" w:bidi="ar-EG"/>
        </w:rPr>
        <w:t xml:space="preserve"> والجمعية العالمية لتقييس الاتصالات لعام </w:t>
      </w:r>
      <w:r w:rsidR="0039783E" w:rsidRPr="0039783E">
        <w:rPr>
          <w:rFonts w:eastAsiaTheme="minorEastAsia"/>
          <w:lang w:eastAsia="zh-CN" w:bidi="ar-EG"/>
        </w:rPr>
        <w:t>2016</w:t>
      </w:r>
      <w:r w:rsidRPr="0039783E">
        <w:rPr>
          <w:rFonts w:eastAsiaTheme="minorEastAsia" w:hint="cs"/>
          <w:rtl/>
          <w:lang w:eastAsia="zh-CN" w:bidi="ar-LB"/>
        </w:rPr>
        <w:t>، مخاطر على النفاذ إلى المعلومات وحرية التعبير، عبر الاتصالات، وعلى حقوق الإنسان الأخرى، مثل الحق في الخصوصية.</w:t>
      </w:r>
      <w:r w:rsidRPr="0039783E">
        <w:rPr>
          <w:rStyle w:val="FootnoteReference"/>
          <w:rFonts w:eastAsiaTheme="minorEastAsia"/>
          <w:rtl/>
        </w:rPr>
        <w:footnoteReference w:id="2"/>
      </w:r>
    </w:p>
    <w:p w:rsidR="00016285" w:rsidRPr="00016285" w:rsidRDefault="00016285" w:rsidP="00016285">
      <w:pPr>
        <w:pStyle w:val="enumlev1"/>
        <w:rPr>
          <w:rFonts w:eastAsiaTheme="minorEastAsia"/>
          <w:rtl/>
          <w:lang w:eastAsia="zh-CN" w:bidi="ar-LB"/>
        </w:rPr>
      </w:pPr>
      <w:r w:rsidRPr="00016285">
        <w:rPr>
          <w:rFonts w:eastAsiaTheme="minorEastAsia" w:hint="cs"/>
          <w:rtl/>
          <w:lang w:eastAsia="zh-CN" w:bidi="ar"/>
        </w:rPr>
        <w:t>ب)</w:t>
      </w:r>
      <w:r w:rsidRPr="00016285">
        <w:rPr>
          <w:rFonts w:eastAsiaTheme="minorEastAsia" w:hint="cs"/>
          <w:rtl/>
          <w:lang w:eastAsia="zh-CN" w:bidi="ar"/>
        </w:rPr>
        <w:tab/>
        <w:t>التكاليف المالية: كما ذكر في مساهمات أخرى، فإن التكاليف المالية لعقد مؤتمر عالمي للاتصالات الدولية كبيرة.</w:t>
      </w:r>
      <w:r w:rsidRPr="00016285">
        <w:rPr>
          <w:rStyle w:val="FootnoteReference"/>
          <w:rFonts w:eastAsiaTheme="minorEastAsia"/>
          <w:rtl/>
        </w:rPr>
        <w:footnoteReference w:id="3"/>
      </w:r>
      <w:r w:rsidRPr="00016285">
        <w:rPr>
          <w:rFonts w:eastAsiaTheme="minorEastAsia" w:hint="cs"/>
          <w:rtl/>
          <w:lang w:eastAsia="zh-CN" w:bidi="ar"/>
        </w:rPr>
        <w:t xml:space="preserve"> ففي المؤتمر </w:t>
      </w:r>
      <w:r w:rsidRPr="00016285">
        <w:rPr>
          <w:rFonts w:eastAsiaTheme="minorEastAsia"/>
          <w:lang w:eastAsia="zh-CN"/>
        </w:rPr>
        <w:t>WCIT-12</w:t>
      </w:r>
      <w:r w:rsidRPr="00016285">
        <w:rPr>
          <w:rFonts w:eastAsiaTheme="minorEastAsia" w:hint="cs"/>
          <w:rtl/>
          <w:lang w:eastAsia="zh-CN" w:bidi="ar-LB"/>
        </w:rPr>
        <w:t xml:space="preserve"> بلغت تكاليف الاجتماعات التي دامت </w:t>
      </w:r>
      <w:r w:rsidRPr="00016285">
        <w:rPr>
          <w:rFonts w:eastAsiaTheme="minorEastAsia"/>
          <w:lang w:eastAsia="zh-CN"/>
        </w:rPr>
        <w:t>13</w:t>
      </w:r>
      <w:r w:rsidRPr="00016285">
        <w:rPr>
          <w:rFonts w:eastAsiaTheme="minorEastAsia" w:hint="cs"/>
          <w:rtl/>
          <w:lang w:eastAsia="zh-CN" w:bidi="ar-LB"/>
        </w:rPr>
        <w:t xml:space="preserve"> يوماً </w:t>
      </w:r>
      <w:r w:rsidRPr="00016285">
        <w:rPr>
          <w:rFonts w:eastAsiaTheme="minorEastAsia"/>
          <w:lang w:eastAsia="zh-CN"/>
        </w:rPr>
        <w:t>1,9</w:t>
      </w:r>
      <w:r w:rsidRPr="00016285">
        <w:rPr>
          <w:rFonts w:eastAsiaTheme="minorEastAsia" w:hint="cs"/>
          <w:rtl/>
          <w:lang w:eastAsia="zh-CN" w:bidi="ar-LB"/>
        </w:rPr>
        <w:t xml:space="preserve"> مليون فرنك سويسري (بمعدل</w:t>
      </w:r>
      <w:r>
        <w:rPr>
          <w:rFonts w:eastAsiaTheme="minorEastAsia" w:hint="eastAsia"/>
          <w:rtl/>
          <w:lang w:eastAsia="zh-CN" w:bidi="ar-LB"/>
        </w:rPr>
        <w:t> </w:t>
      </w:r>
      <w:r w:rsidRPr="00016285">
        <w:rPr>
          <w:rFonts w:eastAsiaTheme="minorEastAsia"/>
          <w:lang w:eastAsia="zh-CN"/>
        </w:rPr>
        <w:t>147</w:t>
      </w:r>
      <w:r>
        <w:rPr>
          <w:rFonts w:eastAsiaTheme="minorEastAsia"/>
          <w:lang w:eastAsia="zh-CN"/>
        </w:rPr>
        <w:t> </w:t>
      </w:r>
      <w:r w:rsidRPr="00016285">
        <w:rPr>
          <w:rFonts w:eastAsiaTheme="minorEastAsia"/>
          <w:lang w:eastAsia="zh-CN"/>
        </w:rPr>
        <w:t>000</w:t>
      </w:r>
      <w:r w:rsidRPr="00016285">
        <w:rPr>
          <w:rFonts w:eastAsiaTheme="minorEastAsia" w:hint="cs"/>
          <w:rtl/>
          <w:lang w:eastAsia="zh-CN" w:bidi="ar-LB"/>
        </w:rPr>
        <w:t xml:space="preserve"> فرنك سويسري يومياً). ولا يأخذ ذلك في الاعتبار تكاليف الاجتماعات التحضيرية الإقليمية، والتحضيرات والمشاورات التي أجرتها الدول الأعضاء على الصعيد الوطني، ما يجعل التكاليف الإجمالية أكبر بكثير.</w:t>
      </w:r>
    </w:p>
    <w:p w:rsidR="00016285" w:rsidRPr="00016285" w:rsidRDefault="00016285" w:rsidP="00016285">
      <w:pPr>
        <w:pStyle w:val="enumlev1"/>
        <w:rPr>
          <w:rFonts w:eastAsiaTheme="minorEastAsia"/>
          <w:rtl/>
          <w:lang w:eastAsia="zh-CN" w:bidi="ar-LB"/>
        </w:rPr>
      </w:pPr>
      <w:r w:rsidRPr="00016285">
        <w:rPr>
          <w:rFonts w:eastAsiaTheme="minorEastAsia" w:hint="cs"/>
          <w:rtl/>
          <w:lang w:eastAsia="zh-CN" w:bidi="ar-LB"/>
        </w:rPr>
        <w:t>ج)</w:t>
      </w:r>
      <w:r w:rsidRPr="00016285">
        <w:rPr>
          <w:rFonts w:eastAsiaTheme="minorEastAsia" w:hint="cs"/>
          <w:rtl/>
          <w:lang w:eastAsia="zh-CN" w:bidi="ar-LB"/>
        </w:rPr>
        <w:tab/>
        <w:t xml:space="preserve"> الإضرار بالسمعة: أثار المؤتمر </w:t>
      </w:r>
      <w:r w:rsidRPr="00016285">
        <w:rPr>
          <w:rFonts w:eastAsiaTheme="minorEastAsia"/>
          <w:lang w:eastAsia="zh-CN"/>
        </w:rPr>
        <w:t>WCIT-12</w:t>
      </w:r>
      <w:r w:rsidRPr="00016285">
        <w:rPr>
          <w:rFonts w:eastAsiaTheme="minorEastAsia" w:hint="cs"/>
          <w:rtl/>
          <w:lang w:eastAsia="zh-CN" w:bidi="ar-LB"/>
        </w:rPr>
        <w:t xml:space="preserve"> جدلاً كبيراً نتيجة عدم وجود توافق في الآراء أدى إلى اختتامه فضلاً عن عقده من دون شفافية كافية ومشاركة أصحاب المصلحة. ومع أنه يمكن القول أن بعض تقارير وسائل الإعلام كانت مضخّمة، لكن حقيقة أن المؤتمر </w:t>
      </w:r>
      <w:r w:rsidRPr="00016285">
        <w:rPr>
          <w:rFonts w:eastAsiaTheme="minorEastAsia"/>
          <w:lang w:eastAsia="zh-CN"/>
        </w:rPr>
        <w:t>WCIT-12</w:t>
      </w:r>
      <w:r w:rsidRPr="00016285">
        <w:rPr>
          <w:rFonts w:eastAsiaTheme="minorEastAsia" w:hint="cs"/>
          <w:rtl/>
          <w:lang w:eastAsia="zh-CN" w:bidi="ar-LB"/>
        </w:rPr>
        <w:t xml:space="preserve"> لم يلبي توقعات أصحاب المصلحة في عملية مفتوحة وشاملة وشفافة هي مسألة لا جدال فيها. ونحن نشيد بالاتحاد على اتخاذه في السنوات الأخيرة خطوات للانفتاح على أصحاب المصلحة غير الحكوميين في المجتمع المدني، لا سيما فتح عضوية القطاعات أمام الأعضاء الذين لا يدفعون أي رسوم، والاعتماد الأولي لسياسة جديدة للنفاذ إلى الوثائق، وإجراء مشاورات إلكترونية وحضورية بشأن </w:t>
      </w:r>
      <w:r w:rsidRPr="00016285">
        <w:rPr>
          <w:rFonts w:eastAsiaTheme="minorEastAsia"/>
          <w:rtl/>
          <w:lang w:eastAsia="zh-CN"/>
        </w:rPr>
        <w:t>السياسات العامة الدولية المتعلقة بالإنترنت</w:t>
      </w:r>
      <w:r w:rsidRPr="00016285">
        <w:rPr>
          <w:rFonts w:eastAsiaTheme="minorEastAsia" w:hint="cs"/>
          <w:rtl/>
          <w:lang w:eastAsia="zh-CN"/>
        </w:rPr>
        <w:t xml:space="preserve"> </w:t>
      </w:r>
      <w:r w:rsidRPr="00016285">
        <w:rPr>
          <w:rFonts w:eastAsiaTheme="minorEastAsia"/>
          <w:lang w:eastAsia="zh-CN"/>
        </w:rPr>
        <w:t>(CWG-Internet)</w:t>
      </w:r>
      <w:r w:rsidRPr="00016285">
        <w:rPr>
          <w:rFonts w:eastAsiaTheme="minorEastAsia" w:hint="cs"/>
          <w:rtl/>
          <w:lang w:eastAsia="zh-CN" w:bidi="ar-LB"/>
        </w:rPr>
        <w:t>. ومع ذلك، نرى أن ثمة الكثير للقيام به لضمان مشاركة أكثر دلالة من أصحاب المصلحة وتفادي مخاطر الإضرار بسمعة الاتحاد.</w:t>
      </w:r>
    </w:p>
    <w:p w:rsidR="00016285" w:rsidRPr="00016285" w:rsidRDefault="00016285" w:rsidP="00016285">
      <w:pPr>
        <w:rPr>
          <w:rFonts w:eastAsiaTheme="minorEastAsia"/>
          <w:rtl/>
          <w:lang w:eastAsia="zh-CN" w:bidi="ar-LB"/>
        </w:rPr>
      </w:pPr>
      <w:r w:rsidRPr="00016285">
        <w:rPr>
          <w:rFonts w:eastAsiaTheme="minorEastAsia"/>
          <w:lang w:eastAsia="zh-CN"/>
        </w:rPr>
        <w:t>5</w:t>
      </w:r>
      <w:r w:rsidRPr="00016285">
        <w:rPr>
          <w:rFonts w:eastAsiaTheme="minorEastAsia"/>
          <w:rtl/>
          <w:lang w:eastAsia="zh-CN" w:bidi="ar-LB"/>
        </w:rPr>
        <w:tab/>
      </w:r>
      <w:r w:rsidRPr="00016285">
        <w:rPr>
          <w:rFonts w:eastAsiaTheme="minorEastAsia" w:hint="cs"/>
          <w:rtl/>
          <w:lang w:eastAsia="zh-CN" w:bidi="ar-LB"/>
        </w:rPr>
        <w:t xml:space="preserve">وتؤكد رابطة الاتصالات التقدمية مرة أخرى على أنه </w:t>
      </w:r>
      <w:r w:rsidRPr="00016285">
        <w:rPr>
          <w:rFonts w:eastAsiaTheme="minorEastAsia" w:hint="cs"/>
          <w:b/>
          <w:bCs/>
          <w:rtl/>
          <w:lang w:eastAsia="zh-CN" w:bidi="ar-LB"/>
        </w:rPr>
        <w:t>ينبغي للوائح الاتصالات الدولية مواصلة اهتمامها بالاتصالات الأساسية</w:t>
      </w:r>
      <w:r w:rsidRPr="00016285">
        <w:rPr>
          <w:rFonts w:eastAsiaTheme="minorEastAsia" w:hint="cs"/>
          <w:rtl/>
          <w:lang w:eastAsia="zh-CN" w:bidi="ar-LB"/>
        </w:rPr>
        <w:t xml:space="preserve"> و</w:t>
      </w:r>
      <w:r w:rsidRPr="00016285">
        <w:rPr>
          <w:rFonts w:eastAsiaTheme="minorEastAsia" w:hint="cs"/>
          <w:b/>
          <w:bCs/>
          <w:rtl/>
          <w:lang w:eastAsia="zh-CN" w:bidi="ar-LB"/>
        </w:rPr>
        <w:t xml:space="preserve">عدم توسيعها لتشمل خدمات تستخدم شبكات الاتصالات مثل تكنولوجيا المعلومات والاتصالات بشكل عام أو الإنترنت </w:t>
      </w:r>
      <w:r w:rsidRPr="00016285">
        <w:rPr>
          <w:rFonts w:eastAsiaTheme="minorEastAsia" w:hint="cs"/>
          <w:rtl/>
          <w:lang w:eastAsia="zh-CN" w:bidi="ar-LB"/>
        </w:rPr>
        <w:t xml:space="preserve">بشكل خاص أو </w:t>
      </w:r>
      <w:r w:rsidRPr="00016285">
        <w:rPr>
          <w:rFonts w:eastAsiaTheme="minorEastAsia" w:hint="cs"/>
          <w:b/>
          <w:bCs/>
          <w:rtl/>
          <w:lang w:eastAsia="zh-CN" w:bidi="ar-LB"/>
        </w:rPr>
        <w:t>إدراج أهداف السياسات العامة ومجالات الإدارة التي تتجاوز المهام المنوطة حالياً بقطاع الاتصالات</w:t>
      </w:r>
      <w:r w:rsidRPr="00016285">
        <w:rPr>
          <w:rFonts w:eastAsiaTheme="minorEastAsia" w:hint="cs"/>
          <w:rtl/>
          <w:lang w:eastAsia="zh-CN" w:bidi="ar-LB"/>
        </w:rPr>
        <w:t xml:space="preserve">. بالإضافة إلى ذلك، </w:t>
      </w:r>
      <w:r w:rsidRPr="00016285">
        <w:rPr>
          <w:rFonts w:eastAsiaTheme="minorEastAsia" w:hint="cs"/>
          <w:b/>
          <w:bCs/>
          <w:rtl/>
          <w:lang w:eastAsia="zh-CN" w:bidi="ar-LB"/>
        </w:rPr>
        <w:t>ينبغي أن تسعى لوائح الاتصالات الدولية دائماً إلى تيسير وعدم تقييد</w:t>
      </w:r>
      <w:r w:rsidRPr="00016285">
        <w:rPr>
          <w:rFonts w:eastAsiaTheme="minorEastAsia" w:hint="cs"/>
          <w:rtl/>
          <w:lang w:eastAsia="zh-CN" w:bidi="ar-LB"/>
        </w:rPr>
        <w:t xml:space="preserve"> تنمية الاتصالات وتوافر خدمات الاتصالات.</w:t>
      </w:r>
    </w:p>
    <w:p w:rsidR="00016285" w:rsidRPr="00016285" w:rsidRDefault="00016285" w:rsidP="0039783E">
      <w:pPr>
        <w:rPr>
          <w:rFonts w:eastAsiaTheme="minorEastAsia"/>
          <w:rtl/>
          <w:lang w:eastAsia="zh-CN" w:bidi="ar-LB"/>
        </w:rPr>
      </w:pPr>
      <w:r w:rsidRPr="00016285">
        <w:rPr>
          <w:rFonts w:eastAsiaTheme="minorEastAsia"/>
          <w:lang w:eastAsia="zh-CN"/>
        </w:rPr>
        <w:t>6</w:t>
      </w:r>
      <w:r w:rsidRPr="00016285">
        <w:rPr>
          <w:rFonts w:eastAsiaTheme="minorEastAsia"/>
          <w:rtl/>
          <w:lang w:eastAsia="zh-CN" w:bidi="ar-LB"/>
        </w:rPr>
        <w:tab/>
      </w:r>
      <w:r w:rsidRPr="00016285">
        <w:rPr>
          <w:rFonts w:eastAsiaTheme="minorEastAsia" w:hint="cs"/>
          <w:rtl/>
          <w:lang w:eastAsia="zh-CN" w:bidi="ar-LB"/>
        </w:rPr>
        <w:t>علاوة</w:t>
      </w:r>
      <w:r w:rsidR="0039783E">
        <w:rPr>
          <w:rFonts w:eastAsiaTheme="minorEastAsia" w:hint="cs"/>
          <w:rtl/>
          <w:lang w:eastAsia="zh-CN" w:bidi="ar-LB"/>
        </w:rPr>
        <w:t>ً</w:t>
      </w:r>
      <w:r w:rsidRPr="00016285">
        <w:rPr>
          <w:rFonts w:eastAsiaTheme="minorEastAsia" w:hint="cs"/>
          <w:rtl/>
          <w:lang w:eastAsia="zh-CN" w:bidi="ar-LB"/>
        </w:rPr>
        <w:t xml:space="preserve"> على ذلك، نشجع الاتحاد الدولي للاتصالات على اتخاذ تدابير إضافية لتيسير مشاركة الجهات الفاعلة في</w:t>
      </w:r>
      <w:r w:rsidR="001F7426">
        <w:rPr>
          <w:rFonts w:eastAsiaTheme="minorEastAsia" w:hint="eastAsia"/>
          <w:rtl/>
          <w:lang w:eastAsia="zh-CN" w:bidi="ar-LB"/>
        </w:rPr>
        <w:t> </w:t>
      </w:r>
      <w:r w:rsidRPr="00016285">
        <w:rPr>
          <w:rFonts w:eastAsiaTheme="minorEastAsia" w:hint="cs"/>
          <w:rtl/>
          <w:lang w:eastAsia="zh-CN" w:bidi="ar-LB"/>
        </w:rPr>
        <w:t xml:space="preserve">المجتمع المدني بشكل أكثر دلالة في عمله من خلال إتاحة </w:t>
      </w:r>
      <w:r w:rsidRPr="00016285">
        <w:rPr>
          <w:rFonts w:eastAsiaTheme="minorEastAsia" w:hint="cs"/>
          <w:b/>
          <w:bCs/>
          <w:rtl/>
          <w:lang w:eastAsia="zh-CN" w:bidi="ar-LB"/>
        </w:rPr>
        <w:t>عمليات مفتوحة وتشاركية وشفافة ويعول عليها وشاملة ومنصفة</w:t>
      </w:r>
      <w:r w:rsidRPr="00016285">
        <w:rPr>
          <w:rFonts w:eastAsiaTheme="minorEastAsia" w:hint="cs"/>
          <w:rtl/>
          <w:lang w:eastAsia="zh-CN" w:bidi="ar-LB"/>
        </w:rPr>
        <w:t>.</w:t>
      </w:r>
      <w:bookmarkEnd w:id="1"/>
    </w:p>
    <w:p w:rsidR="00016285" w:rsidRPr="00016285" w:rsidRDefault="00016285" w:rsidP="001F7426">
      <w:pPr>
        <w:spacing w:before="600"/>
        <w:jc w:val="center"/>
        <w:rPr>
          <w:rFonts w:eastAsiaTheme="minorEastAsia"/>
          <w:rtl/>
          <w:lang w:eastAsia="zh-CN" w:bidi="ar"/>
        </w:rPr>
      </w:pPr>
      <w:r w:rsidRPr="00016285">
        <w:rPr>
          <w:rFonts w:eastAsiaTheme="minorEastAsia" w:hint="cs"/>
          <w:rtl/>
          <w:lang w:eastAsia="zh-CN" w:bidi="ar"/>
        </w:rPr>
        <w:t>___________</w:t>
      </w:r>
    </w:p>
    <w:sectPr w:rsidR="00016285" w:rsidRPr="00016285"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FA2" w:rsidRDefault="00BF5FA2" w:rsidP="00E07379">
      <w:pPr>
        <w:spacing w:before="0" w:line="240" w:lineRule="auto"/>
      </w:pPr>
      <w:r>
        <w:separator/>
      </w:r>
    </w:p>
  </w:endnote>
  <w:endnote w:type="continuationSeparator" w:id="0">
    <w:p w:rsidR="00BF5FA2" w:rsidRDefault="00BF5FA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382E59" w:rsidP="00016285">
    <w:pPr>
      <w:pStyle w:val="Footer"/>
      <w:tabs>
        <w:tab w:val="clear" w:pos="5812"/>
        <w:tab w:val="right" w:pos="5670"/>
      </w:tabs>
    </w:pPr>
    <w:r>
      <w:fldChar w:fldCharType="begin"/>
    </w:r>
    <w:r>
      <w:instrText xml:space="preserve"> FILENAME \p \* MERGEFORMAT </w:instrText>
    </w:r>
    <w:r>
      <w:fldChar w:fldCharType="separate"/>
    </w:r>
    <w:r w:rsidR="00016285">
      <w:rPr>
        <w:noProof/>
      </w:rPr>
      <w:t>P:\ARA\SG\CONSEIL\EG-ITR\EG-ITR-2\000\015A.docx</w:t>
    </w:r>
    <w:r>
      <w:rPr>
        <w:noProof/>
      </w:rPr>
      <w:fldChar w:fldCharType="end"/>
    </w:r>
    <w:r w:rsidR="00BD0C50" w:rsidRPr="00665956">
      <w:t xml:space="preserve">   (</w:t>
    </w:r>
    <w:r w:rsidR="00016285">
      <w:t>423267</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Pr>
        <w:noProof/>
      </w:rPr>
      <w:t>08.09.17</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BF5FA2">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5B" w:rsidRPr="00950A5B" w:rsidRDefault="00950A5B"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p w:rsidR="00950A5B" w:rsidRDefault="00950A5B" w:rsidP="000E4FF0">
    <w:pPr>
      <w:pStyle w:val="Footer"/>
      <w:tabs>
        <w:tab w:val="center" w:pos="5529"/>
      </w:tabs>
      <w:rPr>
        <w:rFonts w:cs="Calibri"/>
        <w:lang w:val="fr-FR"/>
      </w:rPr>
    </w:pPr>
  </w:p>
  <w:p w:rsidR="000E4FF0" w:rsidRPr="00476123" w:rsidRDefault="000E4FF0" w:rsidP="00016285">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016285">
      <w:rPr>
        <w:rFonts w:cs="Calibri"/>
        <w:noProof/>
        <w:lang w:val="fr-FR"/>
      </w:rPr>
      <w:t>P:\ARA\SG\CONSEIL\EG-ITR\EG-ITR-2\000\015A.docx</w:t>
    </w:r>
    <w:r w:rsidRPr="00476123">
      <w:rPr>
        <w:rFonts w:cs="Calibri"/>
      </w:rPr>
      <w:fldChar w:fldCharType="end"/>
    </w:r>
    <w:r w:rsidRPr="00016285">
      <w:rPr>
        <w:rFonts w:cs="Calibri"/>
        <w:lang w:val="fr-FR"/>
      </w:rPr>
      <w:t xml:space="preserve">  </w:t>
    </w:r>
    <w:r w:rsidRPr="00476123">
      <w:rPr>
        <w:rFonts w:cs="Calibri"/>
        <w:lang w:val="fr-FR"/>
      </w:rPr>
      <w:t xml:space="preserve"> (</w:t>
    </w:r>
    <w:r w:rsidR="00016285">
      <w:rPr>
        <w:rFonts w:cs="Calibri"/>
        <w:lang w:val="fr-FR"/>
      </w:rPr>
      <w:t>423267</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382E59">
      <w:rPr>
        <w:rFonts w:cs="Calibri"/>
        <w:noProof/>
        <w:lang w:val="fr-FR"/>
      </w:rPr>
      <w:t>08.09.17</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BF5FA2">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FA2" w:rsidRDefault="00BF5FA2" w:rsidP="00E07379">
      <w:pPr>
        <w:spacing w:before="0" w:line="240" w:lineRule="auto"/>
      </w:pPr>
      <w:r>
        <w:separator/>
      </w:r>
    </w:p>
  </w:footnote>
  <w:footnote w:type="continuationSeparator" w:id="0">
    <w:p w:rsidR="00BF5FA2" w:rsidRDefault="00BF5FA2" w:rsidP="00E07379">
      <w:pPr>
        <w:spacing w:before="0" w:line="240" w:lineRule="auto"/>
      </w:pPr>
      <w:r>
        <w:continuationSeparator/>
      </w:r>
    </w:p>
  </w:footnote>
  <w:footnote w:id="1">
    <w:p w:rsidR="00016285" w:rsidRDefault="00016285" w:rsidP="00382E59">
      <w:pPr>
        <w:pStyle w:val="FootnoteText"/>
        <w:rPr>
          <w:lang w:bidi="ar-LB"/>
        </w:rPr>
      </w:pPr>
      <w:r w:rsidRPr="00016285">
        <w:rPr>
          <w:rStyle w:val="FootnoteReference"/>
          <w:spacing w:val="-6"/>
        </w:rPr>
        <w:footnoteRef/>
      </w:r>
      <w:r w:rsidRPr="00016285">
        <w:rPr>
          <w:spacing w:val="-6"/>
          <w:rtl/>
        </w:rPr>
        <w:tab/>
      </w:r>
      <w:r w:rsidRPr="0039783E">
        <w:rPr>
          <w:rFonts w:hint="cs"/>
          <w:spacing w:val="6"/>
          <w:rtl/>
          <w:lang w:bidi="ar-LB"/>
        </w:rPr>
        <w:t>انظر</w:t>
      </w:r>
      <w:r w:rsidRPr="0039783E">
        <w:rPr>
          <w:rFonts w:hint="cs"/>
          <w:spacing w:val="6"/>
          <w:rtl/>
        </w:rPr>
        <w:t xml:space="preserve"> </w:t>
      </w:r>
      <w:hyperlink r:id="rId1" w:history="1">
        <w:r w:rsidR="00382E59">
          <w:rPr>
            <w:rStyle w:val="Hyperlink"/>
            <w:lang w:val="fr-CH"/>
          </w:rPr>
          <w:t>https://www.</w:t>
        </w:r>
        <w:bookmarkStart w:id="2" w:name="_GoBack"/>
        <w:bookmarkEnd w:id="2"/>
        <w:r w:rsidR="00382E59">
          <w:rPr>
            <w:rStyle w:val="Hyperlink"/>
            <w:lang w:val="fr-CH"/>
          </w:rPr>
          <w:t>a</w:t>
        </w:r>
        <w:r w:rsidR="00382E59">
          <w:rPr>
            <w:rStyle w:val="Hyperlink"/>
            <w:lang w:val="fr-CH"/>
          </w:rPr>
          <w:t>pc.org/sites/default/files/APC%20Perspectives%20on%20the%20revision%20of%20the%20ITRs_0.pdf</w:t>
        </w:r>
      </w:hyperlink>
      <w:r w:rsidRPr="0039783E">
        <w:rPr>
          <w:rFonts w:hint="cs"/>
          <w:spacing w:val="6"/>
          <w:rtl/>
        </w:rPr>
        <w:t xml:space="preserve">. </w:t>
      </w:r>
      <w:r w:rsidRPr="0039783E">
        <w:rPr>
          <w:rFonts w:hint="cs"/>
          <w:spacing w:val="6"/>
          <w:sz w:val="26"/>
          <w:rtl/>
        </w:rPr>
        <w:t>ملاحظة: في ذلك الوقت لم تكن رابطة الاتصالات التقدمية من بين أعضاء القطاعات في الاتحاد الدولي للاتصالات ولم تكن قادرة إلا على المساهمة بصورة رسمية في الفرص المحدودة التي تتيحها المشاورات العامة</w:t>
      </w:r>
      <w:r w:rsidRPr="0039783E">
        <w:rPr>
          <w:rFonts w:hint="cs"/>
          <w:spacing w:val="6"/>
          <w:sz w:val="22"/>
          <w:szCs w:val="30"/>
          <w:rtl/>
        </w:rPr>
        <w:t>.</w:t>
      </w:r>
    </w:p>
  </w:footnote>
  <w:footnote w:id="2">
    <w:p w:rsidR="00016285" w:rsidRDefault="00016285" w:rsidP="001F7426">
      <w:pPr>
        <w:pStyle w:val="FootnoteText"/>
        <w:rPr>
          <w:lang w:bidi="ar-LB"/>
        </w:rPr>
      </w:pPr>
      <w:r>
        <w:rPr>
          <w:rStyle w:val="FootnoteReference"/>
        </w:rPr>
        <w:footnoteRef/>
      </w:r>
      <w:r w:rsidR="001F7426">
        <w:rPr>
          <w:rtl/>
        </w:rPr>
        <w:tab/>
      </w:r>
      <w:r w:rsidRPr="001F7426">
        <w:rPr>
          <w:rStyle w:val="FootnoteTextChar"/>
          <w:rFonts w:hint="cs"/>
          <w:rtl/>
        </w:rPr>
        <w:t>على سبيل المثال المقترحات التي ستحد من قدرة المستعملين على الالتفاف حول الرقابة أو التواصل بصفة مجهولة عن طريق منح الدول الأعضاء السلطة لتحديد مسارات التسيير ومنع "</w:t>
      </w:r>
      <w:r w:rsidRPr="001F7426">
        <w:rPr>
          <w:rStyle w:val="FootnoteTextChar"/>
          <w:rtl/>
        </w:rPr>
        <w:t>سوء استعمال وسوء استغلال موارد الترقيم</w:t>
      </w:r>
      <w:r w:rsidRPr="001F7426">
        <w:rPr>
          <w:rStyle w:val="FootnoteTextChar"/>
          <w:rFonts w:hint="cs"/>
          <w:rtl/>
        </w:rPr>
        <w:t>"، أو ستشرع على نحو فعال وقف الدولة للتجهيزات غير المرخصة، أو ستفرض نظاماً رقمياً عالمياً لمعرّف الهوية يعرّ</w:t>
      </w:r>
      <w:r w:rsidR="001F7426">
        <w:rPr>
          <w:rStyle w:val="FootnoteTextChar"/>
          <w:rFonts w:hint="cs"/>
          <w:rtl/>
        </w:rPr>
        <w:t>ِ</w:t>
      </w:r>
      <w:r w:rsidRPr="001F7426">
        <w:rPr>
          <w:rStyle w:val="FootnoteTextChar"/>
          <w:rFonts w:hint="cs"/>
          <w:rtl/>
        </w:rPr>
        <w:t>ف على نحو فريد الأجهزة الموصولة بالإنترنت بطريقة تخل بخصوصية وثقة المستعملين.</w:t>
      </w:r>
    </w:p>
  </w:footnote>
  <w:footnote w:id="3">
    <w:p w:rsidR="00016285" w:rsidRPr="00E86093" w:rsidRDefault="00016285" w:rsidP="001F7426">
      <w:pPr>
        <w:pStyle w:val="FootnoteText"/>
        <w:rPr>
          <w:rtl/>
          <w:lang w:bidi="ar-LB"/>
        </w:rPr>
      </w:pPr>
      <w:r>
        <w:rPr>
          <w:rStyle w:val="FootnoteReference"/>
        </w:rPr>
        <w:footnoteRef/>
      </w:r>
      <w:r w:rsidR="001F7426" w:rsidRPr="001F7426">
        <w:rPr>
          <w:rStyle w:val="FootnoteTextChar"/>
          <w:rtl/>
        </w:rPr>
        <w:tab/>
      </w:r>
      <w:r w:rsidRPr="001F7426">
        <w:rPr>
          <w:rStyle w:val="FootnoteTextChar"/>
          <w:rFonts w:hint="cs"/>
          <w:rtl/>
        </w:rPr>
        <w:t xml:space="preserve">انظر الوثيقة </w:t>
      </w:r>
      <w:r w:rsidRPr="001F7426">
        <w:rPr>
          <w:rStyle w:val="FootnoteTextChar"/>
        </w:rPr>
        <w:t>EG-ITR-2/4-A</w:t>
      </w:r>
      <w:r w:rsidRPr="001F7426">
        <w:rPr>
          <w:rStyle w:val="FootnoteTextChar"/>
          <w:rtl/>
        </w:rPr>
        <w:t>: مساهمة من جمهورية البرازيل ال</w:t>
      </w:r>
      <w:r w:rsidRPr="001F7426">
        <w:rPr>
          <w:rStyle w:val="FootnoteTextChar"/>
          <w:rFonts w:hint="cs"/>
          <w:rtl/>
        </w:rPr>
        <w:t>اتحاد</w:t>
      </w:r>
      <w:r w:rsidRPr="001F7426">
        <w:rPr>
          <w:rStyle w:val="FootnoteTextChar"/>
          <w:rtl/>
        </w:rPr>
        <w:t>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382E59"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382E59">
          <w:rPr>
            <w:rFonts w:eastAsiaTheme="minorEastAsia" w:cs="Calibri"/>
            <w:noProof/>
            <w:sz w:val="20"/>
            <w:szCs w:val="20"/>
            <w:rtl/>
            <w:lang w:eastAsia="zh-CN"/>
          </w:rPr>
          <w:t>2</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C11EB5"/>
    <w:multiLevelType w:val="hybridMultilevel"/>
    <w:tmpl w:val="82AEC56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A2"/>
    <w:rsid w:val="000124CC"/>
    <w:rsid w:val="00016285"/>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1F7426"/>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82E59"/>
    <w:rsid w:val="0039783E"/>
    <w:rsid w:val="003C106D"/>
    <w:rsid w:val="003C475F"/>
    <w:rsid w:val="003E4132"/>
    <w:rsid w:val="003F678F"/>
    <w:rsid w:val="0042686F"/>
    <w:rsid w:val="004367CE"/>
    <w:rsid w:val="00443869"/>
    <w:rsid w:val="004712C6"/>
    <w:rsid w:val="00476123"/>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60E68"/>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50A5B"/>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BF5FA2"/>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29A55C8-AB1E-4A63-9F5F-FCAC27FE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016285"/>
    <w:rPr>
      <w:rFonts w:ascii="Calibri" w:hAnsi="Calibri" w:cs="Traditional Arabic"/>
      <w:b w:val="0"/>
      <w:bCs w:val="0"/>
      <w:i w:val="0"/>
      <w:iCs w:val="0"/>
      <w:color w:val="0000FF"/>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2E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c.org/sites/default/files/APC%20Perspectives%20on%20the%20revision%20of%20the%20ITR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996b2e75-67fd-4955-a3b0-5ab9934cb50b"/>
    <ds:schemaRef ds:uri="http://schemas.microsoft.com/office/infopath/2007/PartnerControls"/>
    <ds:schemaRef ds:uri="de10a323-94a9-4e93-88b4-ea964576960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D4A90D-BAEB-4181-AA00-35079896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Janin</cp:lastModifiedBy>
  <cp:revision>2</cp:revision>
  <cp:lastPrinted>2016-06-07T13:25:00Z</cp:lastPrinted>
  <dcterms:created xsi:type="dcterms:W3CDTF">2017-09-11T09:50:00Z</dcterms:created>
  <dcterms:modified xsi:type="dcterms:W3CDTF">2017-09-11T09:50:00Z</dcterms:modified>
  <cp:category>Conference document</cp:category>
</cp:coreProperties>
</file>