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GoBack"/>
            <w:bookmarkEnd w:id="0"/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bookmarkStart w:id="1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二次会议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2017</w:t>
            </w:r>
            <w:bookmarkEnd w:id="1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13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-15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3" w:name="dmeeting" w:colFirst="0" w:colLast="0"/>
          </w:p>
        </w:tc>
        <w:tc>
          <w:tcPr>
            <w:tcW w:w="3120" w:type="dxa"/>
          </w:tcPr>
          <w:p w:rsidR="00700D1F" w:rsidRPr="00700D1F" w:rsidRDefault="00D81264" w:rsidP="00D8126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447DC3">
              <w:rPr>
                <w:rFonts w:eastAsia="Calibri" w:cs="Calibri"/>
                <w:b/>
                <w:color w:val="000000"/>
                <w:szCs w:val="24"/>
                <w:lang w:val="en-US"/>
              </w:rPr>
              <w:t>EG-ITRs 2/14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3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5354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041A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D03D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47DC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447DC3">
              <w:rPr>
                <w:rFonts w:hint="eastAsia"/>
                <w:b/>
                <w:bCs/>
                <w:szCs w:val="24"/>
                <w:lang w:val="en-US" w:eastAsia="zh-CN"/>
              </w:rPr>
              <w:t>西班牙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A31EB2" w:rsidRDefault="00447DC3" w:rsidP="00A31EB2">
            <w:pPr>
              <w:pStyle w:val="Source"/>
              <w:rPr>
                <w:lang w:eastAsia="zh-CN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墨西哥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5F5483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asciiTheme="minorHAnsi" w:hAnsiTheme="minorHAnsi" w:hint="eastAsia"/>
                <w:bCs/>
                <w:szCs w:val="24"/>
                <w:lang w:val="en-US" w:eastAsia="zh-CN"/>
              </w:rPr>
              <w:t>关于</w:t>
            </w:r>
            <w:r w:rsidR="006A1EB1">
              <w:rPr>
                <w:rFonts w:asciiTheme="minorHAnsi" w:hAnsiTheme="minorHAnsi" w:hint="eastAsia"/>
                <w:bCs/>
                <w:szCs w:val="24"/>
                <w:lang w:val="en-US" w:eastAsia="zh-CN"/>
              </w:rPr>
              <w:t>《国际电信规则》专家组（</w:t>
            </w:r>
            <w:r w:rsidR="006A1EB1">
              <w:rPr>
                <w:rFonts w:asciiTheme="minorHAnsi" w:hAnsiTheme="minorHAnsi"/>
                <w:bCs/>
                <w:szCs w:val="24"/>
                <w:lang w:val="en-US" w:eastAsia="zh-CN"/>
              </w:rPr>
              <w:t>EG-ITR</w:t>
            </w:r>
            <w:r w:rsidR="006A1EB1">
              <w:rPr>
                <w:rFonts w:asciiTheme="minorHAnsi" w:hAnsiTheme="minorHAnsi" w:hint="eastAsia"/>
                <w:bCs/>
                <w:szCs w:val="24"/>
                <w:lang w:val="en-US" w:eastAsia="zh-CN"/>
              </w:rPr>
              <w:t>）工作的立场</w:t>
            </w:r>
          </w:p>
        </w:tc>
      </w:tr>
    </w:tbl>
    <w:p w:rsidR="00447DC3" w:rsidRDefault="006A1EB1" w:rsidP="00447DC3">
      <w:pPr>
        <w:pStyle w:val="Headingb"/>
        <w:rPr>
          <w:bCs/>
          <w:lang w:eastAsia="zh-CN"/>
        </w:rPr>
      </w:pPr>
      <w:r>
        <w:rPr>
          <w:rFonts w:hint="eastAsia"/>
          <w:lang w:eastAsia="zh-CN"/>
        </w:rPr>
        <w:t>引言</w:t>
      </w:r>
    </w:p>
    <w:p w:rsidR="006A1EB1" w:rsidRPr="006A1EB1" w:rsidRDefault="006A1EB1" w:rsidP="001F602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墨西哥认识到</w:t>
      </w:r>
      <w:r w:rsidRPr="006A1EB1">
        <w:rPr>
          <w:rFonts w:hint="eastAsia"/>
          <w:lang w:eastAsia="zh-CN"/>
        </w:rPr>
        <w:t>《国际电信规则》（</w:t>
      </w:r>
      <w:r w:rsidRPr="006A1EB1">
        <w:rPr>
          <w:rFonts w:hint="eastAsia"/>
          <w:lang w:eastAsia="zh-CN"/>
        </w:rPr>
        <w:t>ITR</w:t>
      </w:r>
      <w:r w:rsidRPr="006A1EB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制定的一般性原则</w:t>
      </w:r>
      <w:r w:rsidRPr="006A1EB1">
        <w:rPr>
          <w:rFonts w:hint="eastAsia"/>
          <w:lang w:eastAsia="zh-CN"/>
        </w:rPr>
        <w:t>涉及面向公众的国际电信业务的提供、运营以及提供这些业务的国际电信基本传输手段。</w:t>
      </w:r>
    </w:p>
    <w:p w:rsidR="006A1EB1" w:rsidRDefault="006A1EB1" w:rsidP="001F6021">
      <w:pPr>
        <w:ind w:firstLineChars="200" w:firstLine="480"/>
        <w:rPr>
          <w:szCs w:val="24"/>
          <w:lang w:eastAsia="zh-CN"/>
        </w:rPr>
      </w:pPr>
      <w:bookmarkStart w:id="4" w:name="lt_pId011"/>
      <w:r>
        <w:rPr>
          <w:rFonts w:hint="eastAsia"/>
          <w:szCs w:val="24"/>
          <w:lang w:eastAsia="zh-CN"/>
        </w:rPr>
        <w:t>上一次专家组会议根据专家组的职责范围，同意按照主席</w:t>
      </w:r>
      <w:r w:rsidR="0086779B">
        <w:rPr>
          <w:rFonts w:hint="eastAsia"/>
          <w:szCs w:val="24"/>
          <w:lang w:eastAsia="zh-CN"/>
        </w:rPr>
        <w:t>报告中所述采取循序渐进的方法，下一步是确定</w:t>
      </w:r>
      <w:r>
        <w:rPr>
          <w:rFonts w:hint="eastAsia"/>
          <w:szCs w:val="24"/>
          <w:lang w:eastAsia="zh-CN"/>
        </w:rPr>
        <w:t>实施</w:t>
      </w:r>
      <w:r>
        <w:rPr>
          <w:szCs w:val="24"/>
          <w:lang w:eastAsia="zh-CN"/>
        </w:rPr>
        <w:t>2012</w:t>
      </w:r>
      <w:r>
        <w:rPr>
          <w:rFonts w:hint="eastAsia"/>
          <w:szCs w:val="24"/>
          <w:lang w:eastAsia="zh-CN"/>
        </w:rPr>
        <w:t>年《国际电信规则》</w:t>
      </w:r>
      <w:r w:rsidR="0086779B">
        <w:rPr>
          <w:rFonts w:hint="eastAsia"/>
          <w:szCs w:val="24"/>
          <w:lang w:eastAsia="zh-CN"/>
        </w:rPr>
        <w:t>可能</w:t>
      </w:r>
      <w:r>
        <w:rPr>
          <w:rFonts w:hint="eastAsia"/>
          <w:szCs w:val="24"/>
          <w:lang w:eastAsia="zh-CN"/>
        </w:rPr>
        <w:t>带来的挑战，并请各成员国和部门成员向本次会议提交文稿。</w:t>
      </w:r>
      <w:r w:rsidR="004F0B18">
        <w:rPr>
          <w:rFonts w:hint="eastAsia"/>
          <w:szCs w:val="24"/>
          <w:lang w:eastAsia="zh-CN"/>
        </w:rPr>
        <w:t>为此</w:t>
      </w:r>
      <w:r w:rsidR="00AB5862">
        <w:rPr>
          <w:rFonts w:hint="eastAsia"/>
          <w:szCs w:val="24"/>
          <w:lang w:eastAsia="zh-CN"/>
        </w:rPr>
        <w:t>，</w:t>
      </w:r>
      <w:r w:rsidR="004F0B18">
        <w:rPr>
          <w:rFonts w:hint="eastAsia"/>
          <w:szCs w:val="24"/>
          <w:lang w:eastAsia="zh-CN"/>
        </w:rPr>
        <w:t>本文说明了</w:t>
      </w:r>
      <w:r w:rsidR="00AB5862">
        <w:rPr>
          <w:rFonts w:hint="eastAsia"/>
          <w:szCs w:val="24"/>
          <w:lang w:eastAsia="zh-CN"/>
        </w:rPr>
        <w:t>墨西哥主管部门</w:t>
      </w:r>
      <w:proofErr w:type="gramStart"/>
      <w:r w:rsidR="004F0B18">
        <w:rPr>
          <w:rFonts w:hint="eastAsia"/>
          <w:szCs w:val="24"/>
          <w:lang w:eastAsia="zh-CN"/>
        </w:rPr>
        <w:t>对于专家</w:t>
      </w:r>
      <w:proofErr w:type="gramEnd"/>
      <w:r w:rsidR="004F0B18">
        <w:rPr>
          <w:rFonts w:hint="eastAsia"/>
          <w:szCs w:val="24"/>
          <w:lang w:eastAsia="zh-CN"/>
        </w:rPr>
        <w:t>组职责范围第</w:t>
      </w:r>
      <w:r w:rsidR="004F0B18">
        <w:rPr>
          <w:szCs w:val="24"/>
          <w:lang w:eastAsia="zh-CN"/>
        </w:rPr>
        <w:t>2</w:t>
      </w:r>
      <w:r w:rsidR="004F0B18">
        <w:rPr>
          <w:rFonts w:hint="eastAsia"/>
          <w:szCs w:val="24"/>
          <w:lang w:eastAsia="zh-CN"/>
        </w:rPr>
        <w:t>段中所述的三</w:t>
      </w:r>
      <w:r w:rsidR="0086779B">
        <w:rPr>
          <w:rFonts w:hint="eastAsia"/>
          <w:szCs w:val="24"/>
          <w:lang w:eastAsia="zh-CN"/>
        </w:rPr>
        <w:t>点</w:t>
      </w:r>
      <w:r w:rsidR="004F0B18">
        <w:rPr>
          <w:rFonts w:hint="eastAsia"/>
          <w:szCs w:val="24"/>
          <w:lang w:eastAsia="zh-CN"/>
        </w:rPr>
        <w:t>内容的立场。</w:t>
      </w:r>
    </w:p>
    <w:bookmarkEnd w:id="4"/>
    <w:p w:rsidR="00447DC3" w:rsidRDefault="0016018F" w:rsidP="0016018F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4F0B18">
        <w:rPr>
          <w:rFonts w:hint="eastAsia"/>
          <w:lang w:eastAsia="zh-CN"/>
        </w:rPr>
        <w:t>《国际电信规则》的适用性</w:t>
      </w:r>
    </w:p>
    <w:p w:rsidR="00447DC3" w:rsidRDefault="005C7E83" w:rsidP="0016018F">
      <w:pPr>
        <w:tabs>
          <w:tab w:val="left" w:pos="1560"/>
          <w:tab w:val="left" w:pos="3544"/>
          <w:tab w:val="left" w:pos="3969"/>
        </w:tabs>
        <w:ind w:firstLineChars="200" w:firstLine="480"/>
        <w:jc w:val="both"/>
        <w:rPr>
          <w:lang w:eastAsia="zh-CN"/>
        </w:rPr>
      </w:pPr>
      <w:bookmarkStart w:id="5" w:name="lt_pId014"/>
      <w:r w:rsidRPr="00F52775">
        <w:rPr>
          <w:rFonts w:cs="Calibri"/>
          <w:lang w:eastAsia="zh-CN"/>
        </w:rPr>
        <w:t>墨西哥</w:t>
      </w:r>
      <w:r w:rsidR="009710DE">
        <w:rPr>
          <w:rFonts w:cs="Calibri"/>
          <w:lang w:eastAsia="zh-CN"/>
        </w:rPr>
        <w:t>认为，《国际电信规则》中的一些内容只要能</w:t>
      </w:r>
      <w:r w:rsidRPr="00F52775">
        <w:rPr>
          <w:rFonts w:cs="Calibri"/>
          <w:lang w:eastAsia="zh-CN"/>
        </w:rPr>
        <w:t>促进规则的一致性、建立对国际电信</w:t>
      </w:r>
      <w:r w:rsidR="0086779B">
        <w:rPr>
          <w:rFonts w:cs="Calibri" w:hint="eastAsia"/>
          <w:lang w:eastAsia="zh-CN"/>
        </w:rPr>
        <w:t>业务</w:t>
      </w:r>
      <w:r w:rsidRPr="00F52775">
        <w:rPr>
          <w:rFonts w:cs="Calibri"/>
          <w:lang w:eastAsia="zh-CN"/>
        </w:rPr>
        <w:t>的信任，</w:t>
      </w:r>
      <w:r w:rsidR="0086779B">
        <w:rPr>
          <w:rFonts w:cs="Calibri"/>
          <w:lang w:eastAsia="zh-CN"/>
        </w:rPr>
        <w:t>在国际电信行业环境下</w:t>
      </w:r>
      <w:r w:rsidRPr="00F52775">
        <w:rPr>
          <w:rFonts w:cs="Calibri"/>
          <w:lang w:eastAsia="zh-CN"/>
        </w:rPr>
        <w:t>就仍具有现实意义。这些内容包括：</w:t>
      </w:r>
    </w:p>
    <w:bookmarkEnd w:id="5"/>
    <w:p w:rsidR="00447DC3" w:rsidRDefault="005C7E83" w:rsidP="0016018F">
      <w:pPr>
        <w:pStyle w:val="ListParagraph"/>
        <w:numPr>
          <w:ilvl w:val="0"/>
          <w:numId w:val="10"/>
        </w:numPr>
        <w:tabs>
          <w:tab w:val="left" w:pos="1560"/>
          <w:tab w:val="left" w:pos="3544"/>
          <w:tab w:val="left" w:pos="3969"/>
        </w:tabs>
        <w:ind w:left="567" w:hanging="567"/>
        <w:jc w:val="both"/>
        <w:textAlignment w:val="auto"/>
        <w:rPr>
          <w:lang w:eastAsia="zh-CN"/>
        </w:rPr>
      </w:pPr>
      <w:r>
        <w:rPr>
          <w:rFonts w:eastAsia="SimSun" w:cs="Calibri"/>
          <w:lang w:eastAsia="zh-CN"/>
        </w:rPr>
        <w:t>作为各成员国的一项个体和</w:t>
      </w:r>
      <w:r w:rsidR="0086779B">
        <w:rPr>
          <w:rFonts w:eastAsia="SimSun" w:cs="Calibri" w:hint="eastAsia"/>
          <w:lang w:eastAsia="zh-CN"/>
        </w:rPr>
        <w:t>共同</w:t>
      </w:r>
      <w:r>
        <w:rPr>
          <w:rFonts w:eastAsia="SimSun" w:cs="Calibri"/>
          <w:lang w:eastAsia="zh-CN"/>
        </w:rPr>
        <w:t>义务</w:t>
      </w:r>
      <w:r w:rsidR="0086779B">
        <w:rPr>
          <w:rFonts w:eastAsia="SimSun" w:cs="Calibri" w:hint="eastAsia"/>
          <w:lang w:eastAsia="zh-CN"/>
        </w:rPr>
        <w:t>，确保</w:t>
      </w:r>
      <w:r>
        <w:rPr>
          <w:rFonts w:eastAsia="SimSun" w:cs="Calibri"/>
          <w:lang w:eastAsia="zh-CN"/>
        </w:rPr>
        <w:t>国际电信网络的安全性和稳健性</w:t>
      </w:r>
      <w:r>
        <w:rPr>
          <w:rFonts w:eastAsia="SimSun" w:cs="Calibri" w:hint="eastAsia"/>
          <w:lang w:eastAsia="zh-CN"/>
        </w:rPr>
        <w:t>，必须</w:t>
      </w:r>
      <w:r w:rsidR="00651590">
        <w:rPr>
          <w:rFonts w:eastAsia="SimSun" w:cs="Calibri" w:hint="eastAsia"/>
          <w:lang w:eastAsia="zh-CN"/>
        </w:rPr>
        <w:t>谋求向公众提供的国际电信业</w:t>
      </w:r>
      <w:r>
        <w:rPr>
          <w:rFonts w:eastAsia="SimSun" w:cs="Calibri" w:hint="eastAsia"/>
          <w:lang w:eastAsia="zh-CN"/>
        </w:rPr>
        <w:t>务的协调发展。</w:t>
      </w:r>
    </w:p>
    <w:p w:rsidR="00447DC3" w:rsidRDefault="005C7E83" w:rsidP="0016018F">
      <w:pPr>
        <w:pStyle w:val="ListParagraph"/>
        <w:numPr>
          <w:ilvl w:val="0"/>
          <w:numId w:val="10"/>
        </w:numPr>
        <w:tabs>
          <w:tab w:val="left" w:pos="1560"/>
          <w:tab w:val="left" w:pos="3544"/>
          <w:tab w:val="left" w:pos="3969"/>
        </w:tabs>
        <w:ind w:left="567" w:hanging="567"/>
        <w:jc w:val="both"/>
        <w:textAlignment w:val="auto"/>
        <w:rPr>
          <w:lang w:eastAsia="zh-CN"/>
        </w:rPr>
      </w:pPr>
      <w:r>
        <w:rPr>
          <w:rFonts w:eastAsia="SimSun" w:cs="Calibri"/>
          <w:lang w:eastAsia="zh-CN"/>
        </w:rPr>
        <w:t>促进国际电信网络投资</w:t>
      </w:r>
      <w:r>
        <w:rPr>
          <w:rFonts w:eastAsia="SimSun" w:cs="Calibri" w:hint="eastAsia"/>
          <w:lang w:eastAsia="zh-CN"/>
        </w:rPr>
        <w:t>。</w:t>
      </w:r>
    </w:p>
    <w:p w:rsidR="00447DC3" w:rsidRDefault="005C7E83" w:rsidP="0016018F">
      <w:pPr>
        <w:pStyle w:val="ListParagraph"/>
        <w:numPr>
          <w:ilvl w:val="0"/>
          <w:numId w:val="10"/>
        </w:numPr>
        <w:tabs>
          <w:tab w:val="left" w:pos="1560"/>
          <w:tab w:val="left" w:pos="3544"/>
          <w:tab w:val="left" w:pos="3969"/>
        </w:tabs>
        <w:ind w:left="567" w:hanging="567"/>
        <w:jc w:val="both"/>
        <w:textAlignment w:val="auto"/>
        <w:rPr>
          <w:lang w:eastAsia="zh-CN"/>
        </w:rPr>
      </w:pPr>
      <w:r>
        <w:rPr>
          <w:rFonts w:eastAsia="SimSun" w:cs="Calibri"/>
          <w:lang w:eastAsia="zh-CN"/>
        </w:rPr>
        <w:t>制定确保国际主叫线路识别的规定</w:t>
      </w:r>
      <w:r>
        <w:rPr>
          <w:rFonts w:eastAsia="SimSun" w:cs="Calibri" w:hint="eastAsia"/>
          <w:lang w:eastAsia="zh-CN"/>
        </w:rPr>
        <w:t>。</w:t>
      </w:r>
    </w:p>
    <w:p w:rsidR="00447DC3" w:rsidRDefault="005C7E83" w:rsidP="0016018F">
      <w:pPr>
        <w:pStyle w:val="ListParagraph"/>
        <w:numPr>
          <w:ilvl w:val="0"/>
          <w:numId w:val="10"/>
        </w:numPr>
        <w:tabs>
          <w:tab w:val="left" w:pos="1560"/>
          <w:tab w:val="left" w:pos="3544"/>
          <w:tab w:val="left" w:pos="3969"/>
        </w:tabs>
        <w:ind w:left="567" w:hanging="567"/>
        <w:jc w:val="both"/>
        <w:textAlignment w:val="auto"/>
        <w:rPr>
          <w:lang w:eastAsia="zh-CN"/>
        </w:rPr>
      </w:pPr>
      <w:r>
        <w:rPr>
          <w:rFonts w:eastAsia="SimSun" w:cs="Calibri"/>
          <w:lang w:eastAsia="zh-CN"/>
        </w:rPr>
        <w:t>编号资源的妥善使用</w:t>
      </w:r>
      <w:r>
        <w:rPr>
          <w:rFonts w:eastAsia="SimSun" w:cs="Calibri" w:hint="eastAsia"/>
          <w:lang w:eastAsia="zh-CN"/>
        </w:rPr>
        <w:t>。</w:t>
      </w:r>
    </w:p>
    <w:p w:rsidR="00447DC3" w:rsidRDefault="009710DE" w:rsidP="0016018F">
      <w:pPr>
        <w:pStyle w:val="ListParagraph"/>
        <w:numPr>
          <w:ilvl w:val="0"/>
          <w:numId w:val="10"/>
        </w:numPr>
        <w:tabs>
          <w:tab w:val="left" w:pos="1560"/>
          <w:tab w:val="left" w:pos="3544"/>
          <w:tab w:val="left" w:pos="3969"/>
        </w:tabs>
        <w:ind w:left="567" w:hanging="567"/>
        <w:jc w:val="both"/>
        <w:textAlignment w:val="auto"/>
        <w:rPr>
          <w:lang w:eastAsia="zh-CN"/>
        </w:rPr>
      </w:pPr>
      <w:r>
        <w:rPr>
          <w:rFonts w:eastAsia="SimSun" w:cs="Calibri"/>
          <w:lang w:eastAsia="zh-CN"/>
        </w:rPr>
        <w:t>为部署区域电信业务交换点</w:t>
      </w:r>
      <w:r>
        <w:rPr>
          <w:rFonts w:eastAsia="SimSun" w:cs="Calibri" w:hint="eastAsia"/>
          <w:lang w:eastAsia="zh-CN"/>
        </w:rPr>
        <w:t>创造</w:t>
      </w:r>
      <w:r w:rsidR="005C7E83">
        <w:rPr>
          <w:rFonts w:eastAsia="SimSun" w:cs="Calibri"/>
          <w:lang w:eastAsia="zh-CN"/>
        </w:rPr>
        <w:t>有利环境</w:t>
      </w:r>
      <w:r w:rsidR="005C7E83">
        <w:rPr>
          <w:rFonts w:eastAsia="SimSun" w:cs="Calibri" w:hint="eastAsia"/>
          <w:lang w:eastAsia="zh-CN"/>
        </w:rPr>
        <w:t>。</w:t>
      </w:r>
    </w:p>
    <w:p w:rsidR="00447DC3" w:rsidRPr="009710DE" w:rsidRDefault="005C7E83" w:rsidP="0016018F">
      <w:pPr>
        <w:tabs>
          <w:tab w:val="left" w:pos="1560"/>
          <w:tab w:val="left" w:pos="3544"/>
          <w:tab w:val="left" w:pos="3969"/>
        </w:tabs>
        <w:ind w:firstLineChars="200" w:firstLine="480"/>
        <w:jc w:val="both"/>
        <w:rPr>
          <w:lang w:eastAsia="zh-CN"/>
        </w:rPr>
      </w:pPr>
      <w:r>
        <w:rPr>
          <w:rFonts w:cs="Calibri"/>
          <w:lang w:eastAsia="zh-CN"/>
        </w:rPr>
        <w:t>墨西哥主管部门认为</w:t>
      </w:r>
      <w:r>
        <w:rPr>
          <w:rFonts w:cs="Calibri" w:hint="eastAsia"/>
          <w:lang w:eastAsia="zh-CN"/>
        </w:rPr>
        <w:t>，《国际电信规则》现有的这些</w:t>
      </w:r>
      <w:r w:rsidR="009710DE">
        <w:rPr>
          <w:rFonts w:cs="Calibri" w:hint="eastAsia"/>
          <w:lang w:eastAsia="zh-CN"/>
        </w:rPr>
        <w:t>规定与当前的环境相辅相成，</w:t>
      </w:r>
      <w:r w:rsidR="00651590">
        <w:rPr>
          <w:rFonts w:cs="Calibri" w:hint="eastAsia"/>
          <w:lang w:eastAsia="zh-CN"/>
        </w:rPr>
        <w:t>目前</w:t>
      </w:r>
      <w:r w:rsidR="009710DE">
        <w:rPr>
          <w:rFonts w:cs="Calibri" w:hint="eastAsia"/>
          <w:lang w:eastAsia="zh-CN"/>
        </w:rPr>
        <w:t>电信市场的</w:t>
      </w:r>
      <w:r w:rsidR="00651590">
        <w:rPr>
          <w:rFonts w:cs="Calibri" w:hint="eastAsia"/>
          <w:lang w:eastAsia="zh-CN"/>
        </w:rPr>
        <w:t>发展状况</w:t>
      </w:r>
      <w:r w:rsidR="009710DE">
        <w:rPr>
          <w:rFonts w:cs="Calibri" w:hint="eastAsia"/>
          <w:lang w:eastAsia="zh-CN"/>
        </w:rPr>
        <w:t>是经授权的运营机构签署</w:t>
      </w:r>
      <w:r>
        <w:rPr>
          <w:rFonts w:cs="Calibri" w:hint="eastAsia"/>
          <w:lang w:eastAsia="zh-CN"/>
        </w:rPr>
        <w:t>双边协议且竞争日益激烈，从而</w:t>
      </w:r>
      <w:r w:rsidR="009710DE">
        <w:rPr>
          <w:rFonts w:cs="Calibri" w:hint="eastAsia"/>
          <w:lang w:eastAsia="zh-CN"/>
        </w:rPr>
        <w:t>使</w:t>
      </w:r>
      <w:r>
        <w:rPr>
          <w:rFonts w:cs="Calibri" w:hint="eastAsia"/>
          <w:lang w:eastAsia="zh-CN"/>
        </w:rPr>
        <w:t>价格降低，电信业务进一步普及。</w:t>
      </w:r>
    </w:p>
    <w:p w:rsidR="00447DC3" w:rsidRDefault="0016018F" w:rsidP="0016018F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5C7E83">
        <w:rPr>
          <w:lang w:eastAsia="zh-CN"/>
        </w:rPr>
        <w:t>法律分析</w:t>
      </w:r>
    </w:p>
    <w:p w:rsidR="00447DC3" w:rsidRDefault="005C7E83" w:rsidP="0016018F">
      <w:pPr>
        <w:ind w:firstLineChars="200" w:firstLine="480"/>
        <w:jc w:val="both"/>
        <w:rPr>
          <w:lang w:eastAsia="zh-CN"/>
        </w:rPr>
      </w:pPr>
      <w:bookmarkStart w:id="6" w:name="lt_pId023"/>
      <w:r>
        <w:rPr>
          <w:rFonts w:cs="Calibri"/>
          <w:lang w:eastAsia="zh-CN"/>
        </w:rPr>
        <w:t>墨西哥认为</w:t>
      </w:r>
      <w:r>
        <w:rPr>
          <w:rFonts w:cs="Calibri" w:hint="eastAsia"/>
          <w:lang w:eastAsia="zh-CN"/>
        </w:rPr>
        <w:t>，与诸如</w:t>
      </w:r>
      <w:r>
        <w:rPr>
          <w:rFonts w:cs="Calibri"/>
          <w:lang w:eastAsia="zh-CN"/>
        </w:rPr>
        <w:t>自由贸易条约</w:t>
      </w:r>
      <w:r w:rsidR="009710DE">
        <w:rPr>
          <w:rFonts w:cs="Calibri"/>
          <w:lang w:eastAsia="zh-CN"/>
        </w:rPr>
        <w:t>等现有</w:t>
      </w:r>
      <w:r w:rsidR="00651590">
        <w:rPr>
          <w:rFonts w:cs="Calibri" w:hint="eastAsia"/>
          <w:lang w:eastAsia="zh-CN"/>
        </w:rPr>
        <w:t>的</w:t>
      </w:r>
      <w:r>
        <w:rPr>
          <w:rFonts w:cs="Calibri"/>
          <w:lang w:eastAsia="zh-CN"/>
        </w:rPr>
        <w:t>国际法律文书不同</w:t>
      </w:r>
      <w:r>
        <w:rPr>
          <w:rFonts w:cs="Calibri" w:hint="eastAsia"/>
          <w:lang w:eastAsia="zh-CN"/>
        </w:rPr>
        <w:t>（这些文书并不总会涉及</w:t>
      </w:r>
      <w:r w:rsidR="00651590">
        <w:rPr>
          <w:rFonts w:cs="Calibri" w:hint="eastAsia"/>
          <w:lang w:eastAsia="zh-CN"/>
        </w:rPr>
        <w:t>当前</w:t>
      </w:r>
      <w:r>
        <w:rPr>
          <w:rFonts w:cs="Calibri" w:hint="eastAsia"/>
          <w:lang w:eastAsia="zh-CN"/>
        </w:rPr>
        <w:t>电信行业的问题和趋势），《国际电信规则》的范围更广，</w:t>
      </w:r>
      <w:r w:rsidR="00651590">
        <w:rPr>
          <w:rFonts w:cs="Calibri" w:hint="eastAsia"/>
          <w:lang w:eastAsia="zh-CN"/>
        </w:rPr>
        <w:t>认识到有关</w:t>
      </w:r>
      <w:r>
        <w:rPr>
          <w:rFonts w:cs="Calibri" w:hint="eastAsia"/>
          <w:lang w:eastAsia="zh-CN"/>
        </w:rPr>
        <w:t>全球电信网络</w:t>
      </w:r>
      <w:r w:rsidR="00651590">
        <w:rPr>
          <w:rFonts w:cs="Calibri" w:hint="eastAsia"/>
          <w:lang w:eastAsia="zh-CN"/>
        </w:rPr>
        <w:t>及</w:t>
      </w:r>
      <w:r>
        <w:rPr>
          <w:rFonts w:cs="Calibri" w:hint="eastAsia"/>
          <w:lang w:eastAsia="zh-CN"/>
        </w:rPr>
        <w:t>业务兼容</w:t>
      </w:r>
      <w:r w:rsidR="009710DE">
        <w:rPr>
          <w:rFonts w:cs="Calibri" w:hint="eastAsia"/>
          <w:lang w:eastAsia="zh-CN"/>
        </w:rPr>
        <w:t>性</w:t>
      </w:r>
      <w:r>
        <w:rPr>
          <w:rFonts w:cs="Calibri" w:hint="eastAsia"/>
          <w:lang w:eastAsia="zh-CN"/>
        </w:rPr>
        <w:t>和互操作</w:t>
      </w:r>
      <w:r w:rsidR="009710DE">
        <w:rPr>
          <w:rFonts w:cs="Calibri" w:hint="eastAsia"/>
          <w:lang w:eastAsia="zh-CN"/>
        </w:rPr>
        <w:t>性</w:t>
      </w:r>
      <w:r>
        <w:rPr>
          <w:rFonts w:cs="Calibri" w:hint="eastAsia"/>
          <w:lang w:eastAsia="zh-CN"/>
        </w:rPr>
        <w:t>的国际标准的重要性，并承诺通过包括国际电信联盟在内的有</w:t>
      </w:r>
      <w:r w:rsidR="009710DE">
        <w:rPr>
          <w:rFonts w:cs="Calibri" w:hint="eastAsia"/>
          <w:lang w:eastAsia="zh-CN"/>
        </w:rPr>
        <w:t>权能</w:t>
      </w:r>
      <w:r w:rsidR="00651590">
        <w:rPr>
          <w:rFonts w:cs="Calibri" w:hint="eastAsia"/>
          <w:lang w:eastAsia="zh-CN"/>
        </w:rPr>
        <w:t>的国际组织开展的工作</w:t>
      </w:r>
      <w:r>
        <w:rPr>
          <w:rFonts w:cs="Calibri" w:hint="eastAsia"/>
          <w:lang w:eastAsia="zh-CN"/>
        </w:rPr>
        <w:t>推广这些标准。</w:t>
      </w:r>
    </w:p>
    <w:bookmarkEnd w:id="6"/>
    <w:p w:rsidR="00447DC3" w:rsidRDefault="005C7E83" w:rsidP="0016018F">
      <w:pPr>
        <w:ind w:firstLineChars="200" w:firstLine="480"/>
        <w:jc w:val="both"/>
        <w:rPr>
          <w:lang w:eastAsia="zh-CN"/>
        </w:rPr>
      </w:pPr>
      <w:r>
        <w:rPr>
          <w:rFonts w:cs="Calibri"/>
          <w:lang w:eastAsia="zh-CN"/>
        </w:rPr>
        <w:t>此外</w:t>
      </w:r>
      <w:r>
        <w:rPr>
          <w:rFonts w:cs="Calibri" w:hint="eastAsia"/>
          <w:lang w:eastAsia="zh-CN"/>
        </w:rPr>
        <w:t>，</w:t>
      </w:r>
      <w:r>
        <w:rPr>
          <w:rFonts w:cs="Calibri"/>
          <w:lang w:eastAsia="zh-CN"/>
        </w:rPr>
        <w:t>与其他国际文书不同</w:t>
      </w:r>
      <w:r>
        <w:rPr>
          <w:rFonts w:cs="Calibri" w:hint="eastAsia"/>
          <w:lang w:eastAsia="zh-CN"/>
        </w:rPr>
        <w:t>，《国际电信规则》包含有关生命安全的条款，涉及遇险通信、网络的安全性和稳健性、业务暂停、电子废弃物和无障碍获取问题。</w:t>
      </w:r>
    </w:p>
    <w:p w:rsidR="00447DC3" w:rsidRDefault="005C7E83" w:rsidP="00FD112E">
      <w:pPr>
        <w:jc w:val="both"/>
        <w:rPr>
          <w:lang w:eastAsia="zh-CN"/>
        </w:rPr>
      </w:pPr>
      <w:bookmarkStart w:id="7" w:name="lt_pId025"/>
      <w:r>
        <w:rPr>
          <w:rFonts w:cs="Calibri"/>
          <w:lang w:eastAsia="zh-CN"/>
        </w:rPr>
        <w:lastRenderedPageBreak/>
        <w:t>另一方面</w:t>
      </w:r>
      <w:r>
        <w:rPr>
          <w:rFonts w:cs="Calibri" w:hint="eastAsia"/>
          <w:lang w:eastAsia="zh-CN"/>
        </w:rPr>
        <w:t>，</w:t>
      </w:r>
      <w:r>
        <w:rPr>
          <w:rFonts w:cs="Calibri"/>
          <w:lang w:eastAsia="zh-CN"/>
        </w:rPr>
        <w:t>根据世界贸易组织</w:t>
      </w:r>
      <w:r>
        <w:rPr>
          <w:rFonts w:cs="Calibri" w:hint="eastAsia"/>
          <w:lang w:eastAsia="zh-CN"/>
        </w:rPr>
        <w:t>（</w:t>
      </w:r>
      <w:r w:rsidRPr="00F52775">
        <w:rPr>
          <w:rFonts w:cs="Calibri"/>
          <w:lang w:eastAsia="zh-CN"/>
        </w:rPr>
        <w:t>WTO</w:t>
      </w:r>
      <w:r>
        <w:rPr>
          <w:rFonts w:cs="Calibri" w:hint="eastAsia"/>
          <w:lang w:eastAsia="zh-CN"/>
        </w:rPr>
        <w:t>）《</w:t>
      </w:r>
      <w:r w:rsidRPr="00E95523">
        <w:rPr>
          <w:rFonts w:cs="Calibri" w:hint="eastAsia"/>
          <w:lang w:eastAsia="zh-CN"/>
        </w:rPr>
        <w:t>技术性贸易壁垒协议</w:t>
      </w:r>
      <w:r>
        <w:rPr>
          <w:rFonts w:cs="Calibri" w:hint="eastAsia"/>
          <w:lang w:eastAsia="zh-CN"/>
        </w:rPr>
        <w:t>》，特别是第</w:t>
      </w:r>
      <w:r>
        <w:rPr>
          <w:rFonts w:cs="Calibri" w:hint="eastAsia"/>
          <w:lang w:eastAsia="zh-CN"/>
        </w:rPr>
        <w:t>2</w:t>
      </w:r>
      <w:r>
        <w:rPr>
          <w:rFonts w:cs="Calibri" w:hint="eastAsia"/>
          <w:lang w:eastAsia="zh-CN"/>
        </w:rPr>
        <w:t>条第</w:t>
      </w:r>
      <w:r w:rsidRPr="00F52775">
        <w:rPr>
          <w:rFonts w:cs="Calibri"/>
          <w:lang w:eastAsia="zh-CN"/>
        </w:rPr>
        <w:t>2.2</w:t>
      </w:r>
      <w:r>
        <w:rPr>
          <w:rFonts w:cs="Calibri"/>
          <w:lang w:eastAsia="zh-CN"/>
        </w:rPr>
        <w:t>段</w:t>
      </w:r>
      <w:r w:rsidR="00FD112E">
        <w:rPr>
          <w:rFonts w:cs="Calibri" w:hint="eastAsia"/>
          <w:lang w:eastAsia="zh-CN"/>
        </w:rPr>
        <w:t>，需要指出的是，《国际电信规则》提供了不对贸易产生</w:t>
      </w:r>
      <w:r>
        <w:rPr>
          <w:rFonts w:cs="Calibri" w:hint="eastAsia"/>
          <w:lang w:eastAsia="zh-CN"/>
        </w:rPr>
        <w:t>影响</w:t>
      </w:r>
      <w:r w:rsidR="00FD112E">
        <w:rPr>
          <w:rFonts w:cs="Calibri" w:hint="eastAsia"/>
          <w:lang w:eastAsia="zh-CN"/>
        </w:rPr>
        <w:t>但可</w:t>
      </w:r>
      <w:r>
        <w:rPr>
          <w:rFonts w:cs="Calibri" w:hint="eastAsia"/>
          <w:lang w:eastAsia="zh-CN"/>
        </w:rPr>
        <w:t>推动消除技术性壁垒的</w:t>
      </w:r>
      <w:r w:rsidR="00651590">
        <w:rPr>
          <w:rFonts w:cs="Calibri" w:hint="eastAsia"/>
          <w:lang w:eastAsia="zh-CN"/>
        </w:rPr>
        <w:t>必要的</w:t>
      </w:r>
      <w:r>
        <w:rPr>
          <w:rFonts w:cs="Calibri" w:hint="eastAsia"/>
          <w:lang w:eastAsia="zh-CN"/>
        </w:rPr>
        <w:t>规则内容和原则。</w:t>
      </w:r>
    </w:p>
    <w:p w:rsidR="00447DC3" w:rsidRDefault="0016018F" w:rsidP="0016018F">
      <w:pPr>
        <w:pStyle w:val="Heading1"/>
        <w:rPr>
          <w:lang w:eastAsia="zh-CN"/>
        </w:rPr>
      </w:pPr>
      <w:bookmarkStart w:id="8" w:name="lt_pId027"/>
      <w:bookmarkEnd w:id="7"/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5C7E83">
        <w:rPr>
          <w:lang w:eastAsia="zh-CN"/>
        </w:rPr>
        <w:t>对</w:t>
      </w:r>
      <w:r w:rsidR="005C7E83" w:rsidRPr="00F52775">
        <w:rPr>
          <w:lang w:eastAsia="zh-CN"/>
        </w:rPr>
        <w:t>2012</w:t>
      </w:r>
      <w:r w:rsidR="005C7E83">
        <w:rPr>
          <w:lang w:eastAsia="zh-CN"/>
        </w:rPr>
        <w:t>年</w:t>
      </w:r>
      <w:r w:rsidR="005C7E83">
        <w:rPr>
          <w:rFonts w:hint="eastAsia"/>
          <w:lang w:eastAsia="zh-CN"/>
        </w:rPr>
        <w:t>《国际电信规则》</w:t>
      </w:r>
      <w:r w:rsidR="00651590">
        <w:rPr>
          <w:rFonts w:hint="eastAsia"/>
          <w:lang w:eastAsia="zh-CN"/>
        </w:rPr>
        <w:t>签署方</w:t>
      </w:r>
      <w:r w:rsidR="005C7E83">
        <w:rPr>
          <w:rFonts w:hint="eastAsia"/>
          <w:lang w:eastAsia="zh-CN"/>
        </w:rPr>
        <w:t>和</w:t>
      </w:r>
      <w:r w:rsidR="005C7E83" w:rsidRPr="00F52775">
        <w:rPr>
          <w:lang w:eastAsia="zh-CN"/>
        </w:rPr>
        <w:t>1988</w:t>
      </w:r>
      <w:r w:rsidR="005C7E83">
        <w:rPr>
          <w:lang w:eastAsia="zh-CN"/>
        </w:rPr>
        <w:t>年</w:t>
      </w:r>
      <w:r w:rsidR="005C7E83">
        <w:rPr>
          <w:rFonts w:hint="eastAsia"/>
          <w:lang w:eastAsia="zh-CN"/>
        </w:rPr>
        <w:t>《国际电信规则》签署方在实施两份文书条款方面的义务之间可能存在的冲突的分析</w:t>
      </w:r>
    </w:p>
    <w:p w:rsidR="00447DC3" w:rsidRDefault="005C7E83" w:rsidP="0016018F">
      <w:pPr>
        <w:ind w:firstLineChars="200" w:firstLine="480"/>
        <w:rPr>
          <w:lang w:val="en-US" w:eastAsia="zh-CN"/>
        </w:rPr>
      </w:pPr>
      <w:r>
        <w:rPr>
          <w:rFonts w:cs="Calibri"/>
          <w:lang w:val="en-US" w:eastAsia="zh-CN"/>
        </w:rPr>
        <w:t>墨西哥认为</w:t>
      </w:r>
      <w:r>
        <w:rPr>
          <w:rFonts w:cs="Calibri" w:hint="eastAsia"/>
          <w:lang w:val="en-US" w:eastAsia="zh-CN"/>
        </w:rPr>
        <w:t>，</w:t>
      </w:r>
      <w:r>
        <w:rPr>
          <w:rFonts w:cs="Calibri"/>
          <w:lang w:val="en-US" w:eastAsia="zh-CN"/>
        </w:rPr>
        <w:t>国际电联已经</w:t>
      </w:r>
      <w:r w:rsidR="00316F73">
        <w:rPr>
          <w:rFonts w:cs="Calibri" w:hint="eastAsia"/>
          <w:lang w:val="en-US" w:eastAsia="zh-CN"/>
        </w:rPr>
        <w:t>分析了</w:t>
      </w:r>
      <w:r w:rsidR="00651590">
        <w:rPr>
          <w:rFonts w:cs="Calibri" w:hint="eastAsia"/>
          <w:lang w:val="en-US" w:eastAsia="zh-CN"/>
        </w:rPr>
        <w:t>由</w:t>
      </w:r>
      <w:r>
        <w:rPr>
          <w:rFonts w:cs="Calibri"/>
          <w:lang w:val="en-US" w:eastAsia="zh-CN"/>
        </w:rPr>
        <w:t>应用两份文书产生的冲突</w:t>
      </w:r>
      <w:r>
        <w:rPr>
          <w:rFonts w:cs="Calibri" w:hint="eastAsia"/>
          <w:lang w:val="en-US" w:eastAsia="zh-CN"/>
        </w:rPr>
        <w:t>，</w:t>
      </w:r>
      <w:r>
        <w:rPr>
          <w:rFonts w:cs="Calibri"/>
          <w:lang w:val="en-US" w:eastAsia="zh-CN"/>
        </w:rPr>
        <w:t>指出</w:t>
      </w:r>
      <w:r>
        <w:rPr>
          <w:rFonts w:cs="Calibri" w:hint="eastAsia"/>
          <w:lang w:val="en-US" w:eastAsia="zh-CN"/>
        </w:rPr>
        <w:t>，</w:t>
      </w:r>
      <w:r w:rsidR="00BB05B9">
        <w:rPr>
          <w:rFonts w:cs="Calibri" w:hint="eastAsia"/>
          <w:lang w:val="en-US" w:eastAsia="zh-CN"/>
        </w:rPr>
        <w:t>如果</w:t>
      </w:r>
      <w:r w:rsidR="00BB05B9" w:rsidRPr="00BB05B9">
        <w:rPr>
          <w:rFonts w:cs="Calibri" w:hint="eastAsia"/>
          <w:lang w:val="en-US" w:eastAsia="zh-CN"/>
        </w:rPr>
        <w:t>1988</w:t>
      </w:r>
      <w:r w:rsidR="00BB05B9" w:rsidRPr="00BB05B9">
        <w:rPr>
          <w:rFonts w:cs="Calibri" w:hint="eastAsia"/>
          <w:lang w:val="en-US" w:eastAsia="zh-CN"/>
        </w:rPr>
        <w:t>年《国际电信规则》</w:t>
      </w:r>
      <w:r w:rsidR="00BB05B9">
        <w:rPr>
          <w:rFonts w:cs="Calibri" w:hint="eastAsia"/>
          <w:lang w:val="en-US" w:eastAsia="zh-CN"/>
        </w:rPr>
        <w:t>签署成员国与</w:t>
      </w:r>
      <w:r w:rsidR="00651590">
        <w:rPr>
          <w:rFonts w:cs="Calibri" w:hint="eastAsia"/>
          <w:lang w:val="en-US" w:eastAsia="zh-CN"/>
        </w:rPr>
        <w:t>签署</w:t>
      </w:r>
      <w:r w:rsidR="00BB05B9" w:rsidRPr="00BB05B9">
        <w:rPr>
          <w:rFonts w:cs="Calibri" w:hint="eastAsia"/>
          <w:lang w:val="en-US" w:eastAsia="zh-CN"/>
        </w:rPr>
        <w:t>2012</w:t>
      </w:r>
      <w:r w:rsidR="00BB05B9" w:rsidRPr="00BB05B9">
        <w:rPr>
          <w:rFonts w:cs="Calibri" w:hint="eastAsia"/>
          <w:lang w:val="en-US" w:eastAsia="zh-CN"/>
        </w:rPr>
        <w:t>年《国际电信规则》</w:t>
      </w:r>
      <w:r w:rsidR="00BB05B9">
        <w:rPr>
          <w:rFonts w:cs="Calibri" w:hint="eastAsia"/>
          <w:lang w:val="en-US" w:eastAsia="zh-CN"/>
        </w:rPr>
        <w:t>另一成员国建立关系，双方均受</w:t>
      </w:r>
      <w:r w:rsidR="00BB05B9" w:rsidRPr="00BB05B9">
        <w:rPr>
          <w:rFonts w:cs="Calibri" w:hint="eastAsia"/>
          <w:lang w:val="en-US" w:eastAsia="zh-CN"/>
        </w:rPr>
        <w:t>1988</w:t>
      </w:r>
      <w:r w:rsidR="00BB05B9" w:rsidRPr="00BB05B9">
        <w:rPr>
          <w:rFonts w:cs="Calibri" w:hint="eastAsia"/>
          <w:lang w:val="en-US" w:eastAsia="zh-CN"/>
        </w:rPr>
        <w:t>年</w:t>
      </w:r>
      <w:r w:rsidR="00BB05B9">
        <w:rPr>
          <w:rFonts w:cs="Calibri" w:hint="eastAsia"/>
          <w:lang w:val="en-US" w:eastAsia="zh-CN"/>
        </w:rPr>
        <w:t>条约约束。</w:t>
      </w:r>
    </w:p>
    <w:p w:rsidR="00447DC3" w:rsidRDefault="00BB05B9" w:rsidP="0016018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但新条约的某些条款</w:t>
      </w:r>
      <w:r w:rsidR="00596126">
        <w:rPr>
          <w:rFonts w:hint="eastAsia"/>
          <w:lang w:val="en-US" w:eastAsia="zh-CN"/>
        </w:rPr>
        <w:t>对双方</w:t>
      </w:r>
      <w:r w:rsidR="00651590">
        <w:rPr>
          <w:rFonts w:hint="eastAsia"/>
          <w:lang w:val="en-US" w:eastAsia="zh-CN"/>
        </w:rPr>
        <w:t>之间</w:t>
      </w:r>
      <w:r w:rsidR="00596126">
        <w:rPr>
          <w:rFonts w:hint="eastAsia"/>
          <w:lang w:val="en-US" w:eastAsia="zh-CN"/>
        </w:rPr>
        <w:t>不适用，例如移动漫游价格透明度、无障碍</w:t>
      </w:r>
      <w:r w:rsidR="00651590">
        <w:rPr>
          <w:rFonts w:hint="eastAsia"/>
          <w:lang w:val="en-US" w:eastAsia="zh-CN"/>
        </w:rPr>
        <w:t>获取</w:t>
      </w:r>
      <w:r w:rsidR="00596126">
        <w:rPr>
          <w:rFonts w:hint="eastAsia"/>
          <w:lang w:val="en-US" w:eastAsia="zh-CN"/>
        </w:rPr>
        <w:t>、减少电子废弃物、合作打击</w:t>
      </w:r>
      <w:r w:rsidR="00596126" w:rsidRPr="00596126">
        <w:rPr>
          <w:rFonts w:hint="eastAsia"/>
          <w:lang w:val="en-US" w:eastAsia="zh-CN"/>
        </w:rPr>
        <w:t>未经请求的群发电子信息</w:t>
      </w:r>
      <w:r w:rsidR="00596126">
        <w:rPr>
          <w:rFonts w:hint="eastAsia"/>
          <w:lang w:val="en-US" w:eastAsia="zh-CN"/>
        </w:rPr>
        <w:t>等</w:t>
      </w:r>
      <w:r w:rsidR="00651590">
        <w:rPr>
          <w:rFonts w:hint="eastAsia"/>
          <w:lang w:val="en-US" w:eastAsia="zh-CN"/>
        </w:rPr>
        <w:t>方面</w:t>
      </w:r>
      <w:r w:rsidR="00596126">
        <w:rPr>
          <w:rFonts w:hint="eastAsia"/>
          <w:lang w:val="en-US" w:eastAsia="zh-CN"/>
        </w:rPr>
        <w:t>。</w:t>
      </w:r>
    </w:p>
    <w:bookmarkEnd w:id="8"/>
    <w:p w:rsidR="00447DC3" w:rsidRDefault="00596126" w:rsidP="0016018F">
      <w:pPr>
        <w:tabs>
          <w:tab w:val="left" w:pos="1560"/>
          <w:tab w:val="left" w:pos="3544"/>
          <w:tab w:val="left" w:pos="3969"/>
        </w:tabs>
        <w:ind w:firstLineChars="200" w:firstLine="480"/>
        <w:jc w:val="both"/>
        <w:rPr>
          <w:highlight w:val="green"/>
          <w:lang w:val="en-US" w:eastAsia="zh-CN"/>
        </w:rPr>
      </w:pPr>
      <w:r>
        <w:rPr>
          <w:rFonts w:hint="eastAsia"/>
          <w:lang w:val="en-US" w:eastAsia="zh-CN"/>
        </w:rPr>
        <w:t>鉴于上述情况，</w:t>
      </w:r>
      <w:r w:rsidRPr="00596126">
        <w:rPr>
          <w:rFonts w:hint="eastAsia"/>
          <w:lang w:val="en-US" w:eastAsia="zh-CN"/>
        </w:rPr>
        <w:t>1988</w:t>
      </w:r>
      <w:r w:rsidRPr="00596126">
        <w:rPr>
          <w:rFonts w:hint="eastAsia"/>
          <w:lang w:val="en-US" w:eastAsia="zh-CN"/>
        </w:rPr>
        <w:t>年《国际电信规则》</w:t>
      </w:r>
      <w:r>
        <w:rPr>
          <w:rFonts w:hint="eastAsia"/>
          <w:lang w:val="en-US" w:eastAsia="zh-CN"/>
        </w:rPr>
        <w:t>和</w:t>
      </w:r>
      <w:r w:rsidRPr="00596126">
        <w:rPr>
          <w:rFonts w:hint="eastAsia"/>
          <w:lang w:val="en-US" w:eastAsia="zh-CN"/>
        </w:rPr>
        <w:t>2012</w:t>
      </w:r>
      <w:r w:rsidRPr="00596126">
        <w:rPr>
          <w:rFonts w:hint="eastAsia"/>
          <w:lang w:val="en-US" w:eastAsia="zh-CN"/>
        </w:rPr>
        <w:t>年《国际电信规则》</w:t>
      </w:r>
      <w:r>
        <w:rPr>
          <w:rFonts w:hint="eastAsia"/>
          <w:lang w:val="en-US" w:eastAsia="zh-CN"/>
        </w:rPr>
        <w:t>均适用。</w:t>
      </w:r>
    </w:p>
    <w:p w:rsidR="00447DC3" w:rsidRDefault="0016018F" w:rsidP="0016018F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ab/>
      </w:r>
      <w:r w:rsidR="00FD112E">
        <w:rPr>
          <w:rFonts w:hint="eastAsia"/>
          <w:lang w:val="en-US" w:eastAsia="zh-CN"/>
        </w:rPr>
        <w:t>墨西哥</w:t>
      </w:r>
      <w:r w:rsidR="00596126">
        <w:rPr>
          <w:rFonts w:hint="eastAsia"/>
          <w:lang w:val="en-US" w:eastAsia="zh-CN"/>
        </w:rPr>
        <w:t>主管部门关于召开新</w:t>
      </w:r>
      <w:r w:rsidR="00397C2A">
        <w:rPr>
          <w:rFonts w:hint="eastAsia"/>
          <w:lang w:val="en-US" w:eastAsia="zh-CN"/>
        </w:rPr>
        <w:t>一届</w:t>
      </w:r>
      <w:r w:rsidR="00596126">
        <w:rPr>
          <w:rFonts w:hint="eastAsia"/>
          <w:lang w:val="en-US" w:eastAsia="zh-CN"/>
        </w:rPr>
        <w:t>世界大会的立场</w:t>
      </w:r>
    </w:p>
    <w:p w:rsidR="00447DC3" w:rsidRPr="00FD112E" w:rsidRDefault="00596126" w:rsidP="0016018F">
      <w:pPr>
        <w:tabs>
          <w:tab w:val="left" w:pos="1560"/>
          <w:tab w:val="left" w:pos="3544"/>
          <w:tab w:val="left" w:pos="3969"/>
        </w:tabs>
        <w:ind w:firstLineChars="200" w:firstLine="480"/>
        <w:jc w:val="both"/>
        <w:rPr>
          <w:lang w:eastAsia="zh-CN"/>
        </w:rPr>
      </w:pPr>
      <w:bookmarkStart w:id="9" w:name="lt_pId031"/>
      <w:r w:rsidRPr="00FD112E">
        <w:rPr>
          <w:rFonts w:hint="eastAsia"/>
          <w:lang w:eastAsia="zh-CN"/>
        </w:rPr>
        <w:t>墨西哥认为，</w:t>
      </w:r>
      <w:r w:rsidRPr="00651590">
        <w:rPr>
          <w:rFonts w:hint="eastAsia"/>
          <w:b/>
          <w:bCs/>
          <w:lang w:eastAsia="zh-CN"/>
        </w:rPr>
        <w:t>不应召开</w:t>
      </w:r>
      <w:r w:rsidR="00397C2A" w:rsidRPr="00651590">
        <w:rPr>
          <w:rFonts w:hint="eastAsia"/>
          <w:b/>
          <w:bCs/>
          <w:lang w:eastAsia="zh-CN"/>
        </w:rPr>
        <w:t>新</w:t>
      </w:r>
      <w:r w:rsidRPr="00651590">
        <w:rPr>
          <w:rFonts w:hint="eastAsia"/>
          <w:b/>
          <w:bCs/>
          <w:lang w:eastAsia="zh-CN"/>
        </w:rPr>
        <w:t>一届国际电信世界大会（</w:t>
      </w:r>
      <w:r w:rsidRPr="00651590">
        <w:rPr>
          <w:b/>
          <w:bCs/>
          <w:lang w:eastAsia="zh-CN"/>
        </w:rPr>
        <w:t>WCIT</w:t>
      </w:r>
      <w:r w:rsidRPr="00651590">
        <w:rPr>
          <w:rFonts w:hint="eastAsia"/>
          <w:b/>
          <w:bCs/>
          <w:lang w:eastAsia="zh-CN"/>
        </w:rPr>
        <w:t>）来修订</w:t>
      </w:r>
      <w:r w:rsidRPr="00651590">
        <w:rPr>
          <w:rFonts w:hint="eastAsia"/>
          <w:b/>
          <w:bCs/>
          <w:lang w:val="en-US" w:eastAsia="zh-CN"/>
        </w:rPr>
        <w:t>2012</w:t>
      </w:r>
      <w:r w:rsidRPr="00651590">
        <w:rPr>
          <w:rFonts w:hint="eastAsia"/>
          <w:b/>
          <w:bCs/>
          <w:lang w:val="en-US" w:eastAsia="zh-CN"/>
        </w:rPr>
        <w:t>年《国际电信规则》</w:t>
      </w:r>
      <w:r w:rsidRPr="00FD112E">
        <w:rPr>
          <w:rFonts w:hint="eastAsia"/>
          <w:lang w:val="en-US" w:eastAsia="zh-CN"/>
        </w:rPr>
        <w:t>，原因是</w:t>
      </w:r>
      <w:r w:rsidR="00651590">
        <w:rPr>
          <w:rFonts w:hint="eastAsia"/>
          <w:lang w:eastAsia="zh-CN"/>
        </w:rPr>
        <w:t>正如其他主管部门所述，</w:t>
      </w:r>
      <w:r w:rsidR="00651590" w:rsidRPr="00651590">
        <w:rPr>
          <w:rFonts w:hint="eastAsia"/>
          <w:b/>
          <w:bCs/>
          <w:lang w:eastAsia="zh-CN"/>
        </w:rPr>
        <w:t>再</w:t>
      </w:r>
      <w:r w:rsidRPr="00651590">
        <w:rPr>
          <w:rFonts w:hint="eastAsia"/>
          <w:b/>
          <w:bCs/>
          <w:lang w:val="en-US" w:eastAsia="zh-CN"/>
        </w:rPr>
        <w:t>召开一届</w:t>
      </w:r>
      <w:r w:rsidRPr="00651590">
        <w:rPr>
          <w:b/>
          <w:bCs/>
          <w:lang w:eastAsia="zh-CN"/>
        </w:rPr>
        <w:t>WCIT</w:t>
      </w:r>
      <w:r w:rsidRPr="00651590">
        <w:rPr>
          <w:rFonts w:hint="eastAsia"/>
          <w:b/>
          <w:bCs/>
          <w:lang w:eastAsia="zh-CN"/>
        </w:rPr>
        <w:t>不仅不</w:t>
      </w:r>
      <w:r w:rsidR="00651590">
        <w:rPr>
          <w:rFonts w:hint="eastAsia"/>
          <w:b/>
          <w:bCs/>
          <w:lang w:eastAsia="zh-CN"/>
        </w:rPr>
        <w:t>能</w:t>
      </w:r>
      <w:r w:rsidRPr="00651590">
        <w:rPr>
          <w:rFonts w:hint="eastAsia"/>
          <w:b/>
          <w:bCs/>
          <w:lang w:eastAsia="zh-CN"/>
        </w:rPr>
        <w:t>达成共识，还可能引起与会者之间更大的分歧，</w:t>
      </w:r>
      <w:r w:rsidR="00E0320E" w:rsidRPr="00651590">
        <w:rPr>
          <w:rFonts w:hint="eastAsia"/>
          <w:b/>
          <w:bCs/>
          <w:lang w:eastAsia="zh-CN"/>
        </w:rPr>
        <w:t>产生无助于签署新文本的结果</w:t>
      </w:r>
      <w:r w:rsidR="00E0320E" w:rsidRPr="00FD112E">
        <w:rPr>
          <w:rFonts w:hint="eastAsia"/>
          <w:lang w:eastAsia="zh-CN"/>
        </w:rPr>
        <w:t>。</w:t>
      </w:r>
    </w:p>
    <w:p w:rsidR="00447DC3" w:rsidRDefault="00E0320E" w:rsidP="0016018F">
      <w:pPr>
        <w:tabs>
          <w:tab w:val="left" w:pos="1560"/>
          <w:tab w:val="left" w:pos="3544"/>
          <w:tab w:val="left" w:pos="3969"/>
        </w:tabs>
        <w:ind w:firstLineChars="200" w:firstLine="480"/>
        <w:jc w:val="both"/>
        <w:rPr>
          <w:lang w:eastAsia="zh-CN"/>
        </w:rPr>
      </w:pPr>
      <w:bookmarkStart w:id="10" w:name="lt_pId032"/>
      <w:bookmarkEnd w:id="9"/>
      <w:r>
        <w:rPr>
          <w:rFonts w:hint="eastAsia"/>
          <w:lang w:eastAsia="zh-CN"/>
        </w:rPr>
        <w:t>此外，墨西哥主</w:t>
      </w:r>
      <w:r w:rsidR="00651590">
        <w:rPr>
          <w:rFonts w:hint="eastAsia"/>
          <w:lang w:eastAsia="zh-CN"/>
        </w:rPr>
        <w:t>管部门认为没有必要进行修订，</w:t>
      </w:r>
      <w:r w:rsidR="00666FD9">
        <w:rPr>
          <w:rFonts w:hint="eastAsia"/>
          <w:lang w:eastAsia="zh-CN"/>
        </w:rPr>
        <w:t>随着电信发展而出现的各个方面</w:t>
      </w:r>
      <w:r>
        <w:rPr>
          <w:rFonts w:hint="eastAsia"/>
          <w:lang w:eastAsia="zh-CN"/>
        </w:rPr>
        <w:t>在国际电联三个部门的内部工作中</w:t>
      </w:r>
      <w:r w:rsidR="00666FD9">
        <w:rPr>
          <w:rFonts w:hint="eastAsia"/>
          <w:lang w:eastAsia="zh-CN"/>
        </w:rPr>
        <w:t>已预见到</w:t>
      </w:r>
      <w:r>
        <w:rPr>
          <w:rFonts w:hint="eastAsia"/>
          <w:lang w:eastAsia="zh-CN"/>
        </w:rPr>
        <w:t>，</w:t>
      </w:r>
      <w:r w:rsidR="00671162">
        <w:rPr>
          <w:rFonts w:hint="eastAsia"/>
          <w:lang w:eastAsia="zh-CN"/>
        </w:rPr>
        <w:t>在公司之间的双边协议中</w:t>
      </w:r>
      <w:r w:rsidR="00651590">
        <w:rPr>
          <w:rFonts w:hint="eastAsia"/>
          <w:lang w:eastAsia="zh-CN"/>
        </w:rPr>
        <w:t>亦有</w:t>
      </w:r>
      <w:r w:rsidR="00671162">
        <w:rPr>
          <w:rFonts w:hint="eastAsia"/>
          <w:lang w:eastAsia="zh-CN"/>
        </w:rPr>
        <w:t>体现，并得到当前市场现实的强化。</w:t>
      </w:r>
    </w:p>
    <w:bookmarkEnd w:id="10"/>
    <w:p w:rsidR="00447DC3" w:rsidRDefault="0016018F" w:rsidP="0016018F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 w:rsidR="00671162">
        <w:rPr>
          <w:rFonts w:hint="eastAsia"/>
          <w:lang w:eastAsia="zh-CN"/>
        </w:rPr>
        <w:t>有关</w:t>
      </w:r>
      <w:r w:rsidR="00671162">
        <w:rPr>
          <w:lang w:eastAsia="zh-CN"/>
        </w:rPr>
        <w:t>2012</w:t>
      </w:r>
      <w:r w:rsidR="00671162" w:rsidRPr="00671162">
        <w:rPr>
          <w:rFonts w:hint="eastAsia"/>
          <w:lang w:eastAsia="zh-CN"/>
        </w:rPr>
        <w:t>年《国际电信规则》</w:t>
      </w:r>
      <w:r w:rsidR="00671162">
        <w:rPr>
          <w:rFonts w:hint="eastAsia"/>
          <w:lang w:eastAsia="zh-CN"/>
        </w:rPr>
        <w:t>研究的最后报告的结构</w:t>
      </w:r>
    </w:p>
    <w:p w:rsidR="00447DC3" w:rsidRDefault="00671162" w:rsidP="0016018F">
      <w:pPr>
        <w:tabs>
          <w:tab w:val="left" w:pos="1560"/>
          <w:tab w:val="left" w:pos="3544"/>
          <w:tab w:val="left" w:pos="3969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墨西哥认为</w:t>
      </w:r>
      <w:r w:rsidR="00651590">
        <w:rPr>
          <w:rFonts w:hint="eastAsia"/>
          <w:lang w:eastAsia="zh-CN"/>
        </w:rPr>
        <w:t>，构成</w:t>
      </w:r>
      <w:r w:rsidRPr="00671162">
        <w:rPr>
          <w:rFonts w:hint="eastAsia"/>
          <w:lang w:eastAsia="zh-CN"/>
        </w:rPr>
        <w:t>《国际电信规则》专家组</w:t>
      </w:r>
      <w:r>
        <w:rPr>
          <w:rFonts w:hint="eastAsia"/>
          <w:lang w:eastAsia="zh-CN"/>
        </w:rPr>
        <w:t>最后报告</w:t>
      </w:r>
      <w:r w:rsidR="00651590">
        <w:rPr>
          <w:rFonts w:hint="eastAsia"/>
          <w:lang w:eastAsia="zh-CN"/>
        </w:rPr>
        <w:t>结构</w:t>
      </w:r>
      <w:r>
        <w:rPr>
          <w:rFonts w:hint="eastAsia"/>
          <w:lang w:eastAsia="zh-CN"/>
        </w:rPr>
        <w:t>的各个章节应与理事会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16</w:t>
      </w:r>
      <w:r>
        <w:rPr>
          <w:rFonts w:hint="eastAsia"/>
          <w:lang w:eastAsia="zh-CN"/>
        </w:rPr>
        <w:t>年会议第</w:t>
      </w:r>
      <w:r>
        <w:rPr>
          <w:lang w:eastAsia="zh-CN"/>
        </w:rPr>
        <w:t>1379</w:t>
      </w:r>
      <w:r>
        <w:rPr>
          <w:rFonts w:hint="eastAsia"/>
          <w:lang w:eastAsia="zh-CN"/>
        </w:rPr>
        <w:t>号决议附件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中规定的专家组的职责范围一致。</w:t>
      </w:r>
    </w:p>
    <w:p w:rsidR="00B80898" w:rsidRPr="00B80898" w:rsidRDefault="00B80898" w:rsidP="00B8089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B8" w:rsidRDefault="00DC01B8">
      <w:r>
        <w:separator/>
      </w:r>
    </w:p>
  </w:endnote>
  <w:endnote w:type="continuationSeparator" w:id="0">
    <w:p w:rsidR="00DC01B8" w:rsidRDefault="00DC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98" w:rsidRPr="004E4BFF" w:rsidRDefault="00DC01B8" w:rsidP="009E2DE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E3CBC">
      <w:t>C:\Users\brouard\Desktop\014C.docx</w:t>
    </w:r>
    <w:r>
      <w:fldChar w:fldCharType="end"/>
    </w:r>
    <w:r w:rsidR="00E81098">
      <w:t xml:space="preserve"> (</w:t>
    </w:r>
    <w:r w:rsidR="009E2DE9">
      <w:t>423</w:t>
    </w:r>
    <w:r w:rsidR="00D46626">
      <w:rPr>
        <w:rFonts w:hint="eastAsia"/>
        <w:lang w:eastAsia="zh-CN"/>
      </w:rPr>
      <w:t>206</w:t>
    </w:r>
    <w:r w:rsidR="00E81098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98" w:rsidRDefault="00E81098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B8" w:rsidRDefault="00DC01B8">
      <w:r>
        <w:t>____________________</w:t>
      </w:r>
    </w:p>
  </w:footnote>
  <w:footnote w:type="continuationSeparator" w:id="0">
    <w:p w:rsidR="00DC01B8" w:rsidRDefault="00DC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98" w:rsidRDefault="00E81098" w:rsidP="009E2DE9">
    <w:pPr>
      <w:pStyle w:val="Header"/>
    </w:pPr>
    <w:r>
      <w:fldChar w:fldCharType="begin"/>
    </w:r>
    <w:r>
      <w:instrText>PAGE</w:instrText>
    </w:r>
    <w:r>
      <w:fldChar w:fldCharType="separate"/>
    </w:r>
    <w:r w:rsidR="003E3CB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305E5"/>
    <w:multiLevelType w:val="hybridMultilevel"/>
    <w:tmpl w:val="C02E5A96"/>
    <w:lvl w:ilvl="0" w:tplc="14820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3E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4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64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4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C3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61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2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E3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67106D"/>
    <w:multiLevelType w:val="hybridMultilevel"/>
    <w:tmpl w:val="4E3CDDC2"/>
    <w:lvl w:ilvl="0" w:tplc="BA585A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92086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A6CC4C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C632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1A38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BE4C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34C1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649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9638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47171"/>
    <w:multiLevelType w:val="hybridMultilevel"/>
    <w:tmpl w:val="13868162"/>
    <w:lvl w:ilvl="0" w:tplc="A02063A4">
      <w:start w:val="1"/>
      <w:numFmt w:val="decimal"/>
      <w:lvlText w:val="%1."/>
      <w:lvlJc w:val="left"/>
      <w:pPr>
        <w:ind w:left="360" w:hanging="360"/>
      </w:pPr>
    </w:lvl>
    <w:lvl w:ilvl="1" w:tplc="FF8AE54E">
      <w:start w:val="1"/>
      <w:numFmt w:val="lowerLetter"/>
      <w:lvlText w:val="%2."/>
      <w:lvlJc w:val="left"/>
      <w:pPr>
        <w:ind w:left="1080" w:hanging="360"/>
      </w:pPr>
    </w:lvl>
    <w:lvl w:ilvl="2" w:tplc="652CD7AC">
      <w:start w:val="1"/>
      <w:numFmt w:val="lowerRoman"/>
      <w:lvlText w:val="%3."/>
      <w:lvlJc w:val="right"/>
      <w:pPr>
        <w:ind w:left="1800" w:hanging="180"/>
      </w:pPr>
    </w:lvl>
    <w:lvl w:ilvl="3" w:tplc="881E6B48">
      <w:start w:val="1"/>
      <w:numFmt w:val="decimal"/>
      <w:lvlText w:val="%4."/>
      <w:lvlJc w:val="left"/>
      <w:pPr>
        <w:ind w:left="2520" w:hanging="360"/>
      </w:pPr>
    </w:lvl>
    <w:lvl w:ilvl="4" w:tplc="3E744478">
      <w:start w:val="1"/>
      <w:numFmt w:val="lowerLetter"/>
      <w:lvlText w:val="%5."/>
      <w:lvlJc w:val="left"/>
      <w:pPr>
        <w:ind w:left="3240" w:hanging="360"/>
      </w:pPr>
    </w:lvl>
    <w:lvl w:ilvl="5" w:tplc="15A49034">
      <w:start w:val="1"/>
      <w:numFmt w:val="lowerRoman"/>
      <w:lvlText w:val="%6."/>
      <w:lvlJc w:val="right"/>
      <w:pPr>
        <w:ind w:left="3960" w:hanging="180"/>
      </w:pPr>
    </w:lvl>
    <w:lvl w:ilvl="6" w:tplc="ADD8E5E6">
      <w:start w:val="1"/>
      <w:numFmt w:val="decimal"/>
      <w:lvlText w:val="%7."/>
      <w:lvlJc w:val="left"/>
      <w:pPr>
        <w:ind w:left="4680" w:hanging="360"/>
      </w:pPr>
    </w:lvl>
    <w:lvl w:ilvl="7" w:tplc="3140D1F6">
      <w:start w:val="1"/>
      <w:numFmt w:val="lowerLetter"/>
      <w:lvlText w:val="%8."/>
      <w:lvlJc w:val="left"/>
      <w:pPr>
        <w:ind w:left="5400" w:hanging="360"/>
      </w:pPr>
    </w:lvl>
    <w:lvl w:ilvl="8" w:tplc="74A4300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9A"/>
    <w:rsid w:val="00001B77"/>
    <w:rsid w:val="0000517A"/>
    <w:rsid w:val="0000543A"/>
    <w:rsid w:val="00016A5D"/>
    <w:rsid w:val="00031E72"/>
    <w:rsid w:val="000404D2"/>
    <w:rsid w:val="000853C0"/>
    <w:rsid w:val="000A1C21"/>
    <w:rsid w:val="000A7888"/>
    <w:rsid w:val="000C5F89"/>
    <w:rsid w:val="000D15EA"/>
    <w:rsid w:val="00100D84"/>
    <w:rsid w:val="00124C9D"/>
    <w:rsid w:val="00157773"/>
    <w:rsid w:val="00157E96"/>
    <w:rsid w:val="0016018F"/>
    <w:rsid w:val="001708BD"/>
    <w:rsid w:val="0018251A"/>
    <w:rsid w:val="00190272"/>
    <w:rsid w:val="00193244"/>
    <w:rsid w:val="00195C6C"/>
    <w:rsid w:val="00195FED"/>
    <w:rsid w:val="00196AC7"/>
    <w:rsid w:val="001A4950"/>
    <w:rsid w:val="001A4BD6"/>
    <w:rsid w:val="001B354D"/>
    <w:rsid w:val="001D5A18"/>
    <w:rsid w:val="001F6021"/>
    <w:rsid w:val="00203B2E"/>
    <w:rsid w:val="00280EB8"/>
    <w:rsid w:val="00290DFC"/>
    <w:rsid w:val="00296F64"/>
    <w:rsid w:val="002A6670"/>
    <w:rsid w:val="00303502"/>
    <w:rsid w:val="00316F73"/>
    <w:rsid w:val="00325C25"/>
    <w:rsid w:val="00360824"/>
    <w:rsid w:val="00372C8F"/>
    <w:rsid w:val="00375C49"/>
    <w:rsid w:val="00380ECE"/>
    <w:rsid w:val="00393DDF"/>
    <w:rsid w:val="00397C2A"/>
    <w:rsid w:val="00397F55"/>
    <w:rsid w:val="003B4454"/>
    <w:rsid w:val="003B6C15"/>
    <w:rsid w:val="003C2E37"/>
    <w:rsid w:val="003E3CBC"/>
    <w:rsid w:val="003F1415"/>
    <w:rsid w:val="0040144C"/>
    <w:rsid w:val="00403EB7"/>
    <w:rsid w:val="00430BF0"/>
    <w:rsid w:val="00447DC3"/>
    <w:rsid w:val="004672E6"/>
    <w:rsid w:val="00474ED1"/>
    <w:rsid w:val="00493085"/>
    <w:rsid w:val="004A36EC"/>
    <w:rsid w:val="004B20BB"/>
    <w:rsid w:val="004D163F"/>
    <w:rsid w:val="004D7CBE"/>
    <w:rsid w:val="004E4BFF"/>
    <w:rsid w:val="004F0B18"/>
    <w:rsid w:val="004F1528"/>
    <w:rsid w:val="004F2598"/>
    <w:rsid w:val="005403F7"/>
    <w:rsid w:val="00540632"/>
    <w:rsid w:val="00541CF4"/>
    <w:rsid w:val="005451E8"/>
    <w:rsid w:val="005507F2"/>
    <w:rsid w:val="005759CC"/>
    <w:rsid w:val="00596126"/>
    <w:rsid w:val="005A72E1"/>
    <w:rsid w:val="005B093C"/>
    <w:rsid w:val="005C4855"/>
    <w:rsid w:val="005C6632"/>
    <w:rsid w:val="005C7E83"/>
    <w:rsid w:val="005D1C9E"/>
    <w:rsid w:val="005F5483"/>
    <w:rsid w:val="0061628B"/>
    <w:rsid w:val="00651590"/>
    <w:rsid w:val="00654257"/>
    <w:rsid w:val="0065435A"/>
    <w:rsid w:val="0066491F"/>
    <w:rsid w:val="00666CB3"/>
    <w:rsid w:val="00666FD9"/>
    <w:rsid w:val="00671162"/>
    <w:rsid w:val="006A1EB1"/>
    <w:rsid w:val="006A2DD3"/>
    <w:rsid w:val="006A5AF8"/>
    <w:rsid w:val="006B26CD"/>
    <w:rsid w:val="006C36CD"/>
    <w:rsid w:val="006D03D4"/>
    <w:rsid w:val="006F4AE6"/>
    <w:rsid w:val="00700D1F"/>
    <w:rsid w:val="007205CB"/>
    <w:rsid w:val="00726073"/>
    <w:rsid w:val="00734FE8"/>
    <w:rsid w:val="007360CE"/>
    <w:rsid w:val="00753983"/>
    <w:rsid w:val="00772315"/>
    <w:rsid w:val="00775157"/>
    <w:rsid w:val="007813AE"/>
    <w:rsid w:val="007A37DB"/>
    <w:rsid w:val="007E189D"/>
    <w:rsid w:val="007F63F8"/>
    <w:rsid w:val="00811259"/>
    <w:rsid w:val="00813AA2"/>
    <w:rsid w:val="008173A3"/>
    <w:rsid w:val="0086059C"/>
    <w:rsid w:val="00864589"/>
    <w:rsid w:val="0086779B"/>
    <w:rsid w:val="00890AFB"/>
    <w:rsid w:val="00890FC4"/>
    <w:rsid w:val="00895905"/>
    <w:rsid w:val="008F2A8D"/>
    <w:rsid w:val="00901B41"/>
    <w:rsid w:val="00911F9A"/>
    <w:rsid w:val="009164A9"/>
    <w:rsid w:val="009258CB"/>
    <w:rsid w:val="0093362E"/>
    <w:rsid w:val="00934D09"/>
    <w:rsid w:val="00944563"/>
    <w:rsid w:val="00953160"/>
    <w:rsid w:val="00955229"/>
    <w:rsid w:val="009625D8"/>
    <w:rsid w:val="00963F1F"/>
    <w:rsid w:val="009710DE"/>
    <w:rsid w:val="0098459B"/>
    <w:rsid w:val="00997185"/>
    <w:rsid w:val="009C2458"/>
    <w:rsid w:val="009C4A7B"/>
    <w:rsid w:val="009C6123"/>
    <w:rsid w:val="009E2DE9"/>
    <w:rsid w:val="009F1E3E"/>
    <w:rsid w:val="00A1213C"/>
    <w:rsid w:val="00A244D0"/>
    <w:rsid w:val="00A272FF"/>
    <w:rsid w:val="00A31EB2"/>
    <w:rsid w:val="00A5354B"/>
    <w:rsid w:val="00A55625"/>
    <w:rsid w:val="00A81952"/>
    <w:rsid w:val="00AB42C1"/>
    <w:rsid w:val="00AB5862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3F78"/>
    <w:rsid w:val="00B80898"/>
    <w:rsid w:val="00B81E75"/>
    <w:rsid w:val="00BB05B9"/>
    <w:rsid w:val="00BC2BB3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17BB6"/>
    <w:rsid w:val="00D21DE8"/>
    <w:rsid w:val="00D36817"/>
    <w:rsid w:val="00D46626"/>
    <w:rsid w:val="00D5666C"/>
    <w:rsid w:val="00D666BC"/>
    <w:rsid w:val="00D81264"/>
    <w:rsid w:val="00D83542"/>
    <w:rsid w:val="00D92F45"/>
    <w:rsid w:val="00D94637"/>
    <w:rsid w:val="00D9725C"/>
    <w:rsid w:val="00DA7006"/>
    <w:rsid w:val="00DC01B8"/>
    <w:rsid w:val="00DC6427"/>
    <w:rsid w:val="00DD66A1"/>
    <w:rsid w:val="00DE196D"/>
    <w:rsid w:val="00DF6013"/>
    <w:rsid w:val="00DF6B49"/>
    <w:rsid w:val="00E0320E"/>
    <w:rsid w:val="00E067C5"/>
    <w:rsid w:val="00E265BF"/>
    <w:rsid w:val="00E378D8"/>
    <w:rsid w:val="00E43A12"/>
    <w:rsid w:val="00E67C67"/>
    <w:rsid w:val="00E77476"/>
    <w:rsid w:val="00E81098"/>
    <w:rsid w:val="00E8228B"/>
    <w:rsid w:val="00EE5706"/>
    <w:rsid w:val="00EF373D"/>
    <w:rsid w:val="00F041AA"/>
    <w:rsid w:val="00F11595"/>
    <w:rsid w:val="00F13BC9"/>
    <w:rsid w:val="00F357B2"/>
    <w:rsid w:val="00F36556"/>
    <w:rsid w:val="00F51C3F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FDD398-564B-4674-AC9F-5267348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F041A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customStyle="1" w:styleId="Proposal">
    <w:name w:val="Proposal"/>
    <w:basedOn w:val="Normal"/>
    <w:next w:val="Normal"/>
    <w:rsid w:val="00296F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2EFD-43C3-4A7C-BEF5-C1DA1FE7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Mexico</vt:lpstr>
    </vt:vector>
  </TitlesOfParts>
  <Manager>General Secretariat - Pool</Manager>
  <Company>International Telecommunication Union (ITU)</Company>
  <LinksUpToDate>false</LinksUpToDate>
  <CharactersWithSpaces>1515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Mexico</dc:title>
  <dc:subject>EG-ITRs</dc:subject>
  <dc:creator>Xu, Hui</dc:creator>
  <cp:keywords>EG-ITRs</cp:keywords>
  <dc:description/>
  <cp:lastModifiedBy>Brouard, Ricarda</cp:lastModifiedBy>
  <cp:revision>4</cp:revision>
  <cp:lastPrinted>2017-09-06T09:53:00Z</cp:lastPrinted>
  <dcterms:created xsi:type="dcterms:W3CDTF">2017-09-06T09:52:00Z</dcterms:created>
  <dcterms:modified xsi:type="dcterms:W3CDTF">2017-09-06T09:53:00Z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