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50A5B">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EG-ITR-2/</w:t>
            </w:r>
            <w:r w:rsidR="0069132F">
              <w:rPr>
                <w:rFonts w:eastAsiaTheme="minorEastAsia"/>
                <w:b/>
                <w:bCs/>
                <w:lang w:eastAsia="zh-CN" w:bidi="ar-SY"/>
              </w:rPr>
              <w:t>14</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69132F"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30</w:t>
            </w:r>
            <w:r w:rsidR="00950A5B" w:rsidRPr="00950A5B">
              <w:rPr>
                <w:rFonts w:eastAsiaTheme="minorEastAsia" w:hint="cs"/>
                <w:b/>
                <w:bCs/>
                <w:rtl/>
                <w:lang w:eastAsia="zh-CN" w:bidi="ar-EG"/>
              </w:rPr>
              <w:t xml:space="preserve"> أغسطس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0069132F">
              <w:rPr>
                <w:rFonts w:eastAsiaTheme="minorEastAsia" w:hint="cs"/>
                <w:b/>
                <w:bCs/>
                <w:rtl/>
                <w:lang w:eastAsia="zh-CN" w:bidi="ar-EG"/>
              </w:rPr>
              <w:t>بالإسبانية</w:t>
            </w:r>
          </w:p>
        </w:tc>
      </w:tr>
      <w:tr w:rsidR="00950A5B" w:rsidRPr="00950A5B" w:rsidTr="004B6B8C">
        <w:trPr>
          <w:cantSplit/>
        </w:trPr>
        <w:tc>
          <w:tcPr>
            <w:tcW w:w="9672" w:type="dxa"/>
            <w:gridSpan w:val="2"/>
          </w:tcPr>
          <w:p w:rsidR="00950A5B" w:rsidRPr="00950A5B" w:rsidRDefault="0069132F" w:rsidP="0069132F">
            <w:pPr>
              <w:pStyle w:val="Source"/>
              <w:rPr>
                <w:rFonts w:eastAsiaTheme="minorEastAsia"/>
                <w:rtl/>
                <w:lang w:eastAsia="zh-CN"/>
              </w:rPr>
            </w:pPr>
            <w:r w:rsidRPr="0069132F">
              <w:rPr>
                <w:rFonts w:eastAsiaTheme="minorEastAsia" w:hint="cs"/>
                <w:rtl/>
                <w:lang w:eastAsia="zh-CN"/>
              </w:rPr>
              <w:t>المكسيك</w:t>
            </w:r>
          </w:p>
        </w:tc>
      </w:tr>
      <w:tr w:rsidR="00950A5B" w:rsidRPr="00950A5B" w:rsidTr="004B6B8C">
        <w:trPr>
          <w:cantSplit/>
        </w:trPr>
        <w:tc>
          <w:tcPr>
            <w:tcW w:w="9672" w:type="dxa"/>
            <w:gridSpan w:val="2"/>
          </w:tcPr>
          <w:p w:rsidR="00950A5B" w:rsidRPr="00950A5B" w:rsidRDefault="0069132F" w:rsidP="0069132F">
            <w:pPr>
              <w:pStyle w:val="Title1"/>
              <w:rPr>
                <w:rFonts w:eastAsiaTheme="minorEastAsia"/>
                <w:rtl/>
                <w:lang w:eastAsia="zh-CN"/>
              </w:rPr>
            </w:pPr>
            <w:r w:rsidRPr="0069132F">
              <w:rPr>
                <w:rFonts w:eastAsiaTheme="minorEastAsia" w:hint="cs"/>
                <w:rtl/>
                <w:lang w:eastAsia="zh-CN"/>
              </w:rPr>
              <w:t>موقف بشأن عمل فريق الخبراء المعني بلوائح الاتصالات الدولية</w:t>
            </w:r>
          </w:p>
        </w:tc>
      </w:tr>
      <w:tr w:rsidR="0069132F" w:rsidRPr="00950A5B" w:rsidTr="004B6B8C">
        <w:trPr>
          <w:cantSplit/>
        </w:trPr>
        <w:tc>
          <w:tcPr>
            <w:tcW w:w="9672" w:type="dxa"/>
            <w:gridSpan w:val="2"/>
          </w:tcPr>
          <w:p w:rsidR="0069132F" w:rsidRPr="0069132F" w:rsidRDefault="0069132F" w:rsidP="0069132F">
            <w:pPr>
              <w:rPr>
                <w:rFonts w:eastAsiaTheme="minorEastAsia" w:hint="cs"/>
                <w:rtl/>
                <w:lang w:eastAsia="zh-CN"/>
              </w:rPr>
            </w:pPr>
          </w:p>
        </w:tc>
      </w:tr>
    </w:tbl>
    <w:p w:rsidR="0069132F" w:rsidRPr="0069132F" w:rsidRDefault="0069132F" w:rsidP="0069132F">
      <w:pPr>
        <w:pStyle w:val="Headingb"/>
        <w:rPr>
          <w:rFonts w:eastAsiaTheme="minorEastAsia"/>
          <w:rtl/>
          <w:lang w:eastAsia="zh-CN"/>
        </w:rPr>
      </w:pPr>
      <w:r w:rsidRPr="0069132F">
        <w:rPr>
          <w:rFonts w:eastAsiaTheme="minorEastAsia" w:hint="cs"/>
          <w:rtl/>
          <w:lang w:eastAsia="zh-CN"/>
        </w:rPr>
        <w:t>مقدمة</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9132F">
        <w:rPr>
          <w:rFonts w:eastAsiaTheme="minorEastAsia" w:hint="cs"/>
          <w:rtl/>
          <w:lang w:eastAsia="zh-CN" w:bidi="ar-EG"/>
        </w:rPr>
        <w:t>تعترف المكسيك بأن لوائح الاتصالات الدولية</w:t>
      </w:r>
      <w:r>
        <w:rPr>
          <w:rFonts w:eastAsiaTheme="minorEastAsia" w:hint="eastAsia"/>
          <w:rtl/>
          <w:lang w:eastAsia="zh-CN" w:bidi="ar-EG"/>
        </w:rPr>
        <w:t> </w:t>
      </w:r>
      <w:r>
        <w:rPr>
          <w:rFonts w:eastAsiaTheme="minorEastAsia"/>
          <w:lang w:eastAsia="zh-CN" w:bidi="ar-EG"/>
        </w:rPr>
        <w:t>(ITR)</w:t>
      </w:r>
      <w:r w:rsidRPr="0069132F">
        <w:rPr>
          <w:rFonts w:eastAsiaTheme="minorEastAsia" w:hint="cs"/>
          <w:rtl/>
          <w:lang w:eastAsia="zh-CN" w:bidi="ar-EG"/>
        </w:rPr>
        <w:t xml:space="preserve"> ترسي مبادئ عامة تتعلق بتوفير وتشغيل خدمات الاتصالات الدولية المقدمة للجمهور فضلاً عن الوسائل الكامنة لنقل الاتصالات الدولية المستخدمة لتوفير هذه الخدمات.</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69132F">
        <w:rPr>
          <w:rFonts w:eastAsiaTheme="minorEastAsia" w:hint="cs"/>
          <w:rtl/>
          <w:lang w:eastAsia="zh-CN" w:bidi="ar-EG"/>
        </w:rPr>
        <w:t>وفي الاجتماع الأخير لفريق الخبراء تم الاتفاق عل</w:t>
      </w:r>
      <w:bookmarkStart w:id="1" w:name="_GoBack"/>
      <w:bookmarkEnd w:id="1"/>
      <w:r w:rsidRPr="0069132F">
        <w:rPr>
          <w:rFonts w:eastAsiaTheme="minorEastAsia" w:hint="cs"/>
          <w:rtl/>
          <w:lang w:eastAsia="zh-CN" w:bidi="ar-EG"/>
        </w:rPr>
        <w:t xml:space="preserve">ى العمل باتباع نهج تدريجي، كما ورد في تقرير الرئيس، على أن تكون الخطوة التالية هي تحديد التحديات التي قد تنشأ من تنفيذ لوائح الاتصالات الدولية لعام </w:t>
      </w:r>
      <w:r w:rsidRPr="0069132F">
        <w:rPr>
          <w:rFonts w:eastAsiaTheme="minorEastAsia"/>
          <w:lang w:eastAsia="zh-CN"/>
        </w:rPr>
        <w:t>2012</w:t>
      </w:r>
      <w:r w:rsidRPr="0069132F">
        <w:rPr>
          <w:rFonts w:eastAsiaTheme="minorEastAsia" w:hint="cs"/>
          <w:rtl/>
          <w:lang w:eastAsia="zh-CN" w:bidi="ar-LB"/>
        </w:rPr>
        <w:t xml:space="preserve">، بما يتوافق مع اختصاصات الفريق، ودعوة الدول الأعضاء وأعضاء القطاعات إلى تقديم مساهمات لهذا الاجتماع. وتبعاً لذلك، يعرض هنا موقف إدارة المكسيك المتعلق بالبنود الثلاثة المحددة في الفقرة </w:t>
      </w:r>
      <w:r w:rsidRPr="0069132F">
        <w:rPr>
          <w:rFonts w:eastAsiaTheme="minorEastAsia"/>
          <w:lang w:eastAsia="zh-CN"/>
        </w:rPr>
        <w:t>2</w:t>
      </w:r>
      <w:r>
        <w:rPr>
          <w:rFonts w:eastAsiaTheme="minorEastAsia" w:hint="cs"/>
          <w:rtl/>
          <w:lang w:eastAsia="zh-CN" w:bidi="ar-LB"/>
        </w:rPr>
        <w:t xml:space="preserve"> من اختصاصات فريق الخبراء.</w:t>
      </w:r>
    </w:p>
    <w:p w:rsidR="0069132F" w:rsidRPr="0069132F" w:rsidRDefault="0069132F" w:rsidP="0069132F">
      <w:pPr>
        <w:pStyle w:val="Heading1"/>
        <w:rPr>
          <w:rFonts w:eastAsiaTheme="minorEastAsia"/>
          <w:rtl/>
          <w:lang w:eastAsia="zh-CN"/>
        </w:rPr>
      </w:pPr>
      <w:r w:rsidRPr="0069132F">
        <w:rPr>
          <w:rFonts w:eastAsiaTheme="minorEastAsia"/>
          <w:lang w:eastAsia="zh-CN" w:bidi="ar-SA"/>
        </w:rPr>
        <w:t>1</w:t>
      </w:r>
      <w:r w:rsidRPr="0069132F">
        <w:rPr>
          <w:rFonts w:eastAsiaTheme="minorEastAsia"/>
          <w:rtl/>
          <w:lang w:eastAsia="zh-CN" w:bidi="ar-LB"/>
        </w:rPr>
        <w:tab/>
      </w:r>
      <w:r w:rsidRPr="0069132F">
        <w:rPr>
          <w:rFonts w:eastAsiaTheme="minorEastAsia" w:hint="cs"/>
          <w:rtl/>
          <w:lang w:eastAsia="zh-CN"/>
        </w:rPr>
        <w:t>تطبيق لوائح الاتصالات الدولية</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9132F">
        <w:rPr>
          <w:rFonts w:eastAsiaTheme="minorEastAsia" w:hint="cs"/>
          <w:rtl/>
          <w:lang w:eastAsia="zh-CN" w:bidi="ar-EG"/>
        </w:rPr>
        <w:t>تعتبر المكسيك أن بعض البنود الواردة في لوائح الاتصالات الدولية تستمر بالتمتع بأهمية حالية في بيئة قطاع الاتصالات الدولية، وذلك من حيث تأثيرها على تحقيق الاتساق التنظيمي وتوليد الثقة في الاتصالات الدولية. وهي تشمل:</w:t>
      </w:r>
    </w:p>
    <w:p w:rsidR="0069132F" w:rsidRPr="0069132F" w:rsidRDefault="0069132F" w:rsidP="0069132F">
      <w:pPr>
        <w:pStyle w:val="enumlev1"/>
        <w:rPr>
          <w:rFonts w:eastAsiaTheme="minorEastAsia" w:hint="cs"/>
          <w:rtl/>
          <w:lang w:eastAsia="zh-CN"/>
        </w:rPr>
      </w:pPr>
      <w:r>
        <w:rPr>
          <w:rFonts w:eastAsiaTheme="minorEastAsia" w:hint="cs"/>
          <w:lang w:eastAsia="zh-CN" w:bidi="ar-EG"/>
        </w:rPr>
        <w:sym w:font="Symbol" w:char="F0B7"/>
      </w:r>
      <w:r>
        <w:rPr>
          <w:rFonts w:eastAsiaTheme="minorEastAsia"/>
          <w:rtl/>
          <w:lang w:eastAsia="zh-CN" w:bidi="ar-EG"/>
        </w:rPr>
        <w:tab/>
      </w:r>
      <w:r w:rsidRPr="0069132F">
        <w:rPr>
          <w:rFonts w:eastAsiaTheme="minorEastAsia" w:hint="cs"/>
          <w:rtl/>
          <w:lang w:eastAsia="zh-CN" w:bidi="ar-EG"/>
        </w:rPr>
        <w:t>أمن شبكات الاتصالات الدولية وحصانتها باعتباره التزاماً فردياً وجماعياً للدول الأعضاء، التي يجب أن تواصل التطور المتناغم لخدمات الاتصالات الدولية المقدمة إلى الجمهور.</w:t>
      </w:r>
    </w:p>
    <w:p w:rsidR="0069132F" w:rsidRPr="0069132F" w:rsidRDefault="0069132F" w:rsidP="0069132F">
      <w:pPr>
        <w:pStyle w:val="enumlev1"/>
        <w:rPr>
          <w:rFonts w:eastAsiaTheme="minorEastAsia" w:hint="cs"/>
          <w:rtl/>
          <w:lang w:eastAsia="zh-CN" w:bidi="ar-EG"/>
        </w:rPr>
      </w:pPr>
      <w:r>
        <w:rPr>
          <w:rFonts w:eastAsiaTheme="minorEastAsia" w:hint="cs"/>
          <w:lang w:eastAsia="zh-CN" w:bidi="ar-EG"/>
        </w:rPr>
        <w:sym w:font="Symbol" w:char="F0B7"/>
      </w:r>
      <w:r>
        <w:rPr>
          <w:rFonts w:eastAsiaTheme="minorEastAsia"/>
          <w:rtl/>
          <w:lang w:eastAsia="zh-CN" w:bidi="ar-EG"/>
        </w:rPr>
        <w:tab/>
      </w:r>
      <w:r w:rsidRPr="0069132F">
        <w:rPr>
          <w:rFonts w:eastAsiaTheme="minorEastAsia" w:hint="cs"/>
          <w:rtl/>
          <w:lang w:eastAsia="zh-CN" w:bidi="ar-LB"/>
        </w:rPr>
        <w:t>تشجيع الاستثمار في شبكات الاتصالات الدولية.</w:t>
      </w:r>
    </w:p>
    <w:p w:rsidR="0069132F" w:rsidRPr="0069132F" w:rsidRDefault="0069132F" w:rsidP="0069132F">
      <w:pPr>
        <w:pStyle w:val="enumlev1"/>
        <w:rPr>
          <w:rFonts w:eastAsiaTheme="minorEastAsia" w:hint="cs"/>
          <w:rtl/>
          <w:lang w:eastAsia="zh-CN" w:bidi="ar-EG"/>
        </w:rPr>
      </w:pPr>
      <w:r>
        <w:rPr>
          <w:rFonts w:eastAsiaTheme="minorEastAsia" w:hint="cs"/>
          <w:lang w:eastAsia="zh-CN" w:bidi="ar-EG"/>
        </w:rPr>
        <w:sym w:font="Symbol" w:char="F0B7"/>
      </w:r>
      <w:r>
        <w:rPr>
          <w:rFonts w:eastAsiaTheme="minorEastAsia"/>
          <w:rtl/>
          <w:lang w:eastAsia="zh-CN" w:bidi="ar-EG"/>
        </w:rPr>
        <w:tab/>
      </w:r>
      <w:r w:rsidRPr="0069132F">
        <w:rPr>
          <w:rFonts w:eastAsiaTheme="minorEastAsia" w:hint="cs"/>
          <w:rtl/>
          <w:lang w:eastAsia="zh-CN" w:bidi="ar-LB"/>
        </w:rPr>
        <w:t xml:space="preserve">وضع أحكام لضمان </w:t>
      </w:r>
      <w:r w:rsidRPr="0069132F">
        <w:rPr>
          <w:rFonts w:eastAsiaTheme="minorEastAsia"/>
          <w:rtl/>
          <w:lang w:eastAsia="zh-CN"/>
        </w:rPr>
        <w:t>تعرّف هويّة الخط الطالب الدولي</w:t>
      </w:r>
      <w:r w:rsidRPr="0069132F">
        <w:rPr>
          <w:rFonts w:eastAsiaTheme="minorEastAsia" w:hint="cs"/>
          <w:rtl/>
          <w:lang w:eastAsia="zh-CN"/>
        </w:rPr>
        <w:t>.</w:t>
      </w:r>
    </w:p>
    <w:p w:rsidR="0069132F" w:rsidRPr="0069132F" w:rsidRDefault="0069132F" w:rsidP="0069132F">
      <w:pPr>
        <w:pStyle w:val="enumlev1"/>
        <w:rPr>
          <w:rFonts w:eastAsiaTheme="minorEastAsia" w:hint="cs"/>
          <w:rtl/>
          <w:lang w:eastAsia="zh-CN" w:bidi="ar-EG"/>
        </w:rPr>
      </w:pPr>
      <w:r>
        <w:rPr>
          <w:rFonts w:eastAsiaTheme="minorEastAsia" w:hint="cs"/>
          <w:lang w:eastAsia="zh-CN" w:bidi="ar-EG"/>
        </w:rPr>
        <w:sym w:font="Symbol" w:char="F0B7"/>
      </w:r>
      <w:r>
        <w:rPr>
          <w:rFonts w:eastAsiaTheme="minorEastAsia"/>
          <w:rtl/>
          <w:lang w:eastAsia="zh-CN" w:bidi="ar-EG"/>
        </w:rPr>
        <w:tab/>
      </w:r>
      <w:r w:rsidRPr="0069132F">
        <w:rPr>
          <w:rFonts w:eastAsiaTheme="minorEastAsia" w:hint="cs"/>
          <w:rtl/>
          <w:lang w:eastAsia="zh-CN"/>
        </w:rPr>
        <w:t>استخدام موارد الترقيم بصورة مناسبة.</w:t>
      </w:r>
    </w:p>
    <w:p w:rsidR="0069132F" w:rsidRPr="0069132F" w:rsidRDefault="0069132F" w:rsidP="0069132F">
      <w:pPr>
        <w:pStyle w:val="enumlev1"/>
        <w:rPr>
          <w:rFonts w:eastAsiaTheme="minorEastAsia" w:hint="cs"/>
          <w:rtl/>
          <w:lang w:eastAsia="zh-CN" w:bidi="ar-EG"/>
        </w:rPr>
      </w:pPr>
      <w:r>
        <w:rPr>
          <w:rFonts w:eastAsiaTheme="minorEastAsia" w:hint="cs"/>
          <w:lang w:eastAsia="zh-CN" w:bidi="ar-EG"/>
        </w:rPr>
        <w:sym w:font="Symbol" w:char="F0B7"/>
      </w:r>
      <w:r>
        <w:rPr>
          <w:rFonts w:eastAsiaTheme="minorEastAsia"/>
          <w:rtl/>
          <w:lang w:eastAsia="zh-CN" w:bidi="ar-EG"/>
        </w:rPr>
        <w:tab/>
      </w:r>
      <w:r w:rsidRPr="0069132F">
        <w:rPr>
          <w:rFonts w:eastAsiaTheme="minorEastAsia" w:hint="cs"/>
          <w:rtl/>
          <w:lang w:eastAsia="zh-CN"/>
        </w:rPr>
        <w:t xml:space="preserve">إنشاء بيئات </w:t>
      </w:r>
      <w:proofErr w:type="spellStart"/>
      <w:r w:rsidRPr="0069132F">
        <w:rPr>
          <w:rFonts w:eastAsiaTheme="minorEastAsia" w:hint="cs"/>
          <w:rtl/>
          <w:lang w:eastAsia="zh-CN"/>
        </w:rPr>
        <w:t>تمكينية</w:t>
      </w:r>
      <w:proofErr w:type="spellEnd"/>
      <w:r w:rsidRPr="0069132F">
        <w:rPr>
          <w:rFonts w:eastAsiaTheme="minorEastAsia" w:hint="cs"/>
          <w:rtl/>
          <w:lang w:eastAsia="zh-CN"/>
        </w:rPr>
        <w:t xml:space="preserve"> لتنفيذ نقاط تبادل حركة الاتصالات الإقليمية.</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69132F">
        <w:rPr>
          <w:rFonts w:eastAsiaTheme="minorEastAsia" w:hint="cs"/>
          <w:rtl/>
          <w:lang w:eastAsia="zh-CN" w:bidi="ar-EG"/>
        </w:rPr>
        <w:t>وترى إدارة المكسيك أن هذه الأحكام الحالية للوائح الاتصالات الدولية تكتمل بالبيئة الحالية التي انتقلت فيها أسواق الاتصالات إلى سيناريوهات عقدت بموجبها وكالات التشغيل المرخصة اتفاقات ثنائية وازدادت فيها المنافسة بصورة مستمرة، ما أدى إلى توليد أسعار أقل وزيادة في النفاذ إلى خدمات الاتصالات.</w:t>
      </w:r>
    </w:p>
    <w:p w:rsidR="0069132F" w:rsidRPr="0069132F" w:rsidRDefault="0069132F" w:rsidP="0069132F">
      <w:pPr>
        <w:pStyle w:val="Heading1"/>
        <w:rPr>
          <w:rFonts w:eastAsiaTheme="minorEastAsia"/>
          <w:rtl/>
          <w:lang w:eastAsia="zh-CN"/>
        </w:rPr>
      </w:pPr>
      <w:r w:rsidRPr="0069132F">
        <w:rPr>
          <w:rFonts w:eastAsiaTheme="minorEastAsia"/>
          <w:lang w:eastAsia="zh-CN" w:bidi="ar-SA"/>
        </w:rPr>
        <w:lastRenderedPageBreak/>
        <w:t>2</w:t>
      </w:r>
      <w:r w:rsidRPr="0069132F">
        <w:rPr>
          <w:rFonts w:eastAsiaTheme="minorEastAsia"/>
          <w:rtl/>
          <w:lang w:eastAsia="zh-CN" w:bidi="ar-LB"/>
        </w:rPr>
        <w:tab/>
      </w:r>
      <w:r>
        <w:rPr>
          <w:rFonts w:eastAsiaTheme="minorEastAsia" w:hint="cs"/>
          <w:rtl/>
          <w:lang w:eastAsia="zh-CN"/>
        </w:rPr>
        <w:t>التحليل القانوني</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9132F">
        <w:rPr>
          <w:rFonts w:eastAsiaTheme="minorEastAsia" w:hint="cs"/>
          <w:rtl/>
          <w:lang w:eastAsia="zh-CN" w:bidi="ar-EG"/>
        </w:rPr>
        <w:t xml:space="preserve">تعتبر المكسيك، خلافاً للصكوك القانونية الدولية القائمة من قبيل معاهدات التجارة الحرة، التي لا تشمل دائماً القضايا والاتجاهات الراهنة في قطاع الاتصالات، أن لوائح الاتصالات الدولية تتسم بنطاق أكبر من حيث اعترافها بأهمية المعايير الدولية </w:t>
      </w:r>
      <w:r w:rsidRPr="0069132F">
        <w:rPr>
          <w:rFonts w:eastAsiaTheme="minorEastAsia"/>
          <w:rtl/>
          <w:lang w:eastAsia="zh-CN"/>
        </w:rPr>
        <w:t>بالنسبة إلى التوافق و</w:t>
      </w:r>
      <w:r w:rsidRPr="0069132F">
        <w:rPr>
          <w:rFonts w:eastAsiaTheme="minorEastAsia" w:hint="cs"/>
          <w:rtl/>
          <w:lang w:eastAsia="zh-CN"/>
        </w:rPr>
        <w:t xml:space="preserve">إمكانية </w:t>
      </w:r>
      <w:r w:rsidRPr="0069132F">
        <w:rPr>
          <w:rFonts w:eastAsiaTheme="minorEastAsia"/>
          <w:rtl/>
          <w:lang w:eastAsia="zh-CN"/>
        </w:rPr>
        <w:t>التشغيل البيني عالمياً لشبكات وخدمات الاتصالات</w:t>
      </w:r>
      <w:r w:rsidRPr="0069132F">
        <w:rPr>
          <w:rFonts w:eastAsiaTheme="minorEastAsia" w:hint="cs"/>
          <w:rtl/>
          <w:lang w:eastAsia="zh-CN"/>
        </w:rPr>
        <w:t xml:space="preserve"> والعمل على ترويج هذه المعايير من خلال عمل منظمات دولية مختصة بما في ذلك الاتحاد الدولي للاتصالات.</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9132F">
        <w:rPr>
          <w:rFonts w:eastAsiaTheme="minorEastAsia" w:hint="cs"/>
          <w:rtl/>
          <w:lang w:eastAsia="zh-CN"/>
        </w:rPr>
        <w:t>علاوة</w:t>
      </w:r>
      <w:r>
        <w:rPr>
          <w:rFonts w:eastAsiaTheme="minorEastAsia" w:hint="cs"/>
          <w:rtl/>
          <w:lang w:eastAsia="zh-CN" w:bidi="ar-EG"/>
        </w:rPr>
        <w:t>ً</w:t>
      </w:r>
      <w:r w:rsidRPr="0069132F">
        <w:rPr>
          <w:rFonts w:eastAsiaTheme="minorEastAsia" w:hint="cs"/>
          <w:rtl/>
          <w:lang w:eastAsia="zh-CN"/>
        </w:rPr>
        <w:t xml:space="preserve"> على ذلك، وخلافاً للصكوك الدولية الأخرى، تتضمن لوائح الاتصالات الدولية أحكاماً بشأن سلامة الحياة البشرية فيما</w:t>
      </w:r>
      <w:r>
        <w:rPr>
          <w:rFonts w:eastAsiaTheme="minorEastAsia" w:hint="eastAsia"/>
          <w:rtl/>
          <w:lang w:eastAsia="zh-CN"/>
        </w:rPr>
        <w:t> </w:t>
      </w:r>
      <w:r w:rsidRPr="0069132F">
        <w:rPr>
          <w:rFonts w:eastAsiaTheme="minorEastAsia" w:hint="cs"/>
          <w:rtl/>
          <w:lang w:eastAsia="zh-CN"/>
        </w:rPr>
        <w:t>يتعلق باتصالات الاستغاثة وأمن وحصانة الشبكات وتعليق الخدمات والمخلفات الإلكترونية ومسائل إمكانية النفاذ.</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69132F">
        <w:rPr>
          <w:rFonts w:eastAsiaTheme="minorEastAsia" w:hint="cs"/>
          <w:rtl/>
          <w:lang w:eastAsia="zh-CN"/>
        </w:rPr>
        <w:t xml:space="preserve">من ناحية ثانية، ومع الأخذ في الاعتبار </w:t>
      </w:r>
      <w:r w:rsidRPr="0069132F">
        <w:rPr>
          <w:rFonts w:eastAsiaTheme="minorEastAsia"/>
          <w:rtl/>
          <w:lang w:eastAsia="zh-CN"/>
        </w:rPr>
        <w:t>اتفاق منظمة التجارة العالمية</w:t>
      </w:r>
      <w:r>
        <w:rPr>
          <w:rFonts w:eastAsiaTheme="minorEastAsia" w:hint="cs"/>
          <w:rtl/>
          <w:lang w:eastAsia="zh-CN"/>
        </w:rPr>
        <w:t> </w:t>
      </w:r>
      <w:r>
        <w:rPr>
          <w:rFonts w:eastAsiaTheme="minorEastAsia"/>
          <w:lang w:eastAsia="zh-CN"/>
        </w:rPr>
        <w:t>(WTO)</w:t>
      </w:r>
      <w:r w:rsidRPr="0069132F">
        <w:rPr>
          <w:rFonts w:eastAsiaTheme="minorEastAsia"/>
          <w:rtl/>
          <w:lang w:eastAsia="zh-CN"/>
        </w:rPr>
        <w:t xml:space="preserve"> بشأن الحواجز التقنية </w:t>
      </w:r>
      <w:r w:rsidRPr="0069132F">
        <w:rPr>
          <w:rFonts w:eastAsiaTheme="minorEastAsia" w:hint="cs"/>
          <w:rtl/>
          <w:lang w:eastAsia="zh-CN"/>
        </w:rPr>
        <w:t>أمام ا</w:t>
      </w:r>
      <w:r w:rsidRPr="0069132F">
        <w:rPr>
          <w:rFonts w:eastAsiaTheme="minorEastAsia"/>
          <w:rtl/>
          <w:lang w:eastAsia="zh-CN"/>
        </w:rPr>
        <w:t>لتجا</w:t>
      </w:r>
      <w:r w:rsidRPr="0069132F">
        <w:rPr>
          <w:rFonts w:eastAsiaTheme="minorEastAsia" w:hint="cs"/>
          <w:rtl/>
          <w:lang w:eastAsia="zh-CN"/>
        </w:rPr>
        <w:t>رة، ولا</w:t>
      </w:r>
      <w:r>
        <w:rPr>
          <w:rFonts w:eastAsiaTheme="minorEastAsia" w:hint="eastAsia"/>
          <w:rtl/>
          <w:lang w:eastAsia="zh-CN"/>
        </w:rPr>
        <w:t> </w:t>
      </w:r>
      <w:r w:rsidRPr="0069132F">
        <w:rPr>
          <w:rFonts w:eastAsiaTheme="minorEastAsia" w:hint="cs"/>
          <w:rtl/>
          <w:lang w:eastAsia="zh-CN"/>
        </w:rPr>
        <w:t>سيما الفقرة</w:t>
      </w:r>
      <w:r>
        <w:rPr>
          <w:rFonts w:eastAsiaTheme="minorEastAsia" w:hint="eastAsia"/>
          <w:rtl/>
          <w:lang w:eastAsia="zh-CN"/>
        </w:rPr>
        <w:t> </w:t>
      </w:r>
      <w:r w:rsidRPr="0069132F">
        <w:rPr>
          <w:rFonts w:eastAsiaTheme="minorEastAsia"/>
          <w:lang w:eastAsia="zh-CN"/>
        </w:rPr>
        <w:t>2.2</w:t>
      </w:r>
      <w:r w:rsidRPr="0069132F">
        <w:rPr>
          <w:rFonts w:eastAsiaTheme="minorEastAsia" w:hint="cs"/>
          <w:rtl/>
          <w:lang w:eastAsia="zh-CN" w:bidi="ar-LB"/>
        </w:rPr>
        <w:t xml:space="preserve"> من المادة</w:t>
      </w:r>
      <w:r>
        <w:rPr>
          <w:rFonts w:eastAsiaTheme="minorEastAsia" w:hint="eastAsia"/>
          <w:rtl/>
          <w:lang w:eastAsia="zh-CN" w:bidi="ar-LB"/>
        </w:rPr>
        <w:t> </w:t>
      </w:r>
      <w:r w:rsidRPr="0069132F">
        <w:rPr>
          <w:rFonts w:eastAsiaTheme="minorEastAsia"/>
          <w:lang w:eastAsia="zh-CN"/>
        </w:rPr>
        <w:t>2</w:t>
      </w:r>
      <w:r w:rsidRPr="0069132F">
        <w:rPr>
          <w:rFonts w:eastAsiaTheme="minorEastAsia" w:hint="cs"/>
          <w:rtl/>
          <w:lang w:eastAsia="zh-CN" w:bidi="ar-LB"/>
        </w:rPr>
        <w:t xml:space="preserve"> منها، يلاحظ أن لوائح الاتصالات الدولية توفر العناصر والمبادئ التنظيمية الضرورية التي لا تؤثر على التجارة وتشجع على إزالة الحواجز من أمامها.</w:t>
      </w:r>
    </w:p>
    <w:p w:rsidR="0069132F" w:rsidRPr="0069132F" w:rsidRDefault="0069132F" w:rsidP="0069132F">
      <w:pPr>
        <w:pStyle w:val="Heading2"/>
        <w:rPr>
          <w:rFonts w:eastAsiaTheme="minorEastAsia"/>
          <w:rtl/>
          <w:lang w:eastAsia="zh-CN"/>
        </w:rPr>
      </w:pPr>
      <w:r w:rsidRPr="0069132F">
        <w:rPr>
          <w:rFonts w:eastAsiaTheme="minorEastAsia"/>
          <w:lang w:eastAsia="zh-CN" w:bidi="ar-SA"/>
        </w:rPr>
        <w:t>3</w:t>
      </w:r>
      <w:r w:rsidRPr="0069132F">
        <w:rPr>
          <w:rFonts w:eastAsiaTheme="minorEastAsia"/>
          <w:rtl/>
          <w:lang w:eastAsia="zh-CN" w:bidi="ar-LB"/>
        </w:rPr>
        <w:tab/>
      </w:r>
      <w:r w:rsidRPr="0069132F">
        <w:rPr>
          <w:rFonts w:eastAsiaTheme="minorEastAsia" w:hint="cs"/>
          <w:rtl/>
          <w:lang w:eastAsia="zh-CN"/>
        </w:rPr>
        <w:t>تحليل أوجه التضارب المحتملة بين التزامات الموقعين على لوائح الاتصالات الدولية لعام</w:t>
      </w:r>
      <w:r>
        <w:rPr>
          <w:rFonts w:eastAsiaTheme="minorEastAsia" w:hint="eastAsia"/>
          <w:rtl/>
          <w:lang w:eastAsia="zh-CN"/>
        </w:rPr>
        <w:t> </w:t>
      </w:r>
      <w:r w:rsidRPr="0069132F">
        <w:rPr>
          <w:rFonts w:eastAsiaTheme="minorEastAsia"/>
          <w:lang w:eastAsia="zh-CN" w:bidi="ar-SA"/>
        </w:rPr>
        <w:t>2012</w:t>
      </w:r>
      <w:r w:rsidRPr="0069132F">
        <w:rPr>
          <w:rFonts w:eastAsiaTheme="minorEastAsia" w:hint="cs"/>
          <w:rtl/>
          <w:lang w:eastAsia="zh-CN" w:bidi="ar-LB"/>
        </w:rPr>
        <w:t xml:space="preserve"> و</w:t>
      </w:r>
      <w:r w:rsidRPr="0069132F">
        <w:rPr>
          <w:rFonts w:eastAsiaTheme="minorEastAsia" w:hint="cs"/>
          <w:rtl/>
          <w:lang w:eastAsia="zh-CN"/>
        </w:rPr>
        <w:t>الموقعين على لوائح الاتصالات الدولية لعام</w:t>
      </w:r>
      <w:r>
        <w:rPr>
          <w:rFonts w:eastAsiaTheme="minorEastAsia" w:hint="eastAsia"/>
          <w:rtl/>
          <w:lang w:eastAsia="zh-CN"/>
        </w:rPr>
        <w:t> </w:t>
      </w:r>
      <w:r w:rsidRPr="0069132F">
        <w:rPr>
          <w:rFonts w:eastAsiaTheme="minorEastAsia"/>
          <w:lang w:eastAsia="zh-CN" w:bidi="ar-SA"/>
        </w:rPr>
        <w:t>1988</w:t>
      </w:r>
      <w:r w:rsidRPr="0069132F">
        <w:rPr>
          <w:rFonts w:eastAsiaTheme="minorEastAsia" w:hint="cs"/>
          <w:rtl/>
          <w:lang w:eastAsia="zh-CN" w:bidi="ar-LB"/>
        </w:rPr>
        <w:t xml:space="preserve"> فيما يتعلق بتنفيذ أحكام كلا </w:t>
      </w:r>
      <w:r>
        <w:rPr>
          <w:rFonts w:eastAsiaTheme="minorEastAsia" w:hint="cs"/>
          <w:rtl/>
          <w:lang w:eastAsia="zh-CN" w:bidi="ar-LB"/>
        </w:rPr>
        <w:t>الصكّين</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69132F">
        <w:rPr>
          <w:rFonts w:eastAsiaTheme="minorEastAsia"/>
          <w:rtl/>
          <w:lang w:eastAsia="zh-CN"/>
        </w:rPr>
        <w:t>ترى المكسيك أن الاتحاد سبق أن حلل أوجه التضارب الناشئة عن تطبيق كلا الصكين، علماً أنه في حال السعي إلى إقام</w:t>
      </w:r>
      <w:r>
        <w:rPr>
          <w:rFonts w:eastAsiaTheme="minorEastAsia"/>
          <w:rtl/>
          <w:lang w:eastAsia="zh-CN"/>
        </w:rPr>
        <w:t>ة علاقة بين الدول الأعضاء الموق</w:t>
      </w:r>
      <w:r w:rsidRPr="0069132F">
        <w:rPr>
          <w:rFonts w:eastAsiaTheme="minorEastAsia"/>
          <w:rtl/>
          <w:lang w:eastAsia="zh-CN"/>
        </w:rPr>
        <w:t xml:space="preserve">عة على لوائح الاتصالات الدولية لعام </w:t>
      </w:r>
      <w:r w:rsidRPr="0069132F">
        <w:rPr>
          <w:rFonts w:eastAsiaTheme="minorEastAsia"/>
          <w:lang w:eastAsia="zh-CN"/>
        </w:rPr>
        <w:t>1988</w:t>
      </w:r>
      <w:r>
        <w:rPr>
          <w:rFonts w:eastAsiaTheme="minorEastAsia"/>
          <w:rtl/>
          <w:lang w:eastAsia="zh-CN"/>
        </w:rPr>
        <w:t xml:space="preserve"> ودولة عضو أخرى موق</w:t>
      </w:r>
      <w:r w:rsidRPr="0069132F">
        <w:rPr>
          <w:rFonts w:eastAsiaTheme="minorEastAsia"/>
          <w:rtl/>
          <w:lang w:eastAsia="zh-CN"/>
        </w:rPr>
        <w:t>عة على لوائح الاتصالات الدولية لعام</w:t>
      </w:r>
      <w:r>
        <w:rPr>
          <w:rFonts w:eastAsiaTheme="minorEastAsia" w:hint="cs"/>
          <w:rtl/>
          <w:lang w:eastAsia="zh-CN"/>
        </w:rPr>
        <w:t> </w:t>
      </w:r>
      <w:r w:rsidRPr="0069132F">
        <w:rPr>
          <w:rFonts w:eastAsiaTheme="minorEastAsia"/>
          <w:lang w:eastAsia="zh-CN"/>
        </w:rPr>
        <w:t>2012</w:t>
      </w:r>
      <w:r w:rsidRPr="0069132F">
        <w:rPr>
          <w:rFonts w:eastAsiaTheme="minorEastAsia"/>
          <w:rtl/>
          <w:lang w:eastAsia="zh-CN"/>
        </w:rPr>
        <w:t xml:space="preserve">، يكون كلا الطرفين ملزمين بمعاهدة عام </w:t>
      </w:r>
      <w:r w:rsidRPr="0069132F">
        <w:rPr>
          <w:rFonts w:eastAsiaTheme="minorEastAsia"/>
          <w:lang w:eastAsia="zh-CN"/>
        </w:rPr>
        <w:t>1988</w:t>
      </w:r>
      <w:r w:rsidRPr="0069132F">
        <w:rPr>
          <w:rFonts w:eastAsiaTheme="minorEastAsia" w:hint="cs"/>
          <w:rtl/>
          <w:lang w:eastAsia="zh-CN" w:bidi="ar-LB"/>
        </w:rPr>
        <w:t>.</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9132F">
        <w:rPr>
          <w:rFonts w:eastAsiaTheme="minorEastAsia" w:hint="cs"/>
          <w:rtl/>
          <w:lang w:eastAsia="zh-CN" w:bidi="ar-LB"/>
        </w:rPr>
        <w:t xml:space="preserve">ومع ذلك، لا </w:t>
      </w:r>
      <w:r w:rsidRPr="0069132F">
        <w:rPr>
          <w:rFonts w:eastAsiaTheme="minorEastAsia"/>
          <w:rtl/>
          <w:lang w:eastAsia="zh-CN"/>
        </w:rPr>
        <w:t>تنطبق بعض أحكام المعاهدة الجديدة</w:t>
      </w:r>
      <w:r w:rsidRPr="0069132F">
        <w:rPr>
          <w:rFonts w:eastAsiaTheme="minorEastAsia" w:hint="cs"/>
          <w:rtl/>
          <w:lang w:eastAsia="zh-CN"/>
        </w:rPr>
        <w:t>،</w:t>
      </w:r>
      <w:r w:rsidRPr="0069132F">
        <w:rPr>
          <w:rFonts w:eastAsiaTheme="minorEastAsia"/>
          <w:rtl/>
          <w:lang w:eastAsia="zh-CN"/>
        </w:rPr>
        <w:t xml:space="preserve"> ويُذكر منها على سبيل المثال الشفافية في أسعار التجوال المتنقل وإمكانية النفاذ والحد من المخلفات الإلكترونية والتعاون في مكافحة الاتصالات الإلكترونية غير المرغوبة المرسلة بالجملة وما إلى ذلك</w:t>
      </w:r>
      <w:r w:rsidRPr="0069132F">
        <w:rPr>
          <w:rFonts w:eastAsiaTheme="minorEastAsia"/>
          <w:lang w:eastAsia="zh-CN"/>
        </w:rPr>
        <w:t>.</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LB"/>
        </w:rPr>
      </w:pPr>
      <w:r w:rsidRPr="0069132F">
        <w:rPr>
          <w:rFonts w:eastAsiaTheme="minorEastAsia" w:hint="cs"/>
          <w:rtl/>
          <w:lang w:eastAsia="zh-CN" w:bidi="ar-LB"/>
        </w:rPr>
        <w:t xml:space="preserve">وفي ضوء ما سبق، تنطبق كلا اللوائح في نسختيها لعام </w:t>
      </w:r>
      <w:r w:rsidRPr="0069132F">
        <w:rPr>
          <w:rFonts w:eastAsiaTheme="minorEastAsia"/>
          <w:lang w:eastAsia="zh-CN"/>
        </w:rPr>
        <w:t>1988</w:t>
      </w:r>
      <w:r w:rsidRPr="0069132F">
        <w:rPr>
          <w:rFonts w:eastAsiaTheme="minorEastAsia" w:hint="cs"/>
          <w:rtl/>
          <w:lang w:eastAsia="zh-CN" w:bidi="ar-LB"/>
        </w:rPr>
        <w:t xml:space="preserve"> و</w:t>
      </w:r>
      <w:r w:rsidRPr="0069132F">
        <w:rPr>
          <w:rFonts w:eastAsiaTheme="minorEastAsia"/>
          <w:lang w:eastAsia="zh-CN"/>
        </w:rPr>
        <w:t>2012</w:t>
      </w:r>
      <w:r w:rsidRPr="0069132F">
        <w:rPr>
          <w:rFonts w:eastAsiaTheme="minorEastAsia" w:hint="cs"/>
          <w:rtl/>
          <w:lang w:eastAsia="zh-CN" w:bidi="ar-LB"/>
        </w:rPr>
        <w:t xml:space="preserve"> كما هو موضح.</w:t>
      </w:r>
    </w:p>
    <w:p w:rsidR="0069132F" w:rsidRPr="0069132F" w:rsidRDefault="0069132F" w:rsidP="0069132F">
      <w:pPr>
        <w:pStyle w:val="Heading1"/>
        <w:rPr>
          <w:rFonts w:eastAsiaTheme="minorEastAsia"/>
          <w:rtl/>
          <w:lang w:eastAsia="zh-CN"/>
        </w:rPr>
      </w:pPr>
      <w:r w:rsidRPr="0069132F">
        <w:rPr>
          <w:rFonts w:eastAsiaTheme="minorEastAsia"/>
          <w:lang w:eastAsia="zh-CN" w:bidi="ar-SA"/>
        </w:rPr>
        <w:t>4</w:t>
      </w:r>
      <w:r w:rsidRPr="0069132F">
        <w:rPr>
          <w:rFonts w:eastAsiaTheme="minorEastAsia"/>
          <w:rtl/>
          <w:lang w:eastAsia="zh-CN" w:bidi="ar-LB"/>
        </w:rPr>
        <w:tab/>
      </w:r>
      <w:r w:rsidRPr="0069132F">
        <w:rPr>
          <w:rFonts w:eastAsiaTheme="minorEastAsia" w:hint="cs"/>
          <w:rtl/>
          <w:lang w:eastAsia="zh-CN"/>
        </w:rPr>
        <w:t>موقف إدارة المكسيك فيما يتعلق بعقد مؤتمر عالمي جديد</w:t>
      </w:r>
    </w:p>
    <w:p w:rsidR="0069132F" w:rsidRPr="0028177D" w:rsidRDefault="0069132F" w:rsidP="0028177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r w:rsidRPr="0028177D">
        <w:rPr>
          <w:rFonts w:eastAsiaTheme="minorEastAsia"/>
          <w:spacing w:val="2"/>
          <w:rtl/>
          <w:lang w:eastAsia="zh-CN"/>
        </w:rPr>
        <w:t xml:space="preserve">ترى المكسيك </w:t>
      </w:r>
      <w:r w:rsidRPr="0028177D">
        <w:rPr>
          <w:rFonts w:eastAsiaTheme="minorEastAsia" w:hint="cs"/>
          <w:spacing w:val="2"/>
          <w:rtl/>
          <w:lang w:eastAsia="zh-CN"/>
        </w:rPr>
        <w:t xml:space="preserve">أنه </w:t>
      </w:r>
      <w:r w:rsidRPr="0028177D">
        <w:rPr>
          <w:rFonts w:eastAsiaTheme="minorEastAsia" w:hint="cs"/>
          <w:b/>
          <w:bCs/>
          <w:spacing w:val="2"/>
          <w:rtl/>
          <w:lang w:eastAsia="zh-CN"/>
        </w:rPr>
        <w:t xml:space="preserve">ينبغي عدم عقد مؤتمر عالمي جديد للاتصالات الدولية </w:t>
      </w:r>
      <w:r w:rsidRPr="0028177D">
        <w:rPr>
          <w:rFonts w:eastAsiaTheme="minorEastAsia"/>
          <w:b/>
          <w:bCs/>
          <w:spacing w:val="2"/>
          <w:lang w:eastAsia="zh-CN"/>
        </w:rPr>
        <w:t>(WCIT)</w:t>
      </w:r>
      <w:r w:rsidRPr="0028177D">
        <w:rPr>
          <w:rFonts w:eastAsiaTheme="minorEastAsia" w:hint="cs"/>
          <w:b/>
          <w:bCs/>
          <w:spacing w:val="2"/>
          <w:rtl/>
          <w:lang w:eastAsia="zh-CN" w:bidi="ar-LB"/>
        </w:rPr>
        <w:t xml:space="preserve"> لمراج</w:t>
      </w:r>
      <w:r w:rsidR="0028177D">
        <w:rPr>
          <w:rFonts w:eastAsiaTheme="minorEastAsia" w:hint="cs"/>
          <w:b/>
          <w:bCs/>
          <w:spacing w:val="2"/>
          <w:rtl/>
          <w:lang w:eastAsia="zh-CN" w:bidi="ar-LB"/>
        </w:rPr>
        <w:t>َ</w:t>
      </w:r>
      <w:r w:rsidRPr="0028177D">
        <w:rPr>
          <w:rFonts w:eastAsiaTheme="minorEastAsia" w:hint="cs"/>
          <w:b/>
          <w:bCs/>
          <w:spacing w:val="2"/>
          <w:rtl/>
          <w:lang w:eastAsia="zh-CN" w:bidi="ar-LB"/>
        </w:rPr>
        <w:t>عة لوائح الاتصالات الدولية لعام</w:t>
      </w:r>
      <w:r w:rsidRPr="0028177D">
        <w:rPr>
          <w:rFonts w:eastAsiaTheme="minorEastAsia" w:hint="eastAsia"/>
          <w:b/>
          <w:bCs/>
          <w:spacing w:val="2"/>
          <w:rtl/>
          <w:lang w:eastAsia="zh-CN" w:bidi="ar-LB"/>
        </w:rPr>
        <w:t> </w:t>
      </w:r>
      <w:r w:rsidRPr="0028177D">
        <w:rPr>
          <w:rFonts w:eastAsiaTheme="minorEastAsia"/>
          <w:b/>
          <w:bCs/>
          <w:spacing w:val="2"/>
          <w:lang w:eastAsia="zh-CN"/>
        </w:rPr>
        <w:t>2012</w:t>
      </w:r>
      <w:r w:rsidRPr="0028177D">
        <w:rPr>
          <w:rFonts w:eastAsiaTheme="minorEastAsia" w:hint="cs"/>
          <w:spacing w:val="2"/>
          <w:rtl/>
          <w:lang w:eastAsia="zh-CN" w:bidi="ar-LB"/>
        </w:rPr>
        <w:t xml:space="preserve">، </w:t>
      </w:r>
      <w:r w:rsidRPr="0028177D">
        <w:rPr>
          <w:rFonts w:eastAsiaTheme="minorEastAsia" w:hint="cs"/>
          <w:b/>
          <w:bCs/>
          <w:spacing w:val="2"/>
          <w:rtl/>
          <w:lang w:eastAsia="zh-CN" w:bidi="ar-LB"/>
        </w:rPr>
        <w:t>ليس فقط</w:t>
      </w:r>
      <w:r w:rsidRPr="0028177D">
        <w:rPr>
          <w:rFonts w:eastAsiaTheme="minorEastAsia" w:hint="cs"/>
          <w:spacing w:val="2"/>
          <w:rtl/>
          <w:lang w:eastAsia="zh-CN" w:bidi="ar-LB"/>
        </w:rPr>
        <w:t xml:space="preserve">، كما لاحظت الإدارات الأخرى، </w:t>
      </w:r>
      <w:r w:rsidRPr="0028177D">
        <w:rPr>
          <w:rFonts w:eastAsiaTheme="minorEastAsia" w:hint="cs"/>
          <w:b/>
          <w:bCs/>
          <w:spacing w:val="2"/>
          <w:rtl/>
          <w:lang w:eastAsia="zh-CN" w:bidi="ar-LB"/>
        </w:rPr>
        <w:t xml:space="preserve">لأن عقد مؤتمر </w:t>
      </w:r>
      <w:r w:rsidRPr="0028177D">
        <w:rPr>
          <w:rFonts w:eastAsiaTheme="minorEastAsia" w:hint="cs"/>
          <w:b/>
          <w:bCs/>
          <w:spacing w:val="2"/>
          <w:rtl/>
          <w:lang w:eastAsia="zh-CN"/>
        </w:rPr>
        <w:t>عالمي آخر للاتصالات الدولية لن يحقق توافقاً في</w:t>
      </w:r>
      <w:r w:rsidR="0028177D" w:rsidRPr="0028177D">
        <w:rPr>
          <w:rFonts w:eastAsiaTheme="minorEastAsia" w:hint="eastAsia"/>
          <w:b/>
          <w:bCs/>
          <w:spacing w:val="2"/>
          <w:rtl/>
          <w:lang w:eastAsia="zh-CN"/>
        </w:rPr>
        <w:t> </w:t>
      </w:r>
      <w:r w:rsidRPr="0028177D">
        <w:rPr>
          <w:rFonts w:eastAsiaTheme="minorEastAsia" w:hint="cs"/>
          <w:b/>
          <w:bCs/>
          <w:spacing w:val="2"/>
          <w:rtl/>
          <w:lang w:eastAsia="zh-CN"/>
        </w:rPr>
        <w:t>الآراء، بل لأنه يحتمل أن يحدث خلافاً بين المشاركين ويؤدي إلى نتائج لن تساهم كثيراً في تشجيع التوقيع على النص الجديد</w:t>
      </w:r>
      <w:r w:rsidRPr="0028177D">
        <w:rPr>
          <w:rFonts w:eastAsiaTheme="minorEastAsia" w:hint="cs"/>
          <w:spacing w:val="2"/>
          <w:rtl/>
          <w:lang w:eastAsia="zh-CN"/>
        </w:rPr>
        <w:t>.</w:t>
      </w:r>
    </w:p>
    <w:p w:rsidR="0069132F" w:rsidRPr="0028177D" w:rsidRDefault="0069132F" w:rsidP="0028177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LB"/>
        </w:rPr>
      </w:pPr>
      <w:r w:rsidRPr="0028177D">
        <w:rPr>
          <w:rFonts w:eastAsiaTheme="minorEastAsia" w:hint="cs"/>
          <w:spacing w:val="-2"/>
          <w:rtl/>
          <w:lang w:eastAsia="zh-CN"/>
        </w:rPr>
        <w:t>بالإضافة إلى ذلك، تعتبر إدارة المكسيك أن المراج</w:t>
      </w:r>
      <w:r w:rsidR="0028177D" w:rsidRPr="0028177D">
        <w:rPr>
          <w:rFonts w:eastAsiaTheme="minorEastAsia" w:hint="cs"/>
          <w:spacing w:val="-2"/>
          <w:rtl/>
          <w:lang w:eastAsia="zh-CN"/>
        </w:rPr>
        <w:t>َ</w:t>
      </w:r>
      <w:r w:rsidRPr="0028177D">
        <w:rPr>
          <w:rFonts w:eastAsiaTheme="minorEastAsia" w:hint="cs"/>
          <w:spacing w:val="-2"/>
          <w:rtl/>
          <w:lang w:eastAsia="zh-CN"/>
        </w:rPr>
        <w:t>عة ليست ضرورية لأن جوانب مختلفة مستمدة من تطور الاتصالات يتوقع أن</w:t>
      </w:r>
      <w:r w:rsidR="0028177D" w:rsidRPr="0028177D">
        <w:rPr>
          <w:rFonts w:eastAsiaTheme="minorEastAsia" w:hint="eastAsia"/>
          <w:spacing w:val="-2"/>
          <w:rtl/>
          <w:lang w:eastAsia="zh-CN"/>
        </w:rPr>
        <w:t> </w:t>
      </w:r>
      <w:r w:rsidRPr="0028177D">
        <w:rPr>
          <w:rFonts w:eastAsiaTheme="minorEastAsia" w:hint="cs"/>
          <w:spacing w:val="-2"/>
          <w:rtl/>
          <w:lang w:eastAsia="zh-CN"/>
        </w:rPr>
        <w:t>تدخل في</w:t>
      </w:r>
      <w:r w:rsidR="0028177D">
        <w:rPr>
          <w:rFonts w:eastAsiaTheme="minorEastAsia" w:hint="eastAsia"/>
          <w:spacing w:val="-2"/>
          <w:rtl/>
          <w:lang w:eastAsia="zh-CN"/>
        </w:rPr>
        <w:t> </w:t>
      </w:r>
      <w:r w:rsidRPr="0028177D">
        <w:rPr>
          <w:rFonts w:eastAsiaTheme="minorEastAsia" w:hint="cs"/>
          <w:spacing w:val="-2"/>
          <w:rtl/>
          <w:lang w:eastAsia="zh-CN"/>
        </w:rPr>
        <w:t xml:space="preserve">أعمال قطاعات الاتحاد الثلاثة، وأن تدمج في الاتفاقات الثنائية بين الشركات، وأن تعزز بواسطة ظروف السوق الراهنة. </w:t>
      </w:r>
    </w:p>
    <w:p w:rsidR="0069132F" w:rsidRPr="0069132F" w:rsidRDefault="0069132F" w:rsidP="0028177D">
      <w:pPr>
        <w:pStyle w:val="Heading1"/>
        <w:rPr>
          <w:rFonts w:eastAsiaTheme="minorEastAsia"/>
          <w:rtl/>
          <w:lang w:eastAsia="zh-CN"/>
        </w:rPr>
      </w:pPr>
      <w:r w:rsidRPr="0069132F">
        <w:rPr>
          <w:rFonts w:eastAsiaTheme="minorEastAsia"/>
          <w:lang w:eastAsia="zh-CN" w:bidi="ar-SA"/>
        </w:rPr>
        <w:t>5</w:t>
      </w:r>
      <w:r w:rsidRPr="0069132F">
        <w:rPr>
          <w:rFonts w:eastAsiaTheme="minorEastAsia"/>
          <w:rtl/>
          <w:lang w:eastAsia="zh-CN"/>
        </w:rPr>
        <w:tab/>
      </w:r>
      <w:r w:rsidRPr="0069132F">
        <w:rPr>
          <w:rFonts w:eastAsiaTheme="minorEastAsia" w:hint="cs"/>
          <w:rtl/>
          <w:lang w:eastAsia="zh-CN"/>
        </w:rPr>
        <w:t xml:space="preserve">هيكل التقرير النهائي عن الدراسة المتعلقة بلوائح الاتصالات الدولية لعام </w:t>
      </w:r>
      <w:r w:rsidRPr="0069132F">
        <w:rPr>
          <w:rFonts w:eastAsiaTheme="minorEastAsia"/>
          <w:lang w:eastAsia="zh-CN" w:bidi="ar-SA"/>
        </w:rPr>
        <w:t>2012</w:t>
      </w:r>
    </w:p>
    <w:p w:rsidR="0069132F" w:rsidRPr="0069132F" w:rsidRDefault="0069132F" w:rsidP="006913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9132F">
        <w:rPr>
          <w:rFonts w:eastAsiaTheme="minorEastAsia"/>
          <w:rtl/>
          <w:lang w:eastAsia="zh-CN"/>
        </w:rPr>
        <w:t>ترى المكسيك</w:t>
      </w:r>
      <w:r w:rsidRPr="0069132F">
        <w:rPr>
          <w:rFonts w:eastAsiaTheme="minorEastAsia" w:hint="cs"/>
          <w:rtl/>
          <w:lang w:eastAsia="zh-CN"/>
        </w:rPr>
        <w:t xml:space="preserve"> أن الأقسام التي تؤلف هيكل التقرير النهائي لفريق الخبراء المعني بلوائح الاتصالات الدولية ينبغي أن تكون متسقة مع اختصاصات الفريق كما هي محددة في الملحق </w:t>
      </w:r>
      <w:r w:rsidRPr="0069132F">
        <w:rPr>
          <w:rFonts w:eastAsiaTheme="minorEastAsia"/>
          <w:lang w:eastAsia="zh-CN"/>
        </w:rPr>
        <w:t>1</w:t>
      </w:r>
      <w:r w:rsidRPr="0069132F">
        <w:rPr>
          <w:rFonts w:eastAsiaTheme="minorEastAsia" w:hint="cs"/>
          <w:rtl/>
          <w:lang w:eastAsia="zh-CN" w:bidi="ar-LB"/>
        </w:rPr>
        <w:t xml:space="preserve"> بالقرار </w:t>
      </w:r>
      <w:r w:rsidRPr="0069132F">
        <w:rPr>
          <w:rFonts w:eastAsiaTheme="minorEastAsia"/>
          <w:lang w:eastAsia="zh-CN"/>
        </w:rPr>
        <w:t>1379</w:t>
      </w:r>
      <w:r w:rsidRPr="0069132F">
        <w:rPr>
          <w:rFonts w:eastAsiaTheme="minorEastAsia" w:hint="cs"/>
          <w:rtl/>
          <w:lang w:eastAsia="zh-CN" w:bidi="ar-LB"/>
        </w:rPr>
        <w:t xml:space="preserve"> الصادر عن المجلس في دورته لعام </w:t>
      </w:r>
      <w:r w:rsidRPr="0069132F">
        <w:rPr>
          <w:rFonts w:eastAsiaTheme="minorEastAsia"/>
          <w:lang w:eastAsia="zh-CN"/>
        </w:rPr>
        <w:t>2016</w:t>
      </w:r>
      <w:r w:rsidRPr="0069132F">
        <w:rPr>
          <w:rFonts w:eastAsiaTheme="minorEastAsia" w:hint="cs"/>
          <w:rtl/>
          <w:lang w:eastAsia="zh-CN" w:bidi="ar-LB"/>
        </w:rPr>
        <w:t>.</w:t>
      </w:r>
    </w:p>
    <w:p w:rsidR="0069132F" w:rsidRPr="0069132F" w:rsidRDefault="0069132F" w:rsidP="0028177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b/>
          <w:bCs/>
          <w:rtl/>
          <w:lang w:eastAsia="zh-CN" w:bidi="ar-EG"/>
        </w:rPr>
      </w:pPr>
      <w:r w:rsidRPr="0069132F">
        <w:rPr>
          <w:rFonts w:eastAsiaTheme="minorEastAsia" w:hint="cs"/>
          <w:rtl/>
          <w:lang w:eastAsia="zh-CN" w:bidi="ar-SY"/>
        </w:rPr>
        <w:t>___________</w:t>
      </w:r>
    </w:p>
    <w:sectPr w:rsidR="0069132F" w:rsidRPr="0069132F"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D52" w:rsidRDefault="00C72D52" w:rsidP="00E07379">
      <w:pPr>
        <w:spacing w:before="0" w:line="240" w:lineRule="auto"/>
      </w:pPr>
      <w:r>
        <w:separator/>
      </w:r>
    </w:p>
  </w:endnote>
  <w:endnote w:type="continuationSeparator" w:id="0">
    <w:p w:rsidR="00C72D52" w:rsidRDefault="00C72D5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FD566B" w:rsidP="0069132F">
    <w:pPr>
      <w:pStyle w:val="Footer"/>
      <w:tabs>
        <w:tab w:val="clear" w:pos="5812"/>
        <w:tab w:val="right" w:pos="5670"/>
      </w:tabs>
    </w:pPr>
    <w:r>
      <w:fldChar w:fldCharType="begin"/>
    </w:r>
    <w:r>
      <w:instrText xml:space="preserve"> FILENAME \p \* MERGEFORMAT </w:instrText>
    </w:r>
    <w:r>
      <w:fldChar w:fldCharType="separate"/>
    </w:r>
    <w:r>
      <w:rPr>
        <w:noProof/>
      </w:rPr>
      <w:t>P:\ARA\SG\CONSEIL\EG-ITR\EG-ITR-2\000\014A.docx</w:t>
    </w:r>
    <w:r>
      <w:rPr>
        <w:noProof/>
      </w:rPr>
      <w:fldChar w:fldCharType="end"/>
    </w:r>
    <w:r w:rsidR="00BD0C50" w:rsidRPr="00665956">
      <w:t xml:space="preserve">   (</w:t>
    </w:r>
    <w:r w:rsidR="0069132F">
      <w:t>423206</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Pr>
        <w:noProof/>
      </w:rPr>
      <w:t>08.09.17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Pr>
        <w:noProof/>
      </w:rPr>
      <w:t>08.09.17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69132F">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FD566B">
      <w:rPr>
        <w:rFonts w:cs="Calibri"/>
        <w:noProof/>
        <w:lang w:val="fr-FR"/>
      </w:rPr>
      <w:t>P:\ARA\SG\CONSEIL\EG-ITR\EG-ITR-2\000\014A.docx</w:t>
    </w:r>
    <w:r w:rsidRPr="00476123">
      <w:rPr>
        <w:rFonts w:cs="Calibri"/>
      </w:rPr>
      <w:fldChar w:fldCharType="end"/>
    </w:r>
    <w:r w:rsidRPr="0069132F">
      <w:rPr>
        <w:rFonts w:cs="Calibri"/>
        <w:lang w:val="fr-FR"/>
      </w:rPr>
      <w:t xml:space="preserve">  </w:t>
    </w:r>
    <w:r w:rsidRPr="00476123">
      <w:rPr>
        <w:rFonts w:cs="Calibri"/>
        <w:lang w:val="fr-FR"/>
      </w:rPr>
      <w:t xml:space="preserve"> (</w:t>
    </w:r>
    <w:r w:rsidR="0069132F">
      <w:rPr>
        <w:rFonts w:cs="Calibri"/>
        <w:lang w:val="fr-FR"/>
      </w:rPr>
      <w:t>423206</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FD566B">
      <w:rPr>
        <w:rFonts w:cs="Calibri"/>
        <w:noProof/>
        <w:lang w:val="fr-FR"/>
      </w:rPr>
      <w:t>08.09.17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FD566B">
      <w:rPr>
        <w:rFonts w:cs="Calibri"/>
        <w:noProof/>
        <w:lang w:val="fr-FR"/>
      </w:rPr>
      <w:t>08.09.17</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D52" w:rsidRDefault="00C72D52" w:rsidP="00E07379">
      <w:pPr>
        <w:spacing w:before="0" w:line="240" w:lineRule="auto"/>
      </w:pPr>
      <w:r>
        <w:separator/>
      </w:r>
    </w:p>
  </w:footnote>
  <w:footnote w:type="continuationSeparator" w:id="0">
    <w:p w:rsidR="00C72D52" w:rsidRDefault="00C72D5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FD566B"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FD566B">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D94957"/>
    <w:multiLevelType w:val="hybridMultilevel"/>
    <w:tmpl w:val="B04CE04E"/>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52"/>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8177D"/>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9132F"/>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50A5B"/>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2D52"/>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66B"/>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A0E004-5407-4C9D-8D63-0FDB4604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EEA5D-FC90-49BA-BCAB-70DAAD0A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PA_EG-ITR-2.dotx</Template>
  <TotalTime>9</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Elbahnassawy, Ganat</cp:lastModifiedBy>
  <cp:revision>3</cp:revision>
  <cp:lastPrinted>2017-09-08T10:45:00Z</cp:lastPrinted>
  <dcterms:created xsi:type="dcterms:W3CDTF">2017-09-08T10:32:00Z</dcterms:created>
  <dcterms:modified xsi:type="dcterms:W3CDTF">2017-09-08T10:45:00Z</dcterms:modified>
  <cp:category>Conference document</cp:category>
</cp:coreProperties>
</file>