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115" w:type="dxa"/>
        <w:tblLayout w:type="fixed"/>
        <w:tblLook w:val="0000" w:firstRow="0" w:lastRow="0" w:firstColumn="0" w:lastColumn="0" w:noHBand="0" w:noVBand="0"/>
      </w:tblPr>
      <w:tblGrid>
        <w:gridCol w:w="6487"/>
        <w:gridCol w:w="3544"/>
      </w:tblGrid>
      <w:tr w:rsidR="008D580D" w:rsidRPr="00AA22E2" w:rsidTr="008D580D">
        <w:trPr>
          <w:trHeight w:val="851"/>
        </w:trPr>
        <w:tc>
          <w:tcPr>
            <w:tcW w:w="6487" w:type="dxa"/>
            <w:vAlign w:val="center"/>
          </w:tcPr>
          <w:p w:rsidR="008D580D" w:rsidRPr="00AA22E2" w:rsidRDefault="008D580D" w:rsidP="008D580D">
            <w:pPr>
              <w:pStyle w:val="Normal1"/>
              <w:adjustRightInd w:val="0"/>
              <w:snapToGrid w:val="0"/>
              <w:spacing w:before="0"/>
              <w:rPr>
                <w:lang w:val="es-ES_tradnl"/>
              </w:rPr>
            </w:pPr>
            <w:r w:rsidRPr="00AA22E2">
              <w:rPr>
                <w:b/>
                <w:bCs/>
                <w:position w:val="6"/>
                <w:sz w:val="30"/>
                <w:szCs w:val="30"/>
                <w:lang w:val="es-ES_tradnl"/>
              </w:rPr>
              <w:t xml:space="preserve">Grupo de Expertos sobre el Reglamento de las </w:t>
            </w:r>
            <w:r w:rsidRPr="00AA22E2">
              <w:rPr>
                <w:b/>
                <w:bCs/>
                <w:position w:val="6"/>
                <w:sz w:val="30"/>
                <w:szCs w:val="30"/>
                <w:lang w:val="es-ES_tradnl"/>
              </w:rPr>
              <w:br/>
              <w:t>Telecomunicaciones Internacionales (GE-RTI)</w:t>
            </w:r>
          </w:p>
        </w:tc>
        <w:tc>
          <w:tcPr>
            <w:tcW w:w="3544" w:type="dxa"/>
            <w:vMerge w:val="restart"/>
          </w:tcPr>
          <w:p w:rsidR="008D580D" w:rsidRPr="00AA22E2" w:rsidRDefault="008D580D" w:rsidP="006506AD">
            <w:pPr>
              <w:pStyle w:val="Normal1"/>
              <w:spacing w:before="0"/>
              <w:rPr>
                <w:lang w:val="es-ES_tradnl"/>
              </w:rPr>
            </w:pPr>
            <w:bookmarkStart w:id="0" w:name="h.30j0zll" w:colFirst="0" w:colLast="0"/>
            <w:bookmarkEnd w:id="0"/>
            <w:r w:rsidRPr="00AA22E2">
              <w:rPr>
                <w:noProof/>
                <w:lang w:val="en-US" w:eastAsia="zh-CN"/>
              </w:rPr>
              <w:drawing>
                <wp:inline distT="0" distB="0" distL="0" distR="0" wp14:anchorId="36C47F1D" wp14:editId="2B4D5AD8">
                  <wp:extent cx="1760220" cy="74676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760220" cy="746760"/>
                          </a:xfrm>
                          <a:prstGeom prst="rect">
                            <a:avLst/>
                          </a:prstGeom>
                          <a:ln/>
                        </pic:spPr>
                      </pic:pic>
                    </a:graphicData>
                  </a:graphic>
                </wp:inline>
              </w:drawing>
            </w:r>
          </w:p>
        </w:tc>
      </w:tr>
      <w:tr w:rsidR="008D580D" w:rsidRPr="00FE6178" w:rsidTr="008D580D">
        <w:trPr>
          <w:trHeight w:val="139"/>
        </w:trPr>
        <w:tc>
          <w:tcPr>
            <w:tcW w:w="6487" w:type="dxa"/>
            <w:vAlign w:val="center"/>
          </w:tcPr>
          <w:p w:rsidR="008D580D" w:rsidRPr="00AA22E2" w:rsidRDefault="008D580D" w:rsidP="008D580D">
            <w:pPr>
              <w:overflowPunct w:val="0"/>
              <w:autoSpaceDE w:val="0"/>
              <w:autoSpaceDN w:val="0"/>
              <w:adjustRightInd w:val="0"/>
              <w:spacing w:before="160"/>
              <w:textAlignment w:val="baseline"/>
              <w:rPr>
                <w:b/>
                <w:bCs/>
                <w:position w:val="6"/>
                <w:sz w:val="30"/>
                <w:szCs w:val="30"/>
                <w:lang w:val="es-ES_tradnl"/>
              </w:rPr>
            </w:pPr>
            <w:r w:rsidRPr="00AA22E2">
              <w:rPr>
                <w:rFonts w:eastAsia="Times New Roman" w:cs="Times New Roman"/>
                <w:b/>
                <w:bCs/>
                <w:color w:val="auto"/>
                <w:lang w:val="es-ES_tradnl"/>
              </w:rPr>
              <w:t>Segunda reunión – Ginebra, 13-15 de septiembre de 2017</w:t>
            </w:r>
          </w:p>
        </w:tc>
        <w:tc>
          <w:tcPr>
            <w:tcW w:w="3544" w:type="dxa"/>
            <w:vMerge/>
          </w:tcPr>
          <w:p w:rsidR="008D580D" w:rsidRPr="00AA22E2" w:rsidRDefault="008D580D" w:rsidP="006506AD">
            <w:pPr>
              <w:pStyle w:val="Normal1"/>
              <w:spacing w:before="0"/>
              <w:rPr>
                <w:noProof/>
                <w:lang w:val="es-ES_tradnl" w:eastAsia="zh-CN"/>
              </w:rPr>
            </w:pPr>
          </w:p>
        </w:tc>
      </w:tr>
      <w:tr w:rsidR="00BB3930" w:rsidRPr="00FE6178" w:rsidTr="006506AD">
        <w:tc>
          <w:tcPr>
            <w:tcW w:w="6487" w:type="dxa"/>
            <w:tcBorders>
              <w:top w:val="single" w:sz="12" w:space="0" w:color="000000"/>
            </w:tcBorders>
          </w:tcPr>
          <w:p w:rsidR="00BB3930" w:rsidRPr="00AA22E2" w:rsidRDefault="00BB3930" w:rsidP="006506AD">
            <w:pPr>
              <w:pStyle w:val="Normal1"/>
              <w:spacing w:before="0"/>
              <w:rPr>
                <w:lang w:val="es-ES_tradnl"/>
              </w:rPr>
            </w:pPr>
          </w:p>
        </w:tc>
        <w:tc>
          <w:tcPr>
            <w:tcW w:w="3544" w:type="dxa"/>
            <w:tcBorders>
              <w:top w:val="single" w:sz="12" w:space="0" w:color="000000"/>
            </w:tcBorders>
          </w:tcPr>
          <w:p w:rsidR="00BB3930" w:rsidRPr="00AA22E2" w:rsidRDefault="00BB3930" w:rsidP="006506AD">
            <w:pPr>
              <w:pStyle w:val="Normal1"/>
              <w:spacing w:before="0"/>
              <w:rPr>
                <w:lang w:val="es-ES_tradnl"/>
              </w:rPr>
            </w:pPr>
          </w:p>
        </w:tc>
      </w:tr>
      <w:tr w:rsidR="00BB3930" w:rsidRPr="00AA22E2" w:rsidTr="006506AD">
        <w:trPr>
          <w:trHeight w:val="20"/>
        </w:trPr>
        <w:tc>
          <w:tcPr>
            <w:tcW w:w="6487" w:type="dxa"/>
            <w:vMerge w:val="restart"/>
          </w:tcPr>
          <w:p w:rsidR="00BB3930" w:rsidRPr="00AA22E2" w:rsidRDefault="00BB3930" w:rsidP="006506AD">
            <w:pPr>
              <w:pStyle w:val="Normal1"/>
              <w:tabs>
                <w:tab w:val="left" w:pos="851"/>
              </w:tabs>
              <w:spacing w:before="0"/>
              <w:rPr>
                <w:lang w:val="es-ES_tradnl"/>
              </w:rPr>
            </w:pPr>
          </w:p>
        </w:tc>
        <w:tc>
          <w:tcPr>
            <w:tcW w:w="3544" w:type="dxa"/>
          </w:tcPr>
          <w:p w:rsidR="00BB3930" w:rsidRPr="00AA22E2" w:rsidRDefault="002234B3" w:rsidP="008D580D">
            <w:pPr>
              <w:overflowPunct w:val="0"/>
              <w:autoSpaceDE w:val="0"/>
              <w:autoSpaceDN w:val="0"/>
              <w:adjustRightInd w:val="0"/>
              <w:spacing w:before="0"/>
              <w:textAlignment w:val="baseline"/>
              <w:rPr>
                <w:lang w:val="es-ES_tradnl"/>
              </w:rPr>
            </w:pPr>
            <w:r w:rsidRPr="00AA22E2">
              <w:rPr>
                <w:rFonts w:eastAsia="Times New Roman" w:cs="Times New Roman"/>
                <w:b/>
                <w:bCs/>
                <w:color w:val="auto"/>
                <w:szCs w:val="20"/>
                <w:lang w:val="es-ES_tradnl"/>
              </w:rPr>
              <w:t>Document</w:t>
            </w:r>
            <w:r w:rsidR="00605BFF" w:rsidRPr="00AA22E2">
              <w:rPr>
                <w:rFonts w:eastAsia="Times New Roman" w:cs="Times New Roman"/>
                <w:b/>
                <w:bCs/>
                <w:color w:val="auto"/>
                <w:szCs w:val="20"/>
                <w:lang w:val="es-ES_tradnl"/>
              </w:rPr>
              <w:t>o</w:t>
            </w:r>
            <w:r w:rsidRPr="00AA22E2">
              <w:rPr>
                <w:b/>
                <w:lang w:val="es-ES_tradnl"/>
              </w:rPr>
              <w:t xml:space="preserve"> </w:t>
            </w:r>
            <w:r w:rsidR="00927ED1" w:rsidRPr="00AA22E2">
              <w:rPr>
                <w:rFonts w:asciiTheme="minorHAnsi" w:hAnsiTheme="minorHAnsi" w:cs="Times New Roman Bold"/>
                <w:b/>
                <w:spacing w:val="-4"/>
                <w:lang w:val="es-ES_tradnl"/>
              </w:rPr>
              <w:t>EG-ITRs-2/</w:t>
            </w:r>
            <w:r w:rsidR="002612AB">
              <w:rPr>
                <w:rFonts w:asciiTheme="minorHAnsi" w:hAnsiTheme="minorHAnsi" w:cs="Times New Roman Bold"/>
                <w:b/>
                <w:spacing w:val="-4"/>
                <w:lang w:val="es-ES_tradnl"/>
              </w:rPr>
              <w:t>1</w:t>
            </w:r>
            <w:r w:rsidR="00927ED1" w:rsidRPr="00AA22E2">
              <w:rPr>
                <w:rFonts w:asciiTheme="minorHAnsi" w:hAnsiTheme="minorHAnsi" w:cs="Times New Roman Bold"/>
                <w:b/>
                <w:spacing w:val="-4"/>
                <w:lang w:val="es-ES_tradnl"/>
              </w:rPr>
              <w:t>2-</w:t>
            </w:r>
            <w:r w:rsidR="00605BFF" w:rsidRPr="00AA22E2">
              <w:rPr>
                <w:rFonts w:asciiTheme="minorHAnsi" w:hAnsiTheme="minorHAnsi" w:cs="Times New Roman Bold"/>
                <w:b/>
                <w:spacing w:val="-4"/>
                <w:lang w:val="es-ES_tradnl"/>
              </w:rPr>
              <w:t>S</w:t>
            </w:r>
          </w:p>
        </w:tc>
      </w:tr>
      <w:tr w:rsidR="00BB3930" w:rsidRPr="00AA22E2" w:rsidTr="006506AD">
        <w:trPr>
          <w:trHeight w:val="20"/>
        </w:trPr>
        <w:tc>
          <w:tcPr>
            <w:tcW w:w="6487" w:type="dxa"/>
            <w:vMerge/>
          </w:tcPr>
          <w:p w:rsidR="00BB3930" w:rsidRPr="00AA22E2" w:rsidRDefault="00BB3930" w:rsidP="006506AD">
            <w:pPr>
              <w:pStyle w:val="Normal1"/>
              <w:tabs>
                <w:tab w:val="left" w:pos="851"/>
              </w:tabs>
              <w:rPr>
                <w:lang w:val="es-ES_tradnl"/>
              </w:rPr>
            </w:pPr>
          </w:p>
        </w:tc>
        <w:tc>
          <w:tcPr>
            <w:tcW w:w="3544" w:type="dxa"/>
          </w:tcPr>
          <w:p w:rsidR="00BB3930" w:rsidRPr="00AA22E2" w:rsidRDefault="002612AB" w:rsidP="00605BFF">
            <w:pPr>
              <w:pStyle w:val="Normal1"/>
              <w:tabs>
                <w:tab w:val="left" w:pos="993"/>
              </w:tabs>
              <w:spacing w:before="0"/>
              <w:rPr>
                <w:lang w:val="es-ES_tradnl"/>
              </w:rPr>
            </w:pPr>
            <w:r>
              <w:rPr>
                <w:b/>
                <w:lang w:val="es-ES_tradnl"/>
              </w:rPr>
              <w:t>30</w:t>
            </w:r>
            <w:r w:rsidR="00927ED1" w:rsidRPr="00AA22E2">
              <w:rPr>
                <w:b/>
                <w:lang w:val="es-ES_tradnl"/>
              </w:rPr>
              <w:t xml:space="preserve"> </w:t>
            </w:r>
            <w:r w:rsidR="00605BFF" w:rsidRPr="00AA22E2">
              <w:rPr>
                <w:b/>
                <w:lang w:val="es-ES_tradnl"/>
              </w:rPr>
              <w:t>de agosto de</w:t>
            </w:r>
            <w:r w:rsidR="00521FB0" w:rsidRPr="00AA22E2">
              <w:rPr>
                <w:b/>
                <w:lang w:val="es-ES_tradnl"/>
              </w:rPr>
              <w:t xml:space="preserve"> 2017</w:t>
            </w:r>
          </w:p>
        </w:tc>
      </w:tr>
      <w:tr w:rsidR="00BB3930" w:rsidRPr="00AA22E2" w:rsidTr="006506AD">
        <w:trPr>
          <w:trHeight w:val="20"/>
        </w:trPr>
        <w:tc>
          <w:tcPr>
            <w:tcW w:w="6487" w:type="dxa"/>
            <w:vMerge/>
          </w:tcPr>
          <w:p w:rsidR="00BB3930" w:rsidRPr="00AA22E2" w:rsidRDefault="00BB3930" w:rsidP="006506AD">
            <w:pPr>
              <w:pStyle w:val="Normal1"/>
              <w:tabs>
                <w:tab w:val="left" w:pos="851"/>
              </w:tabs>
              <w:rPr>
                <w:lang w:val="es-ES_tradnl"/>
              </w:rPr>
            </w:pPr>
          </w:p>
        </w:tc>
        <w:tc>
          <w:tcPr>
            <w:tcW w:w="3544" w:type="dxa"/>
          </w:tcPr>
          <w:p w:rsidR="00BB3930" w:rsidRPr="00AA22E2" w:rsidRDefault="002234B3" w:rsidP="002612AB">
            <w:pPr>
              <w:pStyle w:val="Normal1"/>
              <w:tabs>
                <w:tab w:val="left" w:pos="993"/>
              </w:tabs>
              <w:spacing w:before="0"/>
              <w:rPr>
                <w:lang w:val="es-ES_tradnl"/>
              </w:rPr>
            </w:pPr>
            <w:r w:rsidRPr="00AA22E2">
              <w:rPr>
                <w:b/>
                <w:lang w:val="es-ES_tradnl"/>
              </w:rPr>
              <w:t xml:space="preserve">Original: </w:t>
            </w:r>
            <w:r w:rsidR="00FE6178">
              <w:rPr>
                <w:b/>
                <w:lang w:val="es-ES_tradnl"/>
              </w:rPr>
              <w:t>e</w:t>
            </w:r>
            <w:r w:rsidR="002612AB">
              <w:rPr>
                <w:b/>
                <w:lang w:val="es-ES_tradnl"/>
              </w:rPr>
              <w:t>spañol</w:t>
            </w:r>
            <w:r w:rsidR="00BB3930" w:rsidRPr="00AA22E2">
              <w:rPr>
                <w:b/>
                <w:lang w:val="es-ES_tradnl"/>
              </w:rPr>
              <w:t xml:space="preserve"> </w:t>
            </w:r>
          </w:p>
        </w:tc>
      </w:tr>
      <w:tr w:rsidR="00BB3930" w:rsidRPr="00FE6178" w:rsidTr="006506AD">
        <w:trPr>
          <w:trHeight w:val="20"/>
        </w:trPr>
        <w:tc>
          <w:tcPr>
            <w:tcW w:w="10031" w:type="dxa"/>
            <w:gridSpan w:val="2"/>
          </w:tcPr>
          <w:p w:rsidR="00BB3930" w:rsidRPr="00AA22E2" w:rsidRDefault="002612AB" w:rsidP="008D580D">
            <w:pPr>
              <w:pStyle w:val="Source"/>
              <w:rPr>
                <w:lang w:val="es-ES_tradnl"/>
              </w:rPr>
            </w:pPr>
            <w:bookmarkStart w:id="1" w:name="_GoBack"/>
            <w:r w:rsidRPr="002612AB">
              <w:rPr>
                <w:lang w:val="es-ES_tradnl"/>
              </w:rPr>
              <w:t>Contribución de la República Bolivariana de Venezuela</w:t>
            </w:r>
            <w:bookmarkEnd w:id="1"/>
          </w:p>
        </w:tc>
      </w:tr>
      <w:tr w:rsidR="00BB3930" w:rsidRPr="00FE6178" w:rsidTr="006506AD">
        <w:trPr>
          <w:trHeight w:val="20"/>
        </w:trPr>
        <w:tc>
          <w:tcPr>
            <w:tcW w:w="10031" w:type="dxa"/>
            <w:gridSpan w:val="2"/>
          </w:tcPr>
          <w:p w:rsidR="00BB3930" w:rsidRPr="00AA22E2" w:rsidRDefault="00605BFF" w:rsidP="0011574E">
            <w:pPr>
              <w:pStyle w:val="Title1"/>
              <w:overflowPunct w:val="0"/>
              <w:autoSpaceDE w:val="0"/>
              <w:autoSpaceDN w:val="0"/>
              <w:adjustRightInd w:val="0"/>
              <w:textAlignment w:val="baseline"/>
              <w:rPr>
                <w:rFonts w:ascii="Calibri" w:eastAsia="Times New Roman" w:hAnsi="Calibri"/>
                <w:caps/>
                <w:color w:val="auto"/>
                <w:szCs w:val="20"/>
                <w:lang w:val="es-ES_tradnl"/>
              </w:rPr>
            </w:pPr>
            <w:r w:rsidRPr="00AA22E2">
              <w:rPr>
                <w:rFonts w:ascii="Calibri" w:eastAsia="Times New Roman" w:hAnsi="Calibri"/>
                <w:caps/>
                <w:color w:val="auto"/>
                <w:szCs w:val="20"/>
                <w:lang w:val="es-ES_tradnl"/>
              </w:rPr>
              <w:t xml:space="preserve">EXAMEN DEL REGLAMENTO </w:t>
            </w:r>
            <w:r w:rsidR="0011574E">
              <w:rPr>
                <w:rFonts w:ascii="Calibri" w:eastAsia="Times New Roman" w:hAnsi="Calibri"/>
                <w:caps/>
                <w:color w:val="auto"/>
                <w:szCs w:val="20"/>
                <w:lang w:val="es-ES_tradnl"/>
              </w:rPr>
              <w:br/>
            </w:r>
            <w:r w:rsidRPr="00AA22E2">
              <w:rPr>
                <w:rFonts w:ascii="Calibri" w:eastAsia="Times New Roman" w:hAnsi="Calibri"/>
                <w:caps/>
                <w:color w:val="auto"/>
                <w:szCs w:val="20"/>
                <w:lang w:val="es-ES_tradnl"/>
              </w:rPr>
              <w:t>DE LAS TELECOMUNICACIONES INTERNACIONALES</w:t>
            </w:r>
          </w:p>
        </w:tc>
      </w:tr>
      <w:tr w:rsidR="00684664" w:rsidRPr="00FE6178" w:rsidTr="006506AD">
        <w:trPr>
          <w:trHeight w:val="20"/>
        </w:trPr>
        <w:tc>
          <w:tcPr>
            <w:tcW w:w="10031" w:type="dxa"/>
            <w:gridSpan w:val="2"/>
          </w:tcPr>
          <w:p w:rsidR="00684664" w:rsidRPr="00AA22E2" w:rsidRDefault="00684664" w:rsidP="00413190">
            <w:pPr>
              <w:pStyle w:val="Title1"/>
              <w:overflowPunct w:val="0"/>
              <w:autoSpaceDE w:val="0"/>
              <w:autoSpaceDN w:val="0"/>
              <w:adjustRightInd w:val="0"/>
              <w:spacing w:before="0"/>
              <w:textAlignment w:val="baseline"/>
              <w:rPr>
                <w:rFonts w:ascii="Calibri" w:eastAsia="Times New Roman" w:hAnsi="Calibri"/>
                <w:caps/>
                <w:color w:val="auto"/>
                <w:szCs w:val="20"/>
                <w:lang w:val="es-ES_tradnl"/>
              </w:rPr>
            </w:pPr>
          </w:p>
        </w:tc>
      </w:tr>
    </w:tbl>
    <w:p w:rsidR="00BB3930" w:rsidRPr="002612AB" w:rsidRDefault="00605BFF" w:rsidP="002612AB">
      <w:pPr>
        <w:pStyle w:val="Headingb"/>
        <w:keepNext w:val="0"/>
        <w:tabs>
          <w:tab w:val="clear" w:pos="567"/>
          <w:tab w:val="clear" w:pos="1134"/>
          <w:tab w:val="clear" w:pos="1701"/>
          <w:tab w:val="clear" w:pos="2268"/>
          <w:tab w:val="clear" w:pos="2835"/>
        </w:tabs>
        <w:snapToGrid w:val="0"/>
        <w:spacing w:before="240" w:after="120"/>
        <w:rPr>
          <w:rFonts w:asciiTheme="minorHAnsi" w:hAnsiTheme="minorHAnsi"/>
          <w:lang w:val="es-ES_tradnl"/>
        </w:rPr>
      </w:pPr>
      <w:bookmarkStart w:id="2" w:name="h.erbxq0yh2qlt" w:colFirst="0" w:colLast="0"/>
      <w:bookmarkEnd w:id="2"/>
      <w:r w:rsidRPr="002612AB">
        <w:rPr>
          <w:rFonts w:asciiTheme="minorHAnsi" w:hAnsiTheme="minorHAnsi"/>
          <w:lang w:val="es-ES_tradnl"/>
        </w:rPr>
        <w:t>Introducción</w:t>
      </w:r>
    </w:p>
    <w:p w:rsidR="002612AB" w:rsidRPr="002612AB" w:rsidRDefault="002612AB" w:rsidP="002612AB">
      <w:pPr>
        <w:pStyle w:val="Standard"/>
        <w:suppressAutoHyphens w:val="0"/>
        <w:adjustRightInd w:val="0"/>
        <w:snapToGrid w:val="0"/>
        <w:spacing w:before="240" w:after="120"/>
        <w:jc w:val="both"/>
        <w:rPr>
          <w:rFonts w:asciiTheme="minorHAnsi" w:hAnsiTheme="minorHAnsi"/>
        </w:rPr>
      </w:pPr>
      <w:r w:rsidRPr="002612AB">
        <w:rPr>
          <w:rFonts w:asciiTheme="minorHAnsi" w:hAnsiTheme="minorHAnsi"/>
        </w:rPr>
        <w:t>El Reglamento de Telecomunicaciones Internacional (RTI) debe fungir como un instrumento que fomente el avance de los servicios de telecomunicaciones a nivel global, en el cual se establezcan lineamientos que permitan que los Estados miembros y las empresas de explotación autorizadas, logren intercambios de manera óptima, respetando el derecho soberano de cada país a reglamentar sus telecomunicaciones. De esta manera, el reglamento debe abarcar el comportamiento actual de los mercados de telecomunicaciones a nivel mundial, previendo la evolución y la competitividad de dichos mercados y el entorno de las telecomunicaciones internacionales dinámico y cambiante.</w:t>
      </w:r>
    </w:p>
    <w:p w:rsidR="002612AB" w:rsidRPr="002612AB" w:rsidRDefault="002612AB" w:rsidP="002612AB">
      <w:pPr>
        <w:pStyle w:val="Standard"/>
        <w:suppressAutoHyphens w:val="0"/>
        <w:adjustRightInd w:val="0"/>
        <w:snapToGrid w:val="0"/>
        <w:spacing w:before="120" w:after="120"/>
        <w:jc w:val="both"/>
        <w:rPr>
          <w:rFonts w:asciiTheme="minorHAnsi" w:hAnsiTheme="minorHAnsi"/>
        </w:rPr>
      </w:pPr>
      <w:r w:rsidRPr="002612AB">
        <w:rPr>
          <w:rFonts w:asciiTheme="minorHAnsi" w:hAnsiTheme="minorHAnsi"/>
        </w:rPr>
        <w:t>En estos momentos los servicios de telecomunicaciones están en un claro ciclo convergente, los avances tecnológicos han redundado en una mayor utilización de infraestructuras de telecomunicaciones, lo que ofrece oportunidades y plantea desafíos en el sector. A medida que la tecnología evoluciona, los Estados evalúan sus políticas y enfoques de reglamentación, a fin de crear un entorno más propicio para su desarrollo.</w:t>
      </w:r>
    </w:p>
    <w:p w:rsidR="002612AB" w:rsidRPr="002612AB" w:rsidRDefault="002612AB" w:rsidP="002612AB">
      <w:pPr>
        <w:pStyle w:val="Standard"/>
        <w:suppressAutoHyphens w:val="0"/>
        <w:adjustRightInd w:val="0"/>
        <w:snapToGrid w:val="0"/>
        <w:spacing w:before="360" w:after="120"/>
        <w:jc w:val="both"/>
        <w:rPr>
          <w:rFonts w:asciiTheme="minorHAnsi" w:hAnsiTheme="minorHAnsi"/>
          <w:b/>
          <w:bCs/>
        </w:rPr>
      </w:pPr>
      <w:r w:rsidRPr="002612AB">
        <w:rPr>
          <w:rFonts w:asciiTheme="minorHAnsi" w:hAnsiTheme="minorHAnsi"/>
          <w:b/>
          <w:bCs/>
        </w:rPr>
        <w:t>Posición de Venezuela con respecto al RTI 2012</w:t>
      </w:r>
    </w:p>
    <w:p w:rsidR="002612AB" w:rsidRPr="002612AB" w:rsidRDefault="002612AB" w:rsidP="002612AB">
      <w:pPr>
        <w:pStyle w:val="Standard"/>
        <w:suppressAutoHyphens w:val="0"/>
        <w:adjustRightInd w:val="0"/>
        <w:snapToGrid w:val="0"/>
        <w:spacing w:before="120" w:after="120"/>
        <w:jc w:val="both"/>
        <w:rPr>
          <w:rFonts w:asciiTheme="minorHAnsi" w:hAnsiTheme="minorHAnsi"/>
        </w:rPr>
      </w:pPr>
      <w:r w:rsidRPr="002612AB">
        <w:rPr>
          <w:rFonts w:asciiTheme="minorHAnsi" w:hAnsiTheme="minorHAnsi"/>
        </w:rPr>
        <w:t>Con base a lo establecido en nuestro ordenamiento jurídico interno: La Constitución de la República Bolivariana de Venezuela (CRBV); la Ley Orgánica de Telecomunicaciones (LOTEL); Reglamentos, Providencias y demás normativas legales, Venezuela considera que no existen contradicciones con los lineamientos del Reglamento de Telecomunicaciones Internacional (RTI) de 1988 y 2012, siendo este último una ampliación del anterior.</w:t>
      </w:r>
    </w:p>
    <w:p w:rsidR="002612AB" w:rsidRPr="002612AB" w:rsidRDefault="002612AB" w:rsidP="002612AB">
      <w:pPr>
        <w:pStyle w:val="Standard"/>
        <w:suppressAutoHyphens w:val="0"/>
        <w:adjustRightInd w:val="0"/>
        <w:snapToGrid w:val="0"/>
        <w:spacing w:before="120" w:after="120"/>
        <w:jc w:val="both"/>
        <w:rPr>
          <w:rFonts w:asciiTheme="minorHAnsi" w:hAnsiTheme="minorHAnsi"/>
        </w:rPr>
      </w:pPr>
      <w:r w:rsidRPr="002612AB">
        <w:rPr>
          <w:rFonts w:asciiTheme="minorHAnsi" w:hAnsiTheme="minorHAnsi"/>
        </w:rPr>
        <w:t xml:space="preserve">La República Bolivariana de Venezuela recomienda la </w:t>
      </w:r>
      <w:r w:rsidRPr="002612AB">
        <w:rPr>
          <w:rFonts w:asciiTheme="minorHAnsi" w:hAnsiTheme="minorHAnsi"/>
          <w:color w:val="000000"/>
        </w:rPr>
        <w:t xml:space="preserve">revisión </w:t>
      </w:r>
      <w:r w:rsidRPr="002612AB">
        <w:rPr>
          <w:rFonts w:asciiTheme="minorHAnsi" w:hAnsiTheme="minorHAnsi"/>
        </w:rPr>
        <w:t>del RTI 2012 de cara a la venidera Conferencia de Plenipotenciarios (PP) 2018, adelantando los trabajos para una, eventual Conferencia Mundial de Telecomunicaciones Internacional (CMTI), que con base al Artículo 25 de la Constitución de la Unión, sería el espacio natural para su modificación y aprobación.</w:t>
      </w:r>
    </w:p>
    <w:p w:rsidR="002612AB" w:rsidRPr="002612AB" w:rsidRDefault="002612AB" w:rsidP="002612AB">
      <w:pPr>
        <w:pStyle w:val="Standard"/>
        <w:keepNext/>
        <w:keepLines/>
        <w:suppressAutoHyphens w:val="0"/>
        <w:adjustRightInd w:val="0"/>
        <w:snapToGrid w:val="0"/>
        <w:spacing w:before="120" w:after="120"/>
        <w:jc w:val="both"/>
        <w:rPr>
          <w:rFonts w:asciiTheme="minorHAnsi" w:hAnsiTheme="minorHAnsi"/>
        </w:rPr>
      </w:pPr>
      <w:r w:rsidRPr="002612AB">
        <w:rPr>
          <w:rFonts w:asciiTheme="minorHAnsi" w:hAnsiTheme="minorHAnsi"/>
          <w:b/>
          <w:bCs/>
        </w:rPr>
        <w:lastRenderedPageBreak/>
        <w:t>Propuesta de la República Bolivariana de Venezuela</w:t>
      </w:r>
    </w:p>
    <w:p w:rsidR="002612AB" w:rsidRPr="002612AB" w:rsidRDefault="002612AB" w:rsidP="002612AB">
      <w:pPr>
        <w:pStyle w:val="Standard"/>
        <w:keepNext/>
        <w:keepLines/>
        <w:suppressAutoHyphens w:val="0"/>
        <w:adjustRightInd w:val="0"/>
        <w:snapToGrid w:val="0"/>
        <w:spacing w:before="120" w:after="120"/>
        <w:jc w:val="both"/>
        <w:rPr>
          <w:rFonts w:asciiTheme="minorHAnsi" w:hAnsiTheme="minorHAnsi"/>
        </w:rPr>
      </w:pPr>
      <w:r w:rsidRPr="002612AB">
        <w:rPr>
          <w:rFonts w:asciiTheme="minorHAnsi" w:hAnsiTheme="minorHAnsi"/>
        </w:rPr>
        <w:t>Considerando lo establecido en la Resolución 1379 del Consejo 2016, específicamente en el Anexo 1, el cual contempla el mandato del Grupo de Expertos del RTI acerca del examen del reglamento, en consonancia con lo expresado en el mismo manifestamos que dicho examen debe incluir lo siguiente:</w:t>
      </w:r>
    </w:p>
    <w:p w:rsidR="002612AB" w:rsidRPr="002612AB" w:rsidRDefault="002612AB" w:rsidP="002612AB">
      <w:pPr>
        <w:pStyle w:val="Standard"/>
        <w:suppressAutoHyphens w:val="0"/>
        <w:adjustRightInd w:val="0"/>
        <w:snapToGrid w:val="0"/>
        <w:spacing w:before="240" w:after="120"/>
        <w:jc w:val="both"/>
        <w:rPr>
          <w:rFonts w:asciiTheme="minorHAnsi" w:hAnsiTheme="minorHAnsi"/>
        </w:rPr>
      </w:pPr>
      <w:r w:rsidRPr="002612AB">
        <w:rPr>
          <w:rFonts w:asciiTheme="minorHAnsi" w:hAnsiTheme="minorHAnsi"/>
        </w:rPr>
        <w:t>a) “</w:t>
      </w:r>
      <w:r w:rsidRPr="002612AB">
        <w:rPr>
          <w:rFonts w:asciiTheme="minorHAnsi" w:hAnsiTheme="minorHAnsi"/>
          <w:i/>
          <w:iCs/>
        </w:rPr>
        <w:t>un examen del RTI 2012 para determinar su aplicabilidad en un entorno de telecomunicaciones internacionales que evoluciona con rapidez teniendo en cuenta la tecnología, los servicios y las obligaciones jurídicas existentes de carácter multilateral e internacional así como los cambios en el alcance de los regímenes reglamentarios nacionales</w:t>
      </w:r>
      <w:r w:rsidRPr="002612AB">
        <w:rPr>
          <w:rFonts w:asciiTheme="minorHAnsi" w:hAnsiTheme="minorHAnsi"/>
        </w:rPr>
        <w:t>”</w:t>
      </w:r>
    </w:p>
    <w:p w:rsidR="002612AB" w:rsidRPr="002612AB" w:rsidRDefault="002612AB" w:rsidP="002612AB">
      <w:pPr>
        <w:pStyle w:val="Standard"/>
        <w:suppressAutoHyphens w:val="0"/>
        <w:adjustRightInd w:val="0"/>
        <w:snapToGrid w:val="0"/>
        <w:spacing w:before="120" w:after="120"/>
        <w:jc w:val="both"/>
        <w:rPr>
          <w:rFonts w:asciiTheme="minorHAnsi" w:hAnsiTheme="minorHAnsi"/>
        </w:rPr>
      </w:pPr>
      <w:r w:rsidRPr="002612AB">
        <w:rPr>
          <w:rFonts w:asciiTheme="minorHAnsi" w:hAnsiTheme="minorHAnsi"/>
        </w:rPr>
        <w:t xml:space="preserve">Los Estados Miembros deben definir una posición unificada en relación a la aplicabilidad y efectividad del Reglamento, a la luz de la dinámica actual y con base en la máxima del Derecho Internacional Público: Pacta </w:t>
      </w:r>
      <w:proofErr w:type="spellStart"/>
      <w:r w:rsidRPr="002612AB">
        <w:rPr>
          <w:rFonts w:asciiTheme="minorHAnsi" w:hAnsiTheme="minorHAnsi"/>
        </w:rPr>
        <w:t>Sunt</w:t>
      </w:r>
      <w:proofErr w:type="spellEnd"/>
      <w:r w:rsidRPr="002612AB">
        <w:rPr>
          <w:rFonts w:asciiTheme="minorHAnsi" w:hAnsiTheme="minorHAnsi"/>
        </w:rPr>
        <w:t xml:space="preserve"> </w:t>
      </w:r>
      <w:proofErr w:type="spellStart"/>
      <w:r w:rsidRPr="002612AB">
        <w:rPr>
          <w:rFonts w:asciiTheme="minorHAnsi" w:hAnsiTheme="minorHAnsi"/>
        </w:rPr>
        <w:t>Servanda</w:t>
      </w:r>
      <w:proofErr w:type="spellEnd"/>
      <w:r w:rsidRPr="002612AB">
        <w:rPr>
          <w:rFonts w:asciiTheme="minorHAnsi" w:hAnsiTheme="minorHAnsi"/>
        </w:rPr>
        <w:t>, cumplimiento de Buena Fe los compromisos adquiridos por parte de los Estados en la esfera internacional. En este sentido, se estima que en tanto no se logre ese consenso, la realización de una nueva CMTI no tendrá la eficacia esperada, lo cual pondrá en entredicho la credibilidad de la Unión. Asimismo, es necesario que cualquier revisión del Reglamento considere las diferencias existentes entre los Estados y los distintos niveles de desarrollo técnicos, legales y económicos de los mismos.</w:t>
      </w:r>
    </w:p>
    <w:p w:rsidR="002612AB" w:rsidRPr="002612AB" w:rsidRDefault="002612AB" w:rsidP="002612AB">
      <w:pPr>
        <w:pStyle w:val="Standard"/>
        <w:suppressAutoHyphens w:val="0"/>
        <w:adjustRightInd w:val="0"/>
        <w:snapToGrid w:val="0"/>
        <w:spacing w:before="240" w:after="120"/>
        <w:jc w:val="both"/>
        <w:rPr>
          <w:rFonts w:asciiTheme="minorHAnsi" w:hAnsiTheme="minorHAnsi"/>
        </w:rPr>
      </w:pPr>
      <w:r w:rsidRPr="002612AB">
        <w:rPr>
          <w:rFonts w:asciiTheme="minorHAnsi" w:hAnsiTheme="minorHAnsi"/>
        </w:rPr>
        <w:t>b) “</w:t>
      </w:r>
      <w:r w:rsidRPr="002612AB">
        <w:rPr>
          <w:rFonts w:asciiTheme="minorHAnsi" w:hAnsiTheme="minorHAnsi"/>
          <w:i/>
          <w:iCs/>
        </w:rPr>
        <w:t>Los análisis jurídicos del RTI 2012”</w:t>
      </w:r>
    </w:p>
    <w:p w:rsidR="002612AB" w:rsidRPr="002612AB" w:rsidRDefault="002612AB" w:rsidP="002612AB">
      <w:pPr>
        <w:pStyle w:val="Standard"/>
        <w:suppressAutoHyphens w:val="0"/>
        <w:adjustRightInd w:val="0"/>
        <w:snapToGrid w:val="0"/>
        <w:spacing w:before="120" w:after="120"/>
        <w:jc w:val="both"/>
        <w:rPr>
          <w:rFonts w:asciiTheme="minorHAnsi" w:hAnsiTheme="minorHAnsi"/>
        </w:rPr>
      </w:pPr>
      <w:r w:rsidRPr="002612AB">
        <w:rPr>
          <w:rFonts w:asciiTheme="minorHAnsi" w:hAnsiTheme="minorHAnsi"/>
        </w:rPr>
        <w:t xml:space="preserve">En cuanto al análisis jurídico, se estima que fue importante la introducción en el Reglamento del 2012, de los siguientes aspectos: custodia de los recursos de numeración de telecomunicaciones internacionales, identificación de la línea llamante internacional (CLI) y del intercambio de tráfico a través de la conectividad y reducción del costo de la interconexión internacional. Así como también, en el articulado sobre “Servicio Internacional de Telecomunicaciones” párrafos referentes a la </w:t>
      </w:r>
      <w:proofErr w:type="spellStart"/>
      <w:r w:rsidRPr="002612AB">
        <w:rPr>
          <w:rFonts w:asciiTheme="minorHAnsi" w:hAnsiTheme="minorHAnsi"/>
        </w:rPr>
        <w:t>itinerancia</w:t>
      </w:r>
      <w:proofErr w:type="spellEnd"/>
      <w:r w:rsidRPr="002612AB">
        <w:rPr>
          <w:rFonts w:asciiTheme="minorHAnsi" w:hAnsiTheme="minorHAnsi"/>
        </w:rPr>
        <w:t xml:space="preserve"> internacional, los servicios, tarifas, gastos y precios competitivos. No obstante, es necesario facilitar el examen periódico del Reglamento a fin de adaptarlo a las nuevas necesidades de la sociedad en el ámbito de las telecomunicaciones, tales como: nuevas tendencias en telefonía (</w:t>
      </w:r>
      <w:proofErr w:type="spellStart"/>
      <w:r w:rsidRPr="002612AB">
        <w:rPr>
          <w:rFonts w:asciiTheme="minorHAnsi" w:hAnsiTheme="minorHAnsi"/>
        </w:rPr>
        <w:t>VoIp</w:t>
      </w:r>
      <w:proofErr w:type="spellEnd"/>
      <w:r w:rsidRPr="002612AB">
        <w:rPr>
          <w:rFonts w:asciiTheme="minorHAnsi" w:hAnsiTheme="minorHAnsi"/>
        </w:rPr>
        <w:t xml:space="preserve">, telefonía IP), servicios </w:t>
      </w:r>
      <w:proofErr w:type="spellStart"/>
      <w:r w:rsidRPr="002612AB">
        <w:rPr>
          <w:rFonts w:asciiTheme="minorHAnsi" w:hAnsiTheme="minorHAnsi"/>
        </w:rPr>
        <w:t>Over</w:t>
      </w:r>
      <w:proofErr w:type="spellEnd"/>
      <w:r w:rsidRPr="002612AB">
        <w:rPr>
          <w:rFonts w:asciiTheme="minorHAnsi" w:hAnsiTheme="minorHAnsi"/>
        </w:rPr>
        <w:t xml:space="preserve"> the Top (OTT), Internet de las cosas (</w:t>
      </w:r>
      <w:proofErr w:type="spellStart"/>
      <w:r w:rsidRPr="002612AB">
        <w:rPr>
          <w:rFonts w:asciiTheme="minorHAnsi" w:hAnsiTheme="minorHAnsi"/>
        </w:rPr>
        <w:t>IoT</w:t>
      </w:r>
      <w:proofErr w:type="spellEnd"/>
      <w:r w:rsidRPr="002612AB">
        <w:rPr>
          <w:rFonts w:asciiTheme="minorHAnsi" w:hAnsiTheme="minorHAnsi"/>
        </w:rPr>
        <w:t>), entre otros.</w:t>
      </w:r>
    </w:p>
    <w:p w:rsidR="002612AB" w:rsidRPr="002612AB" w:rsidRDefault="002612AB" w:rsidP="002612AB">
      <w:pPr>
        <w:pStyle w:val="Standard"/>
        <w:suppressAutoHyphens w:val="0"/>
        <w:adjustRightInd w:val="0"/>
        <w:snapToGrid w:val="0"/>
        <w:spacing w:before="240" w:after="120"/>
        <w:jc w:val="both"/>
        <w:rPr>
          <w:rFonts w:asciiTheme="minorHAnsi" w:hAnsiTheme="minorHAnsi"/>
        </w:rPr>
      </w:pPr>
      <w:r w:rsidRPr="002612AB">
        <w:rPr>
          <w:rFonts w:asciiTheme="minorHAnsi" w:hAnsiTheme="minorHAnsi"/>
        </w:rPr>
        <w:t>c) “</w:t>
      </w:r>
      <w:r w:rsidRPr="002612AB">
        <w:rPr>
          <w:rFonts w:asciiTheme="minorHAnsi" w:hAnsiTheme="minorHAnsi"/>
          <w:i/>
          <w:iCs/>
        </w:rPr>
        <w:t>Los análisis de cualquier potencial conflicto entre las obligaciones de los firmantes del RTI 2012 y los firmantes del RTI 1988 en relación con la aplicación de las disposiciones de ambos reglamentos”.</w:t>
      </w:r>
    </w:p>
    <w:p w:rsidR="002612AB" w:rsidRPr="002612AB" w:rsidRDefault="002612AB" w:rsidP="002612AB">
      <w:pPr>
        <w:pStyle w:val="Standard"/>
        <w:suppressAutoHyphens w:val="0"/>
        <w:adjustRightInd w:val="0"/>
        <w:snapToGrid w:val="0"/>
        <w:spacing w:before="120" w:after="120"/>
        <w:jc w:val="both"/>
        <w:rPr>
          <w:rFonts w:asciiTheme="minorHAnsi" w:hAnsiTheme="minorHAnsi"/>
        </w:rPr>
      </w:pPr>
      <w:r w:rsidRPr="002612AB">
        <w:rPr>
          <w:rFonts w:asciiTheme="minorHAnsi" w:hAnsiTheme="minorHAnsi"/>
        </w:rPr>
        <w:t>El principal conflicto que encuentra el Reglamento en la actualidad, es su limitado efecto para los Estados Miembros, tomando en consideración que de 193 países, solo 8 han ratificado el Tratado de 2012 y para el resto de los 89 Estados que firmaron las Actas de la CMTI-2012 (104 países), sigue rigiendo el RTI de 1988, lo cual implica que de realizarse una nueva CMTI deberían analizarse ambos reglamentos, surgiendo mayores desafíos para lograr un documento consensuado.</w:t>
      </w:r>
    </w:p>
    <w:p w:rsidR="002612AB" w:rsidRPr="002612AB" w:rsidRDefault="002612AB" w:rsidP="002612AB">
      <w:pPr>
        <w:pStyle w:val="Standard"/>
        <w:suppressAutoHyphens w:val="0"/>
        <w:adjustRightInd w:val="0"/>
        <w:snapToGrid w:val="0"/>
        <w:spacing w:before="120" w:after="120"/>
        <w:jc w:val="both"/>
        <w:rPr>
          <w:rFonts w:asciiTheme="minorHAnsi" w:hAnsiTheme="minorHAnsi"/>
        </w:rPr>
      </w:pPr>
      <w:r w:rsidRPr="002612AB">
        <w:rPr>
          <w:rFonts w:asciiTheme="minorHAnsi" w:hAnsiTheme="minorHAnsi"/>
        </w:rPr>
        <w:t>En este sentido, la República Bolivariana de Venezuela recomienda un estudio continuado del Reglamento que traiga como consecuencia su actualización y apoya que desde el Consejo UIT se mantengan los trabajos a distancia para ir coordinando un documento base, que se pueda llevar a una posterior CMTI, una vez que sea convocada por la Conferencia de Plenipotenciarios de 2018 (PP-2018).</w:t>
      </w:r>
    </w:p>
    <w:p w:rsidR="003F1DAA" w:rsidRPr="002612AB" w:rsidRDefault="003F1DAA" w:rsidP="002612AB">
      <w:pPr>
        <w:tabs>
          <w:tab w:val="clear" w:pos="567"/>
          <w:tab w:val="clear" w:pos="1134"/>
          <w:tab w:val="clear" w:pos="1701"/>
          <w:tab w:val="clear" w:pos="2268"/>
          <w:tab w:val="clear" w:pos="2835"/>
        </w:tabs>
        <w:adjustRightInd w:val="0"/>
        <w:snapToGrid w:val="0"/>
        <w:spacing w:before="600"/>
        <w:jc w:val="center"/>
        <w:rPr>
          <w:rFonts w:asciiTheme="minorHAnsi" w:hAnsiTheme="minorHAnsi"/>
          <w:lang w:val="es-ES_tradnl"/>
        </w:rPr>
      </w:pPr>
      <w:r w:rsidRPr="002612AB">
        <w:rPr>
          <w:rFonts w:asciiTheme="minorHAnsi" w:hAnsiTheme="minorHAnsi"/>
          <w:lang w:val="es-ES_tradnl"/>
        </w:rPr>
        <w:t>______________</w:t>
      </w:r>
    </w:p>
    <w:sectPr w:rsidR="003F1DAA" w:rsidRPr="002612AB" w:rsidSect="00927ED1">
      <w:headerReference w:type="default" r:id="rId9"/>
      <w:footerReference w:type="first" r:id="rId10"/>
      <w:pgSz w:w="11907" w:h="16840" w:code="9"/>
      <w:pgMar w:top="1134" w:right="1440" w:bottom="851"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0ED" w:rsidRDefault="00C830ED" w:rsidP="002E7BF9">
      <w:pPr>
        <w:spacing w:before="0"/>
      </w:pPr>
      <w:r>
        <w:separator/>
      </w:r>
    </w:p>
  </w:endnote>
  <w:endnote w:type="continuationSeparator" w:id="0">
    <w:p w:rsidR="00C830ED" w:rsidRDefault="00C830ED" w:rsidP="002E7B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Droid Sans Fallback">
    <w:charset w:val="00"/>
    <w:family w:val="auto"/>
    <w:pitch w:val="variable"/>
  </w:font>
  <w:font w:name="FreeSans">
    <w:altName w:val="Arial"/>
    <w:charset w:val="00"/>
    <w:family w:val="swiss"/>
    <w:pitch w:val="default"/>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190" w:rsidRDefault="00413190" w:rsidP="00413190">
    <w:pPr>
      <w:spacing w:after="120"/>
      <w:jc w:val="center"/>
    </w:pPr>
    <w:r>
      <w:t xml:space="preserve">• </w:t>
    </w:r>
    <w:hyperlink r:id="rId1" w:history="1">
      <w:r w:rsidRPr="00413190">
        <w:rPr>
          <w:rStyle w:val="Hyperlink"/>
          <w:rFonts w:eastAsia="Times New Roman" w:cs="Times New Roman"/>
          <w:color w:val="0000FF"/>
          <w:szCs w:val="20"/>
          <w:lang w:val="fr-FR"/>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0ED" w:rsidRDefault="00C830ED" w:rsidP="002E7BF9">
      <w:pPr>
        <w:spacing w:before="0"/>
      </w:pPr>
      <w:r>
        <w:separator/>
      </w:r>
    </w:p>
  </w:footnote>
  <w:footnote w:type="continuationSeparator" w:id="0">
    <w:p w:rsidR="00C830ED" w:rsidRDefault="00C830ED" w:rsidP="002E7BF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imes New Roman" w:cs="Times New Roman"/>
        <w:color w:val="auto"/>
        <w:sz w:val="18"/>
        <w:szCs w:val="20"/>
        <w:lang w:val="fr-FR"/>
      </w:rPr>
      <w:id w:val="-828524872"/>
      <w:docPartObj>
        <w:docPartGallery w:val="Page Numbers (Top of Page)"/>
        <w:docPartUnique/>
      </w:docPartObj>
    </w:sdtPr>
    <w:sdtEndPr/>
    <w:sdtContent>
      <w:p w:rsidR="003C07A9" w:rsidRPr="003C07A9" w:rsidRDefault="003C07A9" w:rsidP="003C07A9">
        <w:pPr>
          <w:pStyle w:val="Header"/>
          <w:tabs>
            <w:tab w:val="clear" w:pos="4680"/>
            <w:tab w:val="clear" w:pos="9360"/>
            <w:tab w:val="left" w:pos="567"/>
            <w:tab w:val="left" w:pos="1134"/>
            <w:tab w:val="left" w:pos="1701"/>
            <w:tab w:val="left" w:pos="2268"/>
            <w:tab w:val="left" w:pos="2835"/>
          </w:tabs>
          <w:overflowPunct w:val="0"/>
          <w:autoSpaceDE w:val="0"/>
          <w:autoSpaceDN w:val="0"/>
          <w:adjustRightInd w:val="0"/>
          <w:jc w:val="center"/>
          <w:textAlignment w:val="baseline"/>
          <w:rPr>
            <w:rFonts w:eastAsia="Times New Roman" w:cs="Times New Roman"/>
            <w:color w:val="auto"/>
            <w:sz w:val="18"/>
            <w:szCs w:val="20"/>
            <w:lang w:val="fr-FR"/>
          </w:rPr>
        </w:pPr>
        <w:r w:rsidRPr="003C07A9">
          <w:rPr>
            <w:rFonts w:eastAsia="Times New Roman" w:cs="Times New Roman"/>
            <w:color w:val="auto"/>
            <w:sz w:val="18"/>
            <w:szCs w:val="20"/>
            <w:lang w:val="fr-FR"/>
          </w:rPr>
          <w:fldChar w:fldCharType="begin"/>
        </w:r>
        <w:r w:rsidRPr="003C07A9">
          <w:rPr>
            <w:rFonts w:eastAsia="Times New Roman" w:cs="Times New Roman"/>
            <w:color w:val="auto"/>
            <w:sz w:val="18"/>
            <w:szCs w:val="20"/>
            <w:lang w:val="fr-FR"/>
          </w:rPr>
          <w:instrText xml:space="preserve"> PAGE   \* MERGEFORMAT </w:instrText>
        </w:r>
        <w:r w:rsidRPr="003C07A9">
          <w:rPr>
            <w:rFonts w:eastAsia="Times New Roman" w:cs="Times New Roman"/>
            <w:color w:val="auto"/>
            <w:sz w:val="18"/>
            <w:szCs w:val="20"/>
            <w:lang w:val="fr-FR"/>
          </w:rPr>
          <w:fldChar w:fldCharType="separate"/>
        </w:r>
        <w:r w:rsidR="00FE6178">
          <w:rPr>
            <w:rFonts w:eastAsia="Times New Roman" w:cs="Times New Roman"/>
            <w:noProof/>
            <w:color w:val="auto"/>
            <w:sz w:val="18"/>
            <w:szCs w:val="20"/>
            <w:lang w:val="fr-FR"/>
          </w:rPr>
          <w:t>2</w:t>
        </w:r>
        <w:r w:rsidRPr="003C07A9">
          <w:rPr>
            <w:rFonts w:eastAsia="Times New Roman" w:cs="Times New Roman"/>
            <w:color w:val="auto"/>
            <w:sz w:val="18"/>
            <w:szCs w:val="20"/>
            <w:lang w:val="fr-FR"/>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DEF2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926B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688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9EB2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9400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503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449C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D6E0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C270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9EB1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4436F1"/>
    <w:multiLevelType w:val="multilevel"/>
    <w:tmpl w:val="B49A2D4C"/>
    <w:lvl w:ilvl="0">
      <w:start w:val="1"/>
      <w:numFmt w:val="decimal"/>
      <w:lvlText w:val="%1."/>
      <w:lvlJc w:val="left"/>
      <w:pPr>
        <w:ind w:left="360" w:hanging="360"/>
      </w:pPr>
      <w:rPr>
        <w:rFonts w:hint="default"/>
        <w:b/>
      </w:rPr>
    </w:lvl>
    <w:lvl w:ilvl="1">
      <w:start w:val="1"/>
      <w:numFmt w:val="decimal"/>
      <w:isLgl/>
      <w:lvlText w:val="%1.%2"/>
      <w:lvlJc w:val="left"/>
      <w:pPr>
        <w:ind w:left="480" w:hanging="360"/>
      </w:pPr>
      <w:rPr>
        <w:rFonts w:hint="default"/>
      </w:rPr>
    </w:lvl>
    <w:lvl w:ilvl="2">
      <w:start w:val="1"/>
      <w:numFmt w:val="decimal"/>
      <w:isLgl/>
      <w:lvlText w:val="%1.%2.%3"/>
      <w:lvlJc w:val="left"/>
      <w:pPr>
        <w:ind w:left="105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820" w:hanging="1440"/>
      </w:pPr>
      <w:rPr>
        <w:rFonts w:hint="default"/>
      </w:rPr>
    </w:lvl>
    <w:lvl w:ilvl="8">
      <w:start w:val="1"/>
      <w:numFmt w:val="decimal"/>
      <w:isLgl/>
      <w:lvlText w:val="%1.%2.%3.%4.%5.%6.%7.%8.%9"/>
      <w:lvlJc w:val="left"/>
      <w:pPr>
        <w:ind w:left="303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30"/>
    <w:rsid w:val="0000534C"/>
    <w:rsid w:val="000343B4"/>
    <w:rsid w:val="00046582"/>
    <w:rsid w:val="00046A88"/>
    <w:rsid w:val="00076C2A"/>
    <w:rsid w:val="00080D62"/>
    <w:rsid w:val="00087353"/>
    <w:rsid w:val="000A351D"/>
    <w:rsid w:val="000B155A"/>
    <w:rsid w:val="000B54EF"/>
    <w:rsid w:val="000C34C8"/>
    <w:rsid w:val="000C6904"/>
    <w:rsid w:val="000C6FBE"/>
    <w:rsid w:val="000E18D6"/>
    <w:rsid w:val="0010354D"/>
    <w:rsid w:val="00104F53"/>
    <w:rsid w:val="0011574E"/>
    <w:rsid w:val="00115892"/>
    <w:rsid w:val="001429FC"/>
    <w:rsid w:val="00150CDC"/>
    <w:rsid w:val="001636AA"/>
    <w:rsid w:val="001712DE"/>
    <w:rsid w:val="0019391C"/>
    <w:rsid w:val="00196100"/>
    <w:rsid w:val="001B26D7"/>
    <w:rsid w:val="001B369B"/>
    <w:rsid w:val="001C0870"/>
    <w:rsid w:val="001E1A9E"/>
    <w:rsid w:val="001E701C"/>
    <w:rsid w:val="001E78FC"/>
    <w:rsid w:val="001F1FFD"/>
    <w:rsid w:val="002034A3"/>
    <w:rsid w:val="002108E5"/>
    <w:rsid w:val="002234B3"/>
    <w:rsid w:val="00235650"/>
    <w:rsid w:val="0024054B"/>
    <w:rsid w:val="00241D13"/>
    <w:rsid w:val="00247B60"/>
    <w:rsid w:val="00251DFB"/>
    <w:rsid w:val="0025205F"/>
    <w:rsid w:val="002612AB"/>
    <w:rsid w:val="00274508"/>
    <w:rsid w:val="00281B54"/>
    <w:rsid w:val="00282208"/>
    <w:rsid w:val="002A025E"/>
    <w:rsid w:val="002A1F3C"/>
    <w:rsid w:val="002B18FE"/>
    <w:rsid w:val="002D2547"/>
    <w:rsid w:val="002D2D56"/>
    <w:rsid w:val="002E5B62"/>
    <w:rsid w:val="002E7BF9"/>
    <w:rsid w:val="00300570"/>
    <w:rsid w:val="003021A2"/>
    <w:rsid w:val="003132AA"/>
    <w:rsid w:val="0036088C"/>
    <w:rsid w:val="00366723"/>
    <w:rsid w:val="003827FC"/>
    <w:rsid w:val="00383072"/>
    <w:rsid w:val="0039031D"/>
    <w:rsid w:val="00395040"/>
    <w:rsid w:val="003A5503"/>
    <w:rsid w:val="003C07A9"/>
    <w:rsid w:val="003E0D27"/>
    <w:rsid w:val="003E4529"/>
    <w:rsid w:val="003F1DAA"/>
    <w:rsid w:val="00413190"/>
    <w:rsid w:val="004229B4"/>
    <w:rsid w:val="00451E58"/>
    <w:rsid w:val="00466AC2"/>
    <w:rsid w:val="00481076"/>
    <w:rsid w:val="004A1B89"/>
    <w:rsid w:val="004A6F4E"/>
    <w:rsid w:val="004B3EC5"/>
    <w:rsid w:val="004B7F55"/>
    <w:rsid w:val="004E1DA2"/>
    <w:rsid w:val="005046E5"/>
    <w:rsid w:val="005078F8"/>
    <w:rsid w:val="00521FB0"/>
    <w:rsid w:val="00525036"/>
    <w:rsid w:val="00551FEB"/>
    <w:rsid w:val="00561DFC"/>
    <w:rsid w:val="0056260D"/>
    <w:rsid w:val="00570A13"/>
    <w:rsid w:val="00572749"/>
    <w:rsid w:val="005829E7"/>
    <w:rsid w:val="005A07F0"/>
    <w:rsid w:val="005A1120"/>
    <w:rsid w:val="005C0FB0"/>
    <w:rsid w:val="005C578E"/>
    <w:rsid w:val="005D62FC"/>
    <w:rsid w:val="005E5B9D"/>
    <w:rsid w:val="00605BFF"/>
    <w:rsid w:val="00614D87"/>
    <w:rsid w:val="006255CB"/>
    <w:rsid w:val="00641F13"/>
    <w:rsid w:val="00663124"/>
    <w:rsid w:val="00667FFC"/>
    <w:rsid w:val="00684664"/>
    <w:rsid w:val="006960DF"/>
    <w:rsid w:val="006B49C5"/>
    <w:rsid w:val="006D14A3"/>
    <w:rsid w:val="006F6D44"/>
    <w:rsid w:val="00701D78"/>
    <w:rsid w:val="0070426D"/>
    <w:rsid w:val="00737AA6"/>
    <w:rsid w:val="007429A4"/>
    <w:rsid w:val="007446F9"/>
    <w:rsid w:val="00760079"/>
    <w:rsid w:val="00761711"/>
    <w:rsid w:val="00796594"/>
    <w:rsid w:val="007A3D80"/>
    <w:rsid w:val="007B4350"/>
    <w:rsid w:val="007C5C5F"/>
    <w:rsid w:val="007D341B"/>
    <w:rsid w:val="007D6980"/>
    <w:rsid w:val="007F257F"/>
    <w:rsid w:val="007F34D1"/>
    <w:rsid w:val="00803F51"/>
    <w:rsid w:val="0080584B"/>
    <w:rsid w:val="00811D16"/>
    <w:rsid w:val="008404AF"/>
    <w:rsid w:val="008500E7"/>
    <w:rsid w:val="00856317"/>
    <w:rsid w:val="008717A5"/>
    <w:rsid w:val="00893796"/>
    <w:rsid w:val="008A687C"/>
    <w:rsid w:val="008D580D"/>
    <w:rsid w:val="008D6D21"/>
    <w:rsid w:val="008E4276"/>
    <w:rsid w:val="00922651"/>
    <w:rsid w:val="00927ED1"/>
    <w:rsid w:val="00933C40"/>
    <w:rsid w:val="0093678B"/>
    <w:rsid w:val="00942C06"/>
    <w:rsid w:val="009518A6"/>
    <w:rsid w:val="0097127B"/>
    <w:rsid w:val="00973349"/>
    <w:rsid w:val="009765D0"/>
    <w:rsid w:val="00984B80"/>
    <w:rsid w:val="009B16BF"/>
    <w:rsid w:val="009B56AF"/>
    <w:rsid w:val="009C1A90"/>
    <w:rsid w:val="009F23A0"/>
    <w:rsid w:val="00A03A1F"/>
    <w:rsid w:val="00A0515A"/>
    <w:rsid w:val="00A1314E"/>
    <w:rsid w:val="00A3638E"/>
    <w:rsid w:val="00A42B3D"/>
    <w:rsid w:val="00A50D85"/>
    <w:rsid w:val="00A7020E"/>
    <w:rsid w:val="00A81FDB"/>
    <w:rsid w:val="00A94885"/>
    <w:rsid w:val="00A9679A"/>
    <w:rsid w:val="00AA22E2"/>
    <w:rsid w:val="00AA3AD1"/>
    <w:rsid w:val="00AB4BD2"/>
    <w:rsid w:val="00AD250E"/>
    <w:rsid w:val="00AD7001"/>
    <w:rsid w:val="00AE5D64"/>
    <w:rsid w:val="00B361FA"/>
    <w:rsid w:val="00B36E32"/>
    <w:rsid w:val="00B45D1F"/>
    <w:rsid w:val="00B47273"/>
    <w:rsid w:val="00B53486"/>
    <w:rsid w:val="00B61589"/>
    <w:rsid w:val="00B656F2"/>
    <w:rsid w:val="00B77345"/>
    <w:rsid w:val="00B93274"/>
    <w:rsid w:val="00B93439"/>
    <w:rsid w:val="00B937C1"/>
    <w:rsid w:val="00BA4380"/>
    <w:rsid w:val="00BB3930"/>
    <w:rsid w:val="00BC0654"/>
    <w:rsid w:val="00BE02A5"/>
    <w:rsid w:val="00C3791A"/>
    <w:rsid w:val="00C830ED"/>
    <w:rsid w:val="00CA3A6A"/>
    <w:rsid w:val="00CB1B0C"/>
    <w:rsid w:val="00CB7A02"/>
    <w:rsid w:val="00CC2994"/>
    <w:rsid w:val="00CC399F"/>
    <w:rsid w:val="00CE1B3E"/>
    <w:rsid w:val="00CF1234"/>
    <w:rsid w:val="00CF506B"/>
    <w:rsid w:val="00CF608F"/>
    <w:rsid w:val="00D206EA"/>
    <w:rsid w:val="00D30227"/>
    <w:rsid w:val="00D34171"/>
    <w:rsid w:val="00D40F3B"/>
    <w:rsid w:val="00D673D1"/>
    <w:rsid w:val="00D86D0A"/>
    <w:rsid w:val="00D92631"/>
    <w:rsid w:val="00D94CD9"/>
    <w:rsid w:val="00DA6032"/>
    <w:rsid w:val="00DB2C1C"/>
    <w:rsid w:val="00DD1913"/>
    <w:rsid w:val="00DD375E"/>
    <w:rsid w:val="00DD3D0C"/>
    <w:rsid w:val="00DE234E"/>
    <w:rsid w:val="00DE4452"/>
    <w:rsid w:val="00DF0D1C"/>
    <w:rsid w:val="00DF13EF"/>
    <w:rsid w:val="00DF6396"/>
    <w:rsid w:val="00DF6D14"/>
    <w:rsid w:val="00DF715D"/>
    <w:rsid w:val="00E2264B"/>
    <w:rsid w:val="00E22A4A"/>
    <w:rsid w:val="00E24FD0"/>
    <w:rsid w:val="00E32BAD"/>
    <w:rsid w:val="00E41D01"/>
    <w:rsid w:val="00EC58F3"/>
    <w:rsid w:val="00EF5662"/>
    <w:rsid w:val="00F168B9"/>
    <w:rsid w:val="00F24F3F"/>
    <w:rsid w:val="00F32231"/>
    <w:rsid w:val="00F33D15"/>
    <w:rsid w:val="00F44092"/>
    <w:rsid w:val="00F536E0"/>
    <w:rsid w:val="00F53E89"/>
    <w:rsid w:val="00F55F9D"/>
    <w:rsid w:val="00F63910"/>
    <w:rsid w:val="00F73ECE"/>
    <w:rsid w:val="00FB6951"/>
    <w:rsid w:val="00FC77F6"/>
    <w:rsid w:val="00FD1B0B"/>
    <w:rsid w:val="00FE61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FD867-893C-4632-9F1D-0FD3610A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3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rPr>
  </w:style>
  <w:style w:type="paragraph" w:styleId="Heading1">
    <w:name w:val="heading 1"/>
    <w:basedOn w:val="Normal"/>
    <w:next w:val="Normal"/>
    <w:link w:val="Heading1Char"/>
    <w:uiPriority w:val="9"/>
    <w:qFormat/>
    <w:rsid w:val="00DD1913"/>
    <w:pPr>
      <w:keepNext/>
      <w:keepLines/>
      <w:tabs>
        <w:tab w:val="clear" w:pos="567"/>
        <w:tab w:val="clear" w:pos="1134"/>
        <w:tab w:val="clear" w:pos="1701"/>
        <w:tab w:val="clear" w:pos="2268"/>
        <w:tab w:val="clear" w:pos="2835"/>
      </w:tabs>
      <w:spacing w:before="480" w:line="276" w:lineRule="auto"/>
      <w:outlineLvl w:val="0"/>
    </w:pPr>
    <w:rPr>
      <w:rFonts w:asciiTheme="majorHAnsi" w:eastAsiaTheme="majorEastAsia" w:hAnsiTheme="majorHAnsi" w:cstheme="majorBidi"/>
      <w:b/>
      <w:bCs/>
      <w:color w:val="2E74B5"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B393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rPr>
  </w:style>
  <w:style w:type="character" w:styleId="CommentReference">
    <w:name w:val="annotation reference"/>
    <w:basedOn w:val="DefaultParagraphFont"/>
    <w:uiPriority w:val="99"/>
    <w:semiHidden/>
    <w:unhideWhenUsed/>
    <w:rsid w:val="00BB3930"/>
    <w:rPr>
      <w:sz w:val="16"/>
      <w:szCs w:val="16"/>
    </w:rPr>
  </w:style>
  <w:style w:type="paragraph" w:styleId="CommentText">
    <w:name w:val="annotation text"/>
    <w:basedOn w:val="Normal"/>
    <w:link w:val="CommentTextChar"/>
    <w:uiPriority w:val="99"/>
    <w:semiHidden/>
    <w:unhideWhenUsed/>
    <w:rsid w:val="00BB3930"/>
    <w:rPr>
      <w:sz w:val="20"/>
      <w:szCs w:val="20"/>
    </w:rPr>
  </w:style>
  <w:style w:type="character" w:customStyle="1" w:styleId="CommentTextChar">
    <w:name w:val="Comment Text Char"/>
    <w:basedOn w:val="DefaultParagraphFont"/>
    <w:link w:val="CommentText"/>
    <w:uiPriority w:val="99"/>
    <w:semiHidden/>
    <w:rsid w:val="00BB3930"/>
    <w:rPr>
      <w:rFonts w:ascii="Calibri" w:eastAsia="Calibri" w:hAnsi="Calibri" w:cs="Calibri"/>
      <w:color w:val="000000"/>
      <w:sz w:val="20"/>
      <w:szCs w:val="20"/>
      <w:lang w:val="en-GB"/>
    </w:rPr>
  </w:style>
  <w:style w:type="paragraph" w:styleId="BalloonText">
    <w:name w:val="Balloon Text"/>
    <w:basedOn w:val="Normal"/>
    <w:link w:val="BalloonTextChar"/>
    <w:uiPriority w:val="99"/>
    <w:semiHidden/>
    <w:unhideWhenUsed/>
    <w:rsid w:val="00BB393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930"/>
    <w:rPr>
      <w:rFonts w:ascii="Segoe UI" w:eastAsia="Calibri" w:hAnsi="Segoe UI" w:cs="Segoe UI"/>
      <w:color w:val="000000"/>
      <w:sz w:val="18"/>
      <w:szCs w:val="18"/>
      <w:lang w:val="en-GB"/>
    </w:rPr>
  </w:style>
  <w:style w:type="paragraph" w:styleId="FootnoteText">
    <w:name w:val="footnote text"/>
    <w:basedOn w:val="Normal"/>
    <w:link w:val="FootnoteTextChar"/>
    <w:uiPriority w:val="99"/>
    <w:semiHidden/>
    <w:unhideWhenUsed/>
    <w:rsid w:val="002E7BF9"/>
    <w:pPr>
      <w:spacing w:before="0"/>
    </w:pPr>
    <w:rPr>
      <w:sz w:val="20"/>
      <w:szCs w:val="20"/>
    </w:rPr>
  </w:style>
  <w:style w:type="character" w:customStyle="1" w:styleId="FootnoteTextChar">
    <w:name w:val="Footnote Text Char"/>
    <w:basedOn w:val="DefaultParagraphFont"/>
    <w:link w:val="FootnoteText"/>
    <w:uiPriority w:val="99"/>
    <w:semiHidden/>
    <w:rsid w:val="002E7BF9"/>
    <w:rPr>
      <w:rFonts w:ascii="Calibri" w:eastAsia="Calibri" w:hAnsi="Calibri" w:cs="Calibri"/>
      <w:color w:val="000000"/>
      <w:sz w:val="20"/>
      <w:szCs w:val="20"/>
      <w:lang w:val="en-GB"/>
    </w:rPr>
  </w:style>
  <w:style w:type="character" w:styleId="FootnoteReference">
    <w:name w:val="footnote reference"/>
    <w:basedOn w:val="DefaultParagraphFont"/>
    <w:uiPriority w:val="99"/>
    <w:semiHidden/>
    <w:unhideWhenUsed/>
    <w:rsid w:val="002E7BF9"/>
    <w:rPr>
      <w:vertAlign w:val="superscript"/>
    </w:rPr>
  </w:style>
  <w:style w:type="paragraph" w:styleId="CommentSubject">
    <w:name w:val="annotation subject"/>
    <w:basedOn w:val="CommentText"/>
    <w:next w:val="CommentText"/>
    <w:link w:val="CommentSubjectChar"/>
    <w:uiPriority w:val="99"/>
    <w:semiHidden/>
    <w:unhideWhenUsed/>
    <w:rsid w:val="006960DF"/>
    <w:rPr>
      <w:b/>
      <w:bCs/>
    </w:rPr>
  </w:style>
  <w:style w:type="character" w:customStyle="1" w:styleId="CommentSubjectChar">
    <w:name w:val="Comment Subject Char"/>
    <w:basedOn w:val="CommentTextChar"/>
    <w:link w:val="CommentSubject"/>
    <w:uiPriority w:val="99"/>
    <w:semiHidden/>
    <w:rsid w:val="006960DF"/>
    <w:rPr>
      <w:rFonts w:ascii="Calibri" w:eastAsia="Calibri" w:hAnsi="Calibri" w:cs="Calibri"/>
      <w:b/>
      <w:bCs/>
      <w:color w:val="000000"/>
      <w:sz w:val="20"/>
      <w:szCs w:val="20"/>
      <w:lang w:val="en-GB"/>
    </w:rPr>
  </w:style>
  <w:style w:type="paragraph" w:styleId="Revision">
    <w:name w:val="Revision"/>
    <w:hidden/>
    <w:uiPriority w:val="99"/>
    <w:semiHidden/>
    <w:rsid w:val="000A351D"/>
    <w:pPr>
      <w:spacing w:after="0" w:line="240" w:lineRule="auto"/>
    </w:pPr>
    <w:rPr>
      <w:rFonts w:ascii="Calibri" w:eastAsia="Calibri" w:hAnsi="Calibri" w:cs="Calibri"/>
      <w:color w:val="000000"/>
      <w:sz w:val="24"/>
      <w:szCs w:val="24"/>
      <w:lang w:val="en-GB"/>
    </w:rPr>
  </w:style>
  <w:style w:type="character" w:customStyle="1" w:styleId="Heading1Char">
    <w:name w:val="Heading 1 Char"/>
    <w:basedOn w:val="DefaultParagraphFont"/>
    <w:link w:val="Heading1"/>
    <w:uiPriority w:val="9"/>
    <w:rsid w:val="00DD1913"/>
    <w:rPr>
      <w:rFonts w:asciiTheme="majorHAnsi" w:eastAsiaTheme="majorEastAsia" w:hAnsiTheme="majorHAnsi" w:cstheme="majorBidi"/>
      <w:b/>
      <w:bCs/>
      <w:color w:val="2E74B5" w:themeColor="accent1" w:themeShade="BF"/>
      <w:sz w:val="28"/>
      <w:szCs w:val="28"/>
      <w:lang w:eastAsia="ja-JP"/>
    </w:rPr>
  </w:style>
  <w:style w:type="paragraph" w:styleId="Header">
    <w:name w:val="header"/>
    <w:basedOn w:val="Normal"/>
    <w:link w:val="HeaderChar"/>
    <w:uiPriority w:val="99"/>
    <w:unhideWhenUsed/>
    <w:rsid w:val="00761711"/>
    <w:pPr>
      <w:tabs>
        <w:tab w:val="clear" w:pos="567"/>
        <w:tab w:val="clear" w:pos="1134"/>
        <w:tab w:val="clear" w:pos="1701"/>
        <w:tab w:val="clear" w:pos="2268"/>
        <w:tab w:val="clear" w:pos="2835"/>
        <w:tab w:val="center" w:pos="4680"/>
        <w:tab w:val="right" w:pos="9360"/>
      </w:tabs>
      <w:spacing w:before="0"/>
    </w:pPr>
  </w:style>
  <w:style w:type="character" w:customStyle="1" w:styleId="HeaderChar">
    <w:name w:val="Header Char"/>
    <w:basedOn w:val="DefaultParagraphFont"/>
    <w:link w:val="Header"/>
    <w:uiPriority w:val="99"/>
    <w:rsid w:val="00761711"/>
    <w:rPr>
      <w:rFonts w:ascii="Calibri" w:eastAsia="Calibri" w:hAnsi="Calibri" w:cs="Calibri"/>
      <w:color w:val="000000"/>
      <w:sz w:val="24"/>
      <w:szCs w:val="24"/>
      <w:lang w:val="en-GB"/>
    </w:rPr>
  </w:style>
  <w:style w:type="paragraph" w:styleId="Footer">
    <w:name w:val="footer"/>
    <w:basedOn w:val="Normal"/>
    <w:link w:val="FooterChar"/>
    <w:unhideWhenUsed/>
    <w:rsid w:val="00761711"/>
    <w:pPr>
      <w:tabs>
        <w:tab w:val="clear" w:pos="567"/>
        <w:tab w:val="clear" w:pos="1134"/>
        <w:tab w:val="clear" w:pos="1701"/>
        <w:tab w:val="clear" w:pos="2268"/>
        <w:tab w:val="clear" w:pos="2835"/>
        <w:tab w:val="center" w:pos="4680"/>
        <w:tab w:val="right" w:pos="9360"/>
      </w:tabs>
      <w:spacing w:before="0"/>
    </w:pPr>
  </w:style>
  <w:style w:type="character" w:customStyle="1" w:styleId="FooterChar">
    <w:name w:val="Footer Char"/>
    <w:basedOn w:val="DefaultParagraphFont"/>
    <w:link w:val="Footer"/>
    <w:uiPriority w:val="99"/>
    <w:rsid w:val="00761711"/>
    <w:rPr>
      <w:rFonts w:ascii="Calibri" w:eastAsia="Calibri" w:hAnsi="Calibri" w:cs="Calibri"/>
      <w:color w:val="000000"/>
      <w:sz w:val="24"/>
      <w:szCs w:val="24"/>
      <w:lang w:val="en-GB"/>
    </w:rPr>
  </w:style>
  <w:style w:type="paragraph" w:customStyle="1" w:styleId="Title1">
    <w:name w:val="Title 1"/>
    <w:basedOn w:val="Normal1"/>
    <w:rsid w:val="001C0870"/>
    <w:pPr>
      <w:spacing w:before="240"/>
      <w:jc w:val="center"/>
    </w:pPr>
    <w:rPr>
      <w:rFonts w:asciiTheme="minorHAnsi" w:hAnsiTheme="minorHAnsi" w:cs="Times New Roman"/>
      <w:sz w:val="28"/>
      <w:szCs w:val="28"/>
    </w:rPr>
  </w:style>
  <w:style w:type="character" w:styleId="Hyperlink">
    <w:name w:val="Hyperlink"/>
    <w:basedOn w:val="DefaultParagraphFont"/>
    <w:unhideWhenUsed/>
    <w:rsid w:val="001C0870"/>
    <w:rPr>
      <w:color w:val="0563C1" w:themeColor="hyperlink"/>
      <w:u w:val="single"/>
    </w:rPr>
  </w:style>
  <w:style w:type="character" w:styleId="FollowedHyperlink">
    <w:name w:val="FollowedHyperlink"/>
    <w:basedOn w:val="DefaultParagraphFont"/>
    <w:uiPriority w:val="99"/>
    <w:semiHidden/>
    <w:unhideWhenUsed/>
    <w:rsid w:val="001C0870"/>
    <w:rPr>
      <w:color w:val="954F72" w:themeColor="followedHyperlink"/>
      <w:u w:val="single"/>
    </w:rPr>
  </w:style>
  <w:style w:type="paragraph" w:customStyle="1" w:styleId="Source">
    <w:name w:val="Source"/>
    <w:basedOn w:val="Normal"/>
    <w:next w:val="Normal"/>
    <w:rsid w:val="008D580D"/>
    <w:pPr>
      <w:overflowPunct w:val="0"/>
      <w:autoSpaceDE w:val="0"/>
      <w:autoSpaceDN w:val="0"/>
      <w:adjustRightInd w:val="0"/>
      <w:spacing w:before="840" w:after="200"/>
      <w:jc w:val="center"/>
      <w:textAlignment w:val="baseline"/>
    </w:pPr>
    <w:rPr>
      <w:rFonts w:eastAsia="Times New Roman" w:cs="Times New Roman"/>
      <w:b/>
      <w:color w:val="auto"/>
      <w:sz w:val="28"/>
      <w:szCs w:val="20"/>
      <w:lang w:val="fr-FR"/>
    </w:rPr>
  </w:style>
  <w:style w:type="paragraph" w:customStyle="1" w:styleId="Headingb">
    <w:name w:val="Heading_b"/>
    <w:basedOn w:val="Normal"/>
    <w:next w:val="Normal"/>
    <w:rsid w:val="003F1DAA"/>
    <w:pPr>
      <w:keepNext/>
      <w:overflowPunct w:val="0"/>
      <w:autoSpaceDE w:val="0"/>
      <w:autoSpaceDN w:val="0"/>
      <w:adjustRightInd w:val="0"/>
      <w:spacing w:before="160"/>
      <w:textAlignment w:val="baseline"/>
    </w:pPr>
    <w:rPr>
      <w:rFonts w:eastAsia="Times New Roman" w:cs="Times New Roman"/>
      <w:b/>
      <w:color w:val="auto"/>
      <w:szCs w:val="20"/>
      <w:lang w:val="fr-FR"/>
    </w:rPr>
  </w:style>
  <w:style w:type="paragraph" w:customStyle="1" w:styleId="Reasons">
    <w:name w:val="Reasons"/>
    <w:basedOn w:val="Normal"/>
    <w:qFormat/>
    <w:rsid w:val="003F1DAA"/>
    <w:pPr>
      <w:tabs>
        <w:tab w:val="clear" w:pos="567"/>
        <w:tab w:val="clear" w:pos="1134"/>
        <w:tab w:val="clear" w:pos="1701"/>
        <w:tab w:val="clear" w:pos="2268"/>
        <w:tab w:val="clear" w:pos="2835"/>
      </w:tabs>
      <w:spacing w:before="0"/>
    </w:pPr>
    <w:rPr>
      <w:rFonts w:ascii="Times New Roman" w:eastAsia="Times New Roman" w:hAnsi="Times New Roman" w:cs="Times New Roman"/>
      <w:color w:val="auto"/>
      <w:szCs w:val="20"/>
      <w:lang w:val="en-US"/>
    </w:rPr>
  </w:style>
  <w:style w:type="paragraph" w:customStyle="1" w:styleId="Standard">
    <w:name w:val="Standard"/>
    <w:rsid w:val="002612AB"/>
    <w:pPr>
      <w:suppressAutoHyphens/>
      <w:autoSpaceDN w:val="0"/>
      <w:spacing w:after="0" w:line="240" w:lineRule="auto"/>
      <w:textAlignment w:val="baseline"/>
    </w:pPr>
    <w:rPr>
      <w:rFonts w:ascii="Liberation Serif" w:eastAsia="Droid Sans Fallback" w:hAnsi="Liberation Serif" w:cs="FreeSans"/>
      <w:kern w:val="3"/>
      <w:sz w:val="24"/>
      <w:szCs w:val="24"/>
      <w:lang w:val="es-V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76231-3091-4EAD-93F7-CFE4F23D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República Bolivariana de Venezuela</Company>
  <LinksUpToDate>false</LinksUpToDate>
  <CharactersWithSpaces>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del Reglamento de las Telecomunicaciones Internacionales</dc:title>
  <dc:subject>EG-ITRs</dc:subject>
  <dc:creator>user</dc:creator>
  <cp:keywords>EG-ITRs</cp:keywords>
  <cp:lastModifiedBy>Janin</cp:lastModifiedBy>
  <cp:revision>4</cp:revision>
  <cp:lastPrinted>2017-08-08T09:35:00Z</cp:lastPrinted>
  <dcterms:created xsi:type="dcterms:W3CDTF">2017-08-30T15:34:00Z</dcterms:created>
  <dcterms:modified xsi:type="dcterms:W3CDTF">2017-08-31T08:55:00Z</dcterms:modified>
</cp:coreProperties>
</file>