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1D77A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sidR="001D77AB">
              <w:rPr>
                <w:rFonts w:eastAsiaTheme="minorEastAsia"/>
                <w:b/>
                <w:bCs/>
                <w:lang w:eastAsia="zh-CN" w:bidi="ar-SY"/>
              </w:rPr>
              <w:t>12</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1D77A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30</w:t>
            </w:r>
            <w:r w:rsidR="00950A5B" w:rsidRPr="00950A5B">
              <w:rPr>
                <w:rFonts w:eastAsiaTheme="minorEastAsia" w:hint="cs"/>
                <w:b/>
                <w:bCs/>
                <w:rtl/>
                <w:lang w:eastAsia="zh-CN" w:bidi="ar-EG"/>
              </w:rPr>
              <w:t xml:space="preserve"> أغسطس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1D77A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001D77AB">
              <w:rPr>
                <w:rFonts w:eastAsiaTheme="minorEastAsia" w:hint="cs"/>
                <w:b/>
                <w:bCs/>
                <w:rtl/>
                <w:lang w:eastAsia="zh-CN" w:bidi="ar-EG"/>
              </w:rPr>
              <w:t>بالإسبانية</w:t>
            </w:r>
          </w:p>
        </w:tc>
      </w:tr>
      <w:tr w:rsidR="00950A5B" w:rsidRPr="00950A5B" w:rsidTr="004B6B8C">
        <w:trPr>
          <w:cantSplit/>
        </w:trPr>
        <w:tc>
          <w:tcPr>
            <w:tcW w:w="9672" w:type="dxa"/>
            <w:gridSpan w:val="2"/>
          </w:tcPr>
          <w:p w:rsidR="00950A5B" w:rsidRPr="00950A5B" w:rsidRDefault="001D77AB" w:rsidP="001D77AB">
            <w:pPr>
              <w:pStyle w:val="Source"/>
              <w:rPr>
                <w:rFonts w:eastAsiaTheme="minorEastAsia"/>
                <w:lang w:eastAsia="zh-CN"/>
              </w:rPr>
            </w:pPr>
            <w:r w:rsidRPr="001D77AB">
              <w:rPr>
                <w:rFonts w:eastAsiaTheme="minorEastAsia" w:hint="cs"/>
                <w:rtl/>
                <w:lang w:eastAsia="zh-CN"/>
              </w:rPr>
              <w:t xml:space="preserve">مساهمة من جمهورية فنزويلا </w:t>
            </w:r>
            <w:proofErr w:type="spellStart"/>
            <w:r w:rsidRPr="001D77AB">
              <w:rPr>
                <w:rFonts w:eastAsiaTheme="minorEastAsia" w:hint="cs"/>
                <w:rtl/>
                <w:lang w:eastAsia="zh-CN"/>
              </w:rPr>
              <w:t>البوليفارية</w:t>
            </w:r>
            <w:proofErr w:type="spellEnd"/>
          </w:p>
        </w:tc>
      </w:tr>
      <w:tr w:rsidR="00950A5B" w:rsidRPr="00950A5B" w:rsidTr="004B6B8C">
        <w:trPr>
          <w:cantSplit/>
        </w:trPr>
        <w:tc>
          <w:tcPr>
            <w:tcW w:w="9672" w:type="dxa"/>
            <w:gridSpan w:val="2"/>
          </w:tcPr>
          <w:p w:rsidR="00950A5B" w:rsidRPr="00950A5B" w:rsidRDefault="001D77AB" w:rsidP="001D77AB">
            <w:pPr>
              <w:pStyle w:val="Title1"/>
              <w:rPr>
                <w:rFonts w:eastAsiaTheme="minorEastAsia"/>
                <w:rtl/>
                <w:lang w:eastAsia="zh-CN"/>
              </w:rPr>
            </w:pPr>
            <w:r w:rsidRPr="001D77AB">
              <w:rPr>
                <w:rFonts w:eastAsiaTheme="minorEastAsia" w:hint="eastAsia"/>
                <w:rtl/>
                <w:lang w:eastAsia="zh-CN"/>
              </w:rPr>
              <w:t>استعراض</w:t>
            </w:r>
            <w:r w:rsidRPr="001D77AB">
              <w:rPr>
                <w:rFonts w:eastAsiaTheme="minorEastAsia"/>
                <w:rtl/>
                <w:lang w:eastAsia="zh-CN"/>
              </w:rPr>
              <w:t xml:space="preserve"> </w:t>
            </w:r>
            <w:r w:rsidRPr="001D77AB">
              <w:rPr>
                <w:rFonts w:eastAsiaTheme="minorEastAsia" w:hint="eastAsia"/>
                <w:rtl/>
                <w:lang w:eastAsia="zh-CN"/>
              </w:rPr>
              <w:t>لوائح</w:t>
            </w:r>
            <w:r w:rsidRPr="001D77AB">
              <w:rPr>
                <w:rFonts w:eastAsiaTheme="minorEastAsia"/>
                <w:rtl/>
                <w:lang w:eastAsia="zh-CN"/>
              </w:rPr>
              <w:t xml:space="preserve"> </w:t>
            </w:r>
            <w:r w:rsidRPr="001D77AB">
              <w:rPr>
                <w:rFonts w:eastAsiaTheme="minorEastAsia" w:hint="eastAsia"/>
                <w:rtl/>
                <w:lang w:eastAsia="zh-CN"/>
              </w:rPr>
              <w:t>الاتصالات</w:t>
            </w:r>
            <w:r w:rsidRPr="001D77AB">
              <w:rPr>
                <w:rFonts w:eastAsiaTheme="minorEastAsia"/>
                <w:rtl/>
                <w:lang w:eastAsia="zh-CN"/>
              </w:rPr>
              <w:t xml:space="preserve"> </w:t>
            </w:r>
            <w:r w:rsidRPr="001D77AB">
              <w:rPr>
                <w:rFonts w:eastAsiaTheme="minorEastAsia" w:hint="eastAsia"/>
                <w:rtl/>
                <w:lang w:eastAsia="zh-CN"/>
              </w:rPr>
              <w:t>الدولية</w:t>
            </w:r>
          </w:p>
        </w:tc>
      </w:tr>
      <w:tr w:rsidR="001D77AB" w:rsidRPr="00950A5B" w:rsidTr="004B6B8C">
        <w:trPr>
          <w:cantSplit/>
        </w:trPr>
        <w:tc>
          <w:tcPr>
            <w:tcW w:w="9672" w:type="dxa"/>
            <w:gridSpan w:val="2"/>
          </w:tcPr>
          <w:p w:rsidR="001D77AB" w:rsidRPr="001D77AB" w:rsidRDefault="001D77AB" w:rsidP="001D77AB">
            <w:pPr>
              <w:rPr>
                <w:rFonts w:eastAsiaTheme="minorEastAsia"/>
                <w:rtl/>
                <w:lang w:eastAsia="zh-CN"/>
              </w:rPr>
            </w:pPr>
          </w:p>
        </w:tc>
      </w:tr>
    </w:tbl>
    <w:p w:rsidR="001D77AB" w:rsidRPr="001D77AB" w:rsidRDefault="001D77AB" w:rsidP="001D77AB">
      <w:pPr>
        <w:pStyle w:val="Headingb"/>
        <w:rPr>
          <w:rFonts w:eastAsiaTheme="minorEastAsia"/>
          <w:rtl/>
          <w:lang w:eastAsia="zh-CN"/>
        </w:rPr>
      </w:pPr>
      <w:r w:rsidRPr="001D77AB">
        <w:rPr>
          <w:rFonts w:eastAsiaTheme="minorEastAsia" w:hint="cs"/>
          <w:rtl/>
          <w:lang w:eastAsia="zh-CN"/>
        </w:rPr>
        <w:t>مقدمة</w:t>
      </w:r>
    </w:p>
    <w:p w:rsidR="001D77AB" w:rsidRPr="001D77AB" w:rsidRDefault="001D77AB" w:rsidP="001D77AB">
      <w:pPr>
        <w:rPr>
          <w:rFonts w:eastAsiaTheme="minorEastAsia"/>
          <w:rtl/>
          <w:lang w:eastAsia="zh-CN" w:bidi="ar-EG"/>
        </w:rPr>
      </w:pPr>
      <w:r w:rsidRPr="001D77AB">
        <w:rPr>
          <w:rFonts w:eastAsiaTheme="minorEastAsia" w:hint="cs"/>
          <w:rtl/>
          <w:lang w:eastAsia="zh-CN" w:bidi="ar-EG"/>
        </w:rPr>
        <w:t xml:space="preserve">ينبغي أن تكون لوائح الاتصالات الدولية </w:t>
      </w:r>
      <w:r w:rsidRPr="001D77AB">
        <w:rPr>
          <w:rFonts w:eastAsiaTheme="minorEastAsia"/>
          <w:lang w:eastAsia="zh-CN"/>
        </w:rPr>
        <w:t>(ITR)</w:t>
      </w:r>
      <w:r w:rsidRPr="001D77AB">
        <w:rPr>
          <w:rFonts w:eastAsiaTheme="minorEastAsia" w:hint="cs"/>
          <w:rtl/>
          <w:lang w:eastAsia="zh-CN" w:bidi="ar-EG"/>
        </w:rPr>
        <w:t xml:space="preserve"> بمثابة أداة تعزز تقدم خدمات الاتصالات على المستوى الدولي من خلال وضع مبادئ توجيهية تتيح للدول الأعضاء ووكالات التشغيل المعترف بها تحقيق تبادلات في ظل ظروف مثلى مع احترام الحق السيادي لكل بلد في تنظيم اتصالاته. ومن ثم، ينبغي أن تستوعب لوائح الاتصالات الدولية السلوك الحالي لأسواق الاتصالات على المستوى العالمي مما يسمح بتطور هذه الأسواق وقدرتها على المنافسة فضلاً عن البيئة الدينامية والمتغيرة للاتصالات الدولية.</w:t>
      </w:r>
    </w:p>
    <w:p w:rsidR="001D77AB" w:rsidRPr="001D77AB" w:rsidRDefault="001D77AB" w:rsidP="001D77AB">
      <w:pPr>
        <w:rPr>
          <w:rFonts w:eastAsiaTheme="minorEastAsia"/>
          <w:rtl/>
          <w:lang w:eastAsia="zh-CN" w:bidi="ar-EG"/>
        </w:rPr>
      </w:pPr>
      <w:r w:rsidRPr="001D77AB">
        <w:rPr>
          <w:rFonts w:eastAsiaTheme="minorEastAsia" w:hint="cs"/>
          <w:rtl/>
          <w:lang w:eastAsia="zh-CN" w:bidi="ar-EG"/>
        </w:rPr>
        <w:t>تندرج خدمات الاتصالات اليوم في دورة واضحة من التقارب، وقد أسفرت أوجه التقدم في مجال التكنولوجيا عن زيادة استخدام البنى التحتية للاتصالات، مما يتيح فرصاً ويطرح تحديات على السواء داخل القطاع. ومع تطور التكنولوجيا، تقيّ</w:t>
      </w:r>
      <w:r>
        <w:rPr>
          <w:rFonts w:eastAsiaTheme="minorEastAsia" w:hint="cs"/>
          <w:rtl/>
          <w:lang w:eastAsia="zh-CN" w:bidi="ar-EG"/>
        </w:rPr>
        <w:t>ِ</w:t>
      </w:r>
      <w:r w:rsidRPr="001D77AB">
        <w:rPr>
          <w:rFonts w:eastAsiaTheme="minorEastAsia" w:hint="cs"/>
          <w:rtl/>
          <w:lang w:eastAsia="zh-CN" w:bidi="ar-EG"/>
        </w:rPr>
        <w:t>م الدول سياساتها التنظيمية ومراكز اهتمامها بغية تهيئة بيئة أكثر ملاءمة لتنميتها.</w:t>
      </w:r>
    </w:p>
    <w:p w:rsidR="001D77AB" w:rsidRPr="001D77AB" w:rsidRDefault="001D77AB" w:rsidP="001D77AB">
      <w:pPr>
        <w:pStyle w:val="Headingb"/>
        <w:rPr>
          <w:rFonts w:eastAsiaTheme="minorEastAsia"/>
          <w:rtl/>
          <w:lang w:eastAsia="zh-CN"/>
        </w:rPr>
      </w:pPr>
      <w:r w:rsidRPr="001D77AB">
        <w:rPr>
          <w:rFonts w:eastAsiaTheme="minorEastAsia" w:hint="cs"/>
          <w:rtl/>
          <w:lang w:eastAsia="zh-CN"/>
        </w:rPr>
        <w:t xml:space="preserve">موقف فنزويلا فيما يتعلق بلوائح الاتصالات الدولية لعام </w:t>
      </w:r>
      <w:r w:rsidRPr="001D77AB">
        <w:rPr>
          <w:rFonts w:eastAsiaTheme="minorEastAsia"/>
          <w:lang w:eastAsia="zh-CN"/>
        </w:rPr>
        <w:t>2012</w:t>
      </w:r>
    </w:p>
    <w:p w:rsidR="001D77AB" w:rsidRPr="001D77AB" w:rsidRDefault="001D77AB" w:rsidP="001D77AB">
      <w:pPr>
        <w:rPr>
          <w:rFonts w:eastAsiaTheme="minorEastAsia"/>
          <w:rtl/>
          <w:lang w:eastAsia="zh-CN" w:bidi="ar-EG"/>
        </w:rPr>
      </w:pPr>
      <w:r w:rsidRPr="001D77AB">
        <w:rPr>
          <w:rFonts w:eastAsiaTheme="minorEastAsia" w:hint="cs"/>
          <w:rtl/>
          <w:lang w:eastAsia="zh-CN" w:bidi="ar-EG"/>
        </w:rPr>
        <w:t xml:space="preserve">استناداً إلى أحكام تشريعاتنا المحلية: دستور جمهورية فنزويلا </w:t>
      </w:r>
      <w:proofErr w:type="spellStart"/>
      <w:r w:rsidRPr="001D77AB">
        <w:rPr>
          <w:rFonts w:eastAsiaTheme="minorEastAsia" w:hint="cs"/>
          <w:rtl/>
          <w:lang w:eastAsia="zh-CN" w:bidi="ar-EG"/>
        </w:rPr>
        <w:t>البوليفارية</w:t>
      </w:r>
      <w:proofErr w:type="spellEnd"/>
      <w:r w:rsidRPr="001D77AB">
        <w:rPr>
          <w:rFonts w:eastAsiaTheme="minorEastAsia" w:hint="cs"/>
          <w:rtl/>
          <w:lang w:eastAsia="zh-CN" w:bidi="ar-EG"/>
        </w:rPr>
        <w:t xml:space="preserve">؛ والقانون الأساسي للاتصالات </w:t>
      </w:r>
      <w:r w:rsidRPr="001D77AB">
        <w:rPr>
          <w:rFonts w:eastAsiaTheme="minorEastAsia"/>
          <w:lang w:eastAsia="zh-CN"/>
        </w:rPr>
        <w:t>(LOTEL)</w:t>
      </w:r>
      <w:r w:rsidRPr="001D77AB">
        <w:rPr>
          <w:rFonts w:eastAsiaTheme="minorEastAsia" w:hint="cs"/>
          <w:rtl/>
          <w:lang w:eastAsia="zh-CN" w:bidi="ar-EG"/>
        </w:rPr>
        <w:t>؛ واللوائح والقواعد وغيرها من المعايير القانونية، ترى فنزويلا أنه لا توجد تناقضات بين المبادئ التوجيهية الواردة في لوائح الاتصالات الدولية لعام</w:t>
      </w:r>
      <w:r>
        <w:rPr>
          <w:rFonts w:eastAsiaTheme="minorEastAsia" w:hint="eastAsia"/>
          <w:rtl/>
          <w:lang w:eastAsia="zh-CN" w:bidi="ar-EG"/>
        </w:rPr>
        <w:t> </w:t>
      </w:r>
      <w:r w:rsidRPr="001D77AB">
        <w:rPr>
          <w:rFonts w:eastAsiaTheme="minorEastAsia"/>
          <w:lang w:eastAsia="zh-CN"/>
        </w:rPr>
        <w:t>1988</w:t>
      </w:r>
      <w:r w:rsidRPr="001D77AB">
        <w:rPr>
          <w:rFonts w:eastAsiaTheme="minorEastAsia" w:hint="cs"/>
          <w:rtl/>
          <w:lang w:eastAsia="zh-CN" w:bidi="ar-EG"/>
        </w:rPr>
        <w:t xml:space="preserve"> ولوائح الاتصالات الدولية لعام </w:t>
      </w:r>
      <w:r w:rsidRPr="001D77AB">
        <w:rPr>
          <w:rFonts w:eastAsiaTheme="minorEastAsia"/>
          <w:lang w:eastAsia="zh-CN"/>
        </w:rPr>
        <w:t>2012</w:t>
      </w:r>
      <w:r w:rsidRPr="001D77AB">
        <w:rPr>
          <w:rFonts w:eastAsiaTheme="minorEastAsia" w:hint="cs"/>
          <w:rtl/>
          <w:lang w:eastAsia="zh-CN" w:bidi="ar-EG"/>
        </w:rPr>
        <w:t>، إذ تشكل هذه الأخيرة امتداداً للوائح السابقة.</w:t>
      </w:r>
    </w:p>
    <w:p w:rsidR="001D77AB" w:rsidRPr="001D77AB" w:rsidRDefault="001D77AB" w:rsidP="001D77AB">
      <w:pPr>
        <w:rPr>
          <w:rFonts w:eastAsiaTheme="minorEastAsia"/>
          <w:rtl/>
          <w:lang w:eastAsia="zh-CN" w:bidi="ar-EG"/>
        </w:rPr>
      </w:pPr>
      <w:r w:rsidRPr="001D77AB">
        <w:rPr>
          <w:rFonts w:eastAsiaTheme="minorEastAsia" w:hint="cs"/>
          <w:rtl/>
          <w:lang w:eastAsia="zh-CN" w:bidi="ar-EG"/>
        </w:rPr>
        <w:t xml:space="preserve">وتوصي جمهورية فنزويلا </w:t>
      </w:r>
      <w:proofErr w:type="spellStart"/>
      <w:r w:rsidRPr="001D77AB">
        <w:rPr>
          <w:rFonts w:eastAsiaTheme="minorEastAsia" w:hint="cs"/>
          <w:rtl/>
          <w:lang w:eastAsia="zh-CN" w:bidi="ar-EG"/>
        </w:rPr>
        <w:t>البوليفارية</w:t>
      </w:r>
      <w:proofErr w:type="spellEnd"/>
      <w:r w:rsidRPr="001D77AB">
        <w:rPr>
          <w:rFonts w:eastAsiaTheme="minorEastAsia" w:hint="cs"/>
          <w:rtl/>
          <w:lang w:eastAsia="zh-CN" w:bidi="ar-EG"/>
        </w:rPr>
        <w:t xml:space="preserve"> بمراج</w:t>
      </w:r>
      <w:r>
        <w:rPr>
          <w:rFonts w:eastAsiaTheme="minorEastAsia" w:hint="cs"/>
          <w:rtl/>
          <w:lang w:eastAsia="zh-CN" w:bidi="ar-EG"/>
        </w:rPr>
        <w:t>َ</w:t>
      </w:r>
      <w:r w:rsidRPr="001D77AB">
        <w:rPr>
          <w:rFonts w:eastAsiaTheme="minorEastAsia" w:hint="cs"/>
          <w:rtl/>
          <w:lang w:eastAsia="zh-CN" w:bidi="ar-EG"/>
        </w:rPr>
        <w:t xml:space="preserve">عة لوائح الاتصالات الدولية لعام </w:t>
      </w:r>
      <w:r w:rsidRPr="001D77AB">
        <w:rPr>
          <w:rFonts w:eastAsiaTheme="minorEastAsia"/>
          <w:lang w:eastAsia="zh-CN"/>
        </w:rPr>
        <w:t>2012</w:t>
      </w:r>
      <w:r w:rsidRPr="001D77AB">
        <w:rPr>
          <w:rFonts w:eastAsiaTheme="minorEastAsia" w:hint="cs"/>
          <w:rtl/>
          <w:lang w:eastAsia="zh-CN" w:bidi="ar-EG"/>
        </w:rPr>
        <w:t xml:space="preserve"> في مؤتمر المندوبين المفوضين لعام </w:t>
      </w:r>
      <w:r w:rsidRPr="001D77AB">
        <w:rPr>
          <w:rFonts w:eastAsiaTheme="minorEastAsia"/>
          <w:lang w:eastAsia="zh-CN"/>
        </w:rPr>
        <w:t>2018</w:t>
      </w:r>
      <w:r w:rsidRPr="001D77AB">
        <w:rPr>
          <w:rFonts w:eastAsiaTheme="minorEastAsia" w:hint="cs"/>
          <w:rtl/>
          <w:lang w:eastAsia="zh-CN" w:bidi="ar-EG"/>
        </w:rPr>
        <w:t xml:space="preserve">، للمضي قدماً في العمل بهدف احتمال عقد مؤتمر عالمي للاتصالات الدولية </w:t>
      </w:r>
      <w:r w:rsidRPr="001D77AB">
        <w:rPr>
          <w:rFonts w:eastAsiaTheme="minorEastAsia"/>
          <w:lang w:eastAsia="zh-CN"/>
        </w:rPr>
        <w:t>(WCIT)</w:t>
      </w:r>
      <w:r w:rsidRPr="001D77AB">
        <w:rPr>
          <w:rFonts w:eastAsiaTheme="minorEastAsia" w:hint="cs"/>
          <w:rtl/>
          <w:lang w:eastAsia="zh-CN" w:bidi="ar-EG"/>
        </w:rPr>
        <w:t xml:space="preserve"> من شأنه أن يكون المحفل الطبيعي لتعديل هذه اللوائح والموافقة عليها استناداً إلى المادة </w:t>
      </w:r>
      <w:r w:rsidRPr="001D77AB">
        <w:rPr>
          <w:rFonts w:eastAsiaTheme="minorEastAsia"/>
          <w:lang w:eastAsia="zh-CN"/>
        </w:rPr>
        <w:t>25</w:t>
      </w:r>
      <w:r w:rsidRPr="001D77AB">
        <w:rPr>
          <w:rFonts w:eastAsiaTheme="minorEastAsia" w:hint="cs"/>
          <w:rtl/>
          <w:lang w:eastAsia="zh-CN" w:bidi="ar-EG"/>
        </w:rPr>
        <w:t xml:space="preserve"> من دستور الاتحاد.</w:t>
      </w:r>
    </w:p>
    <w:p w:rsidR="001D77AB" w:rsidRPr="001D77AB" w:rsidRDefault="001D77AB" w:rsidP="001D77AB">
      <w:pPr>
        <w:pStyle w:val="Headingb"/>
        <w:rPr>
          <w:rFonts w:eastAsiaTheme="minorEastAsia"/>
          <w:rtl/>
          <w:lang w:eastAsia="zh-CN"/>
        </w:rPr>
      </w:pPr>
      <w:r w:rsidRPr="001D77AB">
        <w:rPr>
          <w:rFonts w:eastAsiaTheme="minorEastAsia" w:hint="cs"/>
          <w:rtl/>
          <w:lang w:eastAsia="zh-CN"/>
        </w:rPr>
        <w:t xml:space="preserve">مقترحات مقدمة من جمهورية فنزويلا </w:t>
      </w:r>
      <w:proofErr w:type="spellStart"/>
      <w:r w:rsidRPr="001D77AB">
        <w:rPr>
          <w:rFonts w:eastAsiaTheme="minorEastAsia" w:hint="cs"/>
          <w:rtl/>
          <w:lang w:eastAsia="zh-CN"/>
        </w:rPr>
        <w:t>البوليفارية</w:t>
      </w:r>
      <w:proofErr w:type="spellEnd"/>
    </w:p>
    <w:p w:rsidR="001D77AB" w:rsidRPr="001D77AB" w:rsidRDefault="001D77AB" w:rsidP="002A4BEF">
      <w:pPr>
        <w:rPr>
          <w:rFonts w:eastAsiaTheme="minorEastAsia"/>
          <w:rtl/>
          <w:lang w:eastAsia="zh-CN" w:bidi="ar-EG"/>
        </w:rPr>
      </w:pPr>
      <w:r w:rsidRPr="001D77AB">
        <w:rPr>
          <w:rFonts w:eastAsiaTheme="minorEastAsia" w:hint="cs"/>
          <w:rtl/>
          <w:lang w:eastAsia="zh-CN" w:bidi="ar-EG"/>
        </w:rPr>
        <w:t xml:space="preserve">عملاً بأحكام القرار </w:t>
      </w:r>
      <w:r w:rsidRPr="001D77AB">
        <w:rPr>
          <w:rFonts w:eastAsiaTheme="minorEastAsia"/>
          <w:lang w:eastAsia="zh-CN"/>
        </w:rPr>
        <w:t>1379</w:t>
      </w:r>
      <w:r w:rsidRPr="001D77AB">
        <w:rPr>
          <w:rFonts w:eastAsiaTheme="minorEastAsia" w:hint="cs"/>
          <w:rtl/>
          <w:lang w:eastAsia="zh-CN" w:bidi="ar-EG"/>
        </w:rPr>
        <w:t xml:space="preserve"> الصادر عن المجلس في دورته لعام </w:t>
      </w:r>
      <w:r w:rsidRPr="001D77AB">
        <w:rPr>
          <w:rFonts w:eastAsiaTheme="minorEastAsia"/>
          <w:lang w:eastAsia="zh-CN"/>
        </w:rPr>
        <w:t>2016</w:t>
      </w:r>
      <w:r w:rsidRPr="001D77AB">
        <w:rPr>
          <w:rFonts w:eastAsiaTheme="minorEastAsia" w:hint="cs"/>
          <w:rtl/>
          <w:lang w:eastAsia="zh-CN" w:bidi="ar-EG"/>
        </w:rPr>
        <w:t xml:space="preserve"> ولا سيما الملحق </w:t>
      </w:r>
      <w:r w:rsidRPr="001D77AB">
        <w:rPr>
          <w:rFonts w:eastAsiaTheme="minorEastAsia"/>
          <w:lang w:eastAsia="zh-CN"/>
        </w:rPr>
        <w:t>1</w:t>
      </w:r>
      <w:r w:rsidRPr="001D77AB">
        <w:rPr>
          <w:rFonts w:eastAsiaTheme="minorEastAsia" w:hint="cs"/>
          <w:rtl/>
          <w:lang w:eastAsia="zh-CN" w:bidi="ar-EG"/>
        </w:rPr>
        <w:t xml:space="preserve"> بهذا القرار الذي يحدد اختصاصات فريق الخبراء المعني بلوائح الاتصالات الدولية فيما يتعلق باستعراض هذه اللوائح، نرى أنه تماشياً مع هذه الاختصاصات، ينبغي أن يشمل الاستعراض ما يلي:</w:t>
      </w:r>
    </w:p>
    <w:p w:rsidR="001D77AB" w:rsidRPr="001D77AB" w:rsidRDefault="001D77AB" w:rsidP="001D77AB">
      <w:pPr>
        <w:rPr>
          <w:rFonts w:eastAsiaTheme="minorEastAsia"/>
          <w:rtl/>
          <w:lang w:eastAsia="zh-CN"/>
        </w:rPr>
      </w:pPr>
      <w:r>
        <w:rPr>
          <w:rFonts w:eastAsiaTheme="minorEastAsia" w:hint="eastAsia"/>
          <w:rtl/>
          <w:lang w:eastAsia="zh-CN" w:bidi="ar-EG"/>
        </w:rPr>
        <w:lastRenderedPageBreak/>
        <w:t> </w:t>
      </w:r>
      <w:proofErr w:type="gramStart"/>
      <w:r w:rsidRPr="001D77AB">
        <w:rPr>
          <w:rFonts w:eastAsiaTheme="minorEastAsia" w:hint="cs"/>
          <w:rtl/>
          <w:lang w:eastAsia="zh-CN" w:bidi="ar-EG"/>
        </w:rPr>
        <w:t>أ</w:t>
      </w:r>
      <w:r>
        <w:rPr>
          <w:rFonts w:eastAsiaTheme="minorEastAsia" w:hint="eastAsia"/>
          <w:rtl/>
          <w:lang w:eastAsia="zh-CN" w:bidi="ar-EG"/>
        </w:rPr>
        <w:t> </w:t>
      </w:r>
      <w:r w:rsidRPr="001D77AB">
        <w:rPr>
          <w:rFonts w:eastAsiaTheme="minorEastAsia" w:hint="cs"/>
          <w:rtl/>
          <w:lang w:eastAsia="zh-CN" w:bidi="ar-EG"/>
        </w:rPr>
        <w:t>)</w:t>
      </w:r>
      <w:proofErr w:type="gramEnd"/>
      <w:r w:rsidRPr="001D77AB">
        <w:rPr>
          <w:rFonts w:eastAsiaTheme="minorEastAsia" w:hint="cs"/>
          <w:rtl/>
          <w:lang w:eastAsia="zh-CN" w:bidi="ar-EG"/>
        </w:rPr>
        <w:tab/>
      </w:r>
      <w:r w:rsidRPr="001D77AB">
        <w:rPr>
          <w:rFonts w:eastAsiaTheme="minorEastAsia" w:hint="cs"/>
          <w:i/>
          <w:iCs/>
          <w:rtl/>
          <w:lang w:eastAsia="zh-CN" w:bidi="ar-EG"/>
        </w:rPr>
        <w:t>"</w:t>
      </w:r>
      <w:r w:rsidRPr="001D77AB">
        <w:rPr>
          <w:rFonts w:eastAsiaTheme="minorEastAsia"/>
          <w:i/>
          <w:iCs/>
          <w:rtl/>
          <w:lang w:eastAsia="zh-CN"/>
        </w:rPr>
        <w:t xml:space="preserve">تفحص لوائح الاتصالات الدولية لعام </w:t>
      </w:r>
      <w:r w:rsidRPr="001D77AB">
        <w:rPr>
          <w:rFonts w:eastAsiaTheme="minorEastAsia"/>
          <w:i/>
          <w:iCs/>
          <w:lang w:eastAsia="zh-CN"/>
        </w:rPr>
        <w:t>2012</w:t>
      </w:r>
      <w:r w:rsidRPr="001D77AB">
        <w:rPr>
          <w:rFonts w:eastAsiaTheme="minorEastAsia"/>
          <w:i/>
          <w:iCs/>
          <w:rtl/>
          <w:lang w:eastAsia="zh-CN"/>
        </w:rPr>
        <w:t xml:space="preserve"> لتحديد مدى صلاحيتها في بيئة الاتصالات الدولية التي تتسم بسرعة التغير، مع مراعاة التكنولوجيا والخدمات والالتزامات القانونية الدولية والمتعددة الأطراف القائمة حالياً فضلاً عن التغيرات في</w:t>
      </w:r>
      <w:r>
        <w:rPr>
          <w:rFonts w:eastAsiaTheme="minorEastAsia" w:hint="cs"/>
          <w:i/>
          <w:iCs/>
          <w:rtl/>
          <w:lang w:eastAsia="zh-CN"/>
        </w:rPr>
        <w:t> </w:t>
      </w:r>
      <w:r w:rsidRPr="001D77AB">
        <w:rPr>
          <w:rFonts w:eastAsiaTheme="minorEastAsia"/>
          <w:i/>
          <w:iCs/>
          <w:rtl/>
          <w:lang w:eastAsia="zh-CN"/>
        </w:rPr>
        <w:t>نطاق النظم التنظيمية المحلية</w:t>
      </w:r>
      <w:r w:rsidRPr="001D77AB">
        <w:rPr>
          <w:rFonts w:eastAsiaTheme="minorEastAsia" w:hint="cs"/>
          <w:i/>
          <w:iCs/>
          <w:rtl/>
          <w:lang w:eastAsia="zh-CN"/>
        </w:rPr>
        <w:t>"</w:t>
      </w:r>
      <w:r w:rsidRPr="001D77AB">
        <w:rPr>
          <w:rFonts w:eastAsiaTheme="minorEastAsia"/>
          <w:rtl/>
          <w:lang w:eastAsia="zh-CN"/>
        </w:rPr>
        <w:t>؛</w:t>
      </w:r>
    </w:p>
    <w:p w:rsidR="001D77AB" w:rsidRPr="001D77AB" w:rsidRDefault="001D77AB" w:rsidP="00D020AF">
      <w:pPr>
        <w:rPr>
          <w:rFonts w:eastAsiaTheme="minorEastAsia"/>
          <w:rtl/>
          <w:lang w:eastAsia="zh-CN" w:bidi="ar-EG"/>
        </w:rPr>
      </w:pPr>
      <w:r w:rsidRPr="001D77AB">
        <w:rPr>
          <w:rFonts w:eastAsiaTheme="minorEastAsia" w:hint="cs"/>
          <w:rtl/>
          <w:lang w:eastAsia="zh-CN" w:bidi="ar-EG"/>
        </w:rPr>
        <w:t>ينبغي للدول الأعضاء أن تحدد موقفاً موحداً بشأن إمكانية تطبيق اللوائح وفعاليتها في ضوء الدينامية الحالية واستناداً إلى مبدأ القانون الدولي العام: مبدأ العقد شريعة المتعاقدين</w:t>
      </w:r>
      <w:bookmarkStart w:id="1" w:name="_GoBack"/>
      <w:bookmarkEnd w:id="1"/>
      <w:r w:rsidRPr="001D77AB">
        <w:rPr>
          <w:rFonts w:eastAsiaTheme="minorEastAsia" w:hint="cs"/>
          <w:rtl/>
          <w:lang w:eastAsia="zh-CN" w:bidi="ar-EG"/>
        </w:rPr>
        <w:t xml:space="preserve"> - الامتثال بحسن النية للالتزامات التي تعهدت بها الدول الأعضاء على المستوى الدولي. وتبعاً لذلك، نرى أن عقد مؤتمر عالمي جديد للاتصالات الدولية لن يحقق النجاح المتوقع ما لم يتم التوصل إلى هذا الاتفاق مما يدعو إلى التشكيك في مصداقية الاتحاد. وأي مراج</w:t>
      </w:r>
      <w:r>
        <w:rPr>
          <w:rFonts w:eastAsiaTheme="minorEastAsia" w:hint="cs"/>
          <w:rtl/>
          <w:lang w:eastAsia="zh-CN" w:bidi="ar-EG"/>
        </w:rPr>
        <w:t>َ</w:t>
      </w:r>
      <w:r w:rsidRPr="001D77AB">
        <w:rPr>
          <w:rFonts w:eastAsiaTheme="minorEastAsia" w:hint="cs"/>
          <w:rtl/>
          <w:lang w:eastAsia="zh-CN" w:bidi="ar-EG"/>
        </w:rPr>
        <w:t>عة لهذه اللوائح يجب أن تأخذ بعين الاعتبار الاختلافات القائمة بين الدول إلى جانب مستويات الاختلاف بينها من ناحية التطور التقني والقانوني والاقتصادي.</w:t>
      </w:r>
    </w:p>
    <w:p w:rsidR="001D77AB" w:rsidRPr="001D77AB" w:rsidRDefault="001D77AB" w:rsidP="001D77AB">
      <w:pPr>
        <w:rPr>
          <w:rFonts w:eastAsiaTheme="minorEastAsia"/>
          <w:rtl/>
          <w:lang w:eastAsia="zh-CN" w:bidi="ar-EG"/>
        </w:rPr>
      </w:pPr>
      <w:proofErr w:type="gramStart"/>
      <w:r w:rsidRPr="001D77AB">
        <w:rPr>
          <w:rFonts w:eastAsiaTheme="minorEastAsia" w:hint="cs"/>
          <w:rtl/>
          <w:lang w:eastAsia="zh-CN" w:bidi="ar-EG"/>
        </w:rPr>
        <w:t>ب)</w:t>
      </w:r>
      <w:r w:rsidRPr="001D77AB">
        <w:rPr>
          <w:rFonts w:eastAsiaTheme="minorEastAsia" w:hint="cs"/>
          <w:rtl/>
          <w:lang w:eastAsia="zh-CN" w:bidi="ar-EG"/>
        </w:rPr>
        <w:tab/>
      </w:r>
      <w:proofErr w:type="gramEnd"/>
      <w:r w:rsidRPr="001D77AB">
        <w:rPr>
          <w:rFonts w:eastAsiaTheme="minorEastAsia" w:hint="cs"/>
          <w:i/>
          <w:iCs/>
          <w:rtl/>
          <w:lang w:eastAsia="zh-CN" w:bidi="ar-EG"/>
        </w:rPr>
        <w:t>"</w:t>
      </w:r>
      <w:r w:rsidRPr="001D77AB">
        <w:rPr>
          <w:rFonts w:eastAsiaTheme="minorEastAsia"/>
          <w:i/>
          <w:iCs/>
          <w:rtl/>
          <w:lang w:eastAsia="zh-CN"/>
        </w:rPr>
        <w:t>التحليل القانوني للوائح الاتصالات الدولية لعام</w:t>
      </w:r>
      <w:r w:rsidRPr="001D77AB">
        <w:rPr>
          <w:rFonts w:eastAsiaTheme="minorEastAsia" w:hint="cs"/>
          <w:i/>
          <w:iCs/>
          <w:rtl/>
          <w:lang w:eastAsia="zh-CN"/>
        </w:rPr>
        <w:t xml:space="preserve"> </w:t>
      </w:r>
      <w:r w:rsidRPr="001D77AB">
        <w:rPr>
          <w:rFonts w:eastAsiaTheme="minorEastAsia"/>
          <w:i/>
          <w:iCs/>
          <w:lang w:eastAsia="zh-CN"/>
        </w:rPr>
        <w:t>2012</w:t>
      </w:r>
      <w:r w:rsidRPr="001D77AB">
        <w:rPr>
          <w:rFonts w:eastAsiaTheme="minorEastAsia" w:hint="cs"/>
          <w:i/>
          <w:iCs/>
          <w:rtl/>
          <w:lang w:eastAsia="zh-CN" w:bidi="ar-EG"/>
        </w:rPr>
        <w:t>"</w:t>
      </w:r>
    </w:p>
    <w:p w:rsidR="001D77AB" w:rsidRPr="001D77AB" w:rsidRDefault="001D77AB" w:rsidP="001D77AB">
      <w:pPr>
        <w:rPr>
          <w:rFonts w:eastAsiaTheme="minorEastAsia"/>
          <w:rtl/>
          <w:lang w:eastAsia="zh-CN" w:bidi="ar-EG"/>
        </w:rPr>
      </w:pPr>
      <w:r w:rsidRPr="001D77AB">
        <w:rPr>
          <w:rFonts w:eastAsiaTheme="minorEastAsia" w:hint="cs"/>
          <w:rtl/>
          <w:lang w:eastAsia="zh-CN" w:bidi="ar-EG"/>
        </w:rPr>
        <w:t xml:space="preserve">فيما يتعلق بالتحليل القانوني، نرى أنه من المهم إدراج العناصر التالية في اللوائح لعام </w:t>
      </w:r>
      <w:r w:rsidRPr="001D77AB">
        <w:rPr>
          <w:rFonts w:eastAsiaTheme="minorEastAsia"/>
          <w:lang w:eastAsia="zh-CN"/>
        </w:rPr>
        <w:t>2012</w:t>
      </w:r>
      <w:r w:rsidRPr="001D77AB">
        <w:rPr>
          <w:rFonts w:eastAsiaTheme="minorEastAsia" w:hint="cs"/>
          <w:rtl/>
          <w:lang w:eastAsia="zh-CN" w:bidi="ar-EG"/>
        </w:rPr>
        <w:t xml:space="preserve">: إيداع موارد الترقيم للاتصالات الدولية، وتعرف هوية الخط الطالب الدولي </w:t>
      </w:r>
      <w:r w:rsidRPr="001D77AB">
        <w:rPr>
          <w:rFonts w:eastAsiaTheme="minorEastAsia"/>
          <w:lang w:eastAsia="zh-CN"/>
        </w:rPr>
        <w:t>(CLI)</w:t>
      </w:r>
      <w:r w:rsidRPr="001D77AB">
        <w:rPr>
          <w:rFonts w:eastAsiaTheme="minorEastAsia" w:hint="cs"/>
          <w:rtl/>
          <w:lang w:eastAsia="zh-CN" w:bidi="ar-EG"/>
        </w:rPr>
        <w:t xml:space="preserve"> وتبادل الحركة من خلال التوصيلية والحد من تكاليف التوصيل البيني الدولي. وكذلك في</w:t>
      </w:r>
      <w:r>
        <w:rPr>
          <w:rFonts w:eastAsiaTheme="minorEastAsia" w:hint="eastAsia"/>
          <w:rtl/>
          <w:lang w:eastAsia="zh-CN" w:bidi="ar-EG"/>
        </w:rPr>
        <w:t> </w:t>
      </w:r>
      <w:r w:rsidRPr="001D77AB">
        <w:rPr>
          <w:rFonts w:eastAsiaTheme="minorEastAsia" w:hint="cs"/>
          <w:rtl/>
          <w:lang w:eastAsia="zh-CN" w:bidi="ar-EG"/>
        </w:rPr>
        <w:t>تلك الأقسام من المادة بشأن "خدمات الاتصالات الدولية" التي تشير إلى التجوال الدولي والخدمات والتعريفات والتكاليف والأسعار التنافسية. ومع ذلك، يجب تيسير الاستعراض الدوري للوائح ضماناً لتكيفها مع الاحتياجات الجديدة للمجتمع في</w:t>
      </w:r>
      <w:r>
        <w:rPr>
          <w:rFonts w:eastAsiaTheme="minorEastAsia" w:hint="eastAsia"/>
          <w:rtl/>
          <w:lang w:eastAsia="zh-CN" w:bidi="ar-EG"/>
        </w:rPr>
        <w:t> </w:t>
      </w:r>
      <w:r w:rsidRPr="001D77AB">
        <w:rPr>
          <w:rFonts w:eastAsiaTheme="minorEastAsia" w:hint="cs"/>
          <w:rtl/>
          <w:lang w:eastAsia="zh-CN" w:bidi="ar-EG"/>
        </w:rPr>
        <w:t>مجال الاتصالات من قبيل: الاتجاهات الجديدة في المهاتفة (المهاتفة عبر بروتوكول الإنترنت</w:t>
      </w:r>
      <w:r>
        <w:rPr>
          <w:rFonts w:eastAsiaTheme="minorEastAsia" w:hint="eastAsia"/>
          <w:rtl/>
          <w:lang w:eastAsia="zh-CN" w:bidi="ar-EG"/>
        </w:rPr>
        <w:t> </w:t>
      </w:r>
      <w:r>
        <w:rPr>
          <w:rFonts w:eastAsiaTheme="minorEastAsia"/>
          <w:lang w:eastAsia="zh-CN" w:bidi="ar-EG"/>
        </w:rPr>
        <w:t>(VoIP)</w:t>
      </w:r>
      <w:r w:rsidRPr="001D77AB">
        <w:rPr>
          <w:rFonts w:eastAsiaTheme="minorEastAsia" w:hint="cs"/>
          <w:rtl/>
          <w:lang w:eastAsia="zh-CN" w:bidi="ar-EG"/>
        </w:rPr>
        <w:t>) والخدمات المتاحة بحرية على الإنترنت</w:t>
      </w:r>
      <w:r>
        <w:rPr>
          <w:rFonts w:eastAsiaTheme="minorEastAsia" w:hint="eastAsia"/>
          <w:rtl/>
          <w:lang w:eastAsia="zh-CN" w:bidi="ar-EG"/>
        </w:rPr>
        <w:t> </w:t>
      </w:r>
      <w:r w:rsidRPr="001D77AB">
        <w:rPr>
          <w:rFonts w:eastAsiaTheme="minorEastAsia"/>
          <w:lang w:eastAsia="zh-CN"/>
        </w:rPr>
        <w:t>(OTT)</w:t>
      </w:r>
      <w:r w:rsidRPr="001D77AB">
        <w:rPr>
          <w:rFonts w:eastAsiaTheme="minorEastAsia" w:hint="cs"/>
          <w:rtl/>
          <w:lang w:eastAsia="zh-CN" w:bidi="ar-EG"/>
        </w:rPr>
        <w:t xml:space="preserve"> وإنترنت الأشياء </w:t>
      </w:r>
      <w:r w:rsidRPr="001D77AB">
        <w:rPr>
          <w:rFonts w:eastAsiaTheme="minorEastAsia"/>
          <w:lang w:eastAsia="zh-CN"/>
        </w:rPr>
        <w:t>(</w:t>
      </w:r>
      <w:proofErr w:type="spellStart"/>
      <w:r w:rsidRPr="001D77AB">
        <w:rPr>
          <w:rFonts w:eastAsiaTheme="minorEastAsia"/>
          <w:lang w:eastAsia="zh-CN"/>
        </w:rPr>
        <w:t>IoT</w:t>
      </w:r>
      <w:proofErr w:type="spellEnd"/>
      <w:r w:rsidRPr="001D77AB">
        <w:rPr>
          <w:rFonts w:eastAsiaTheme="minorEastAsia"/>
          <w:lang w:eastAsia="zh-CN"/>
        </w:rPr>
        <w:t>)</w:t>
      </w:r>
      <w:r w:rsidRPr="001D77AB">
        <w:rPr>
          <w:rFonts w:eastAsiaTheme="minorEastAsia" w:hint="cs"/>
          <w:rtl/>
          <w:lang w:eastAsia="zh-CN" w:bidi="ar-EG"/>
        </w:rPr>
        <w:t xml:space="preserve"> وغيرها.</w:t>
      </w:r>
    </w:p>
    <w:p w:rsidR="001D77AB" w:rsidRPr="001D77AB" w:rsidRDefault="001D77AB" w:rsidP="002A4BEF">
      <w:pPr>
        <w:rPr>
          <w:rFonts w:eastAsiaTheme="minorEastAsia"/>
          <w:rtl/>
          <w:lang w:eastAsia="zh-CN" w:bidi="ar-EG"/>
        </w:rPr>
      </w:pPr>
      <w:proofErr w:type="gramStart"/>
      <w:r w:rsidRPr="001D77AB">
        <w:rPr>
          <w:rFonts w:eastAsiaTheme="minorEastAsia" w:hint="cs"/>
          <w:rtl/>
          <w:lang w:eastAsia="zh-CN" w:bidi="ar-EG"/>
        </w:rPr>
        <w:t>ج)</w:t>
      </w:r>
      <w:r w:rsidRPr="001D77AB">
        <w:rPr>
          <w:rFonts w:eastAsiaTheme="minorEastAsia" w:hint="cs"/>
          <w:rtl/>
          <w:lang w:eastAsia="zh-CN" w:bidi="ar-EG"/>
        </w:rPr>
        <w:tab/>
      </w:r>
      <w:proofErr w:type="gramEnd"/>
      <w:r w:rsidR="002A4BEF" w:rsidRPr="002A4BEF">
        <w:rPr>
          <w:rFonts w:eastAsiaTheme="minorEastAsia" w:hint="cs"/>
          <w:i/>
          <w:iCs/>
          <w:rtl/>
          <w:lang w:eastAsia="zh-CN" w:bidi="ar-EG"/>
        </w:rPr>
        <w:t>"</w:t>
      </w:r>
      <w:r w:rsidRPr="002A4BEF">
        <w:rPr>
          <w:rFonts w:eastAsiaTheme="minorEastAsia"/>
          <w:i/>
          <w:iCs/>
          <w:rtl/>
          <w:lang w:eastAsia="zh-CN"/>
        </w:rPr>
        <w:t xml:space="preserve">تحليل أي تضارب محتمل بين التزامات الموقعين على لوائح الاتصالات الدولية لعام </w:t>
      </w:r>
      <w:r w:rsidRPr="002A4BEF">
        <w:rPr>
          <w:rFonts w:eastAsiaTheme="minorEastAsia"/>
          <w:i/>
          <w:iCs/>
          <w:lang w:eastAsia="zh-CN"/>
        </w:rPr>
        <w:t>2012</w:t>
      </w:r>
      <w:r w:rsidRPr="002A4BEF">
        <w:rPr>
          <w:rFonts w:eastAsiaTheme="minorEastAsia"/>
          <w:i/>
          <w:iCs/>
          <w:rtl/>
          <w:lang w:eastAsia="zh-CN"/>
        </w:rPr>
        <w:t xml:space="preserve"> والموقعين على لوائح الاتصالات الدولية لعام </w:t>
      </w:r>
      <w:r w:rsidRPr="002A4BEF">
        <w:rPr>
          <w:rFonts w:eastAsiaTheme="minorEastAsia"/>
          <w:i/>
          <w:iCs/>
          <w:lang w:eastAsia="zh-CN"/>
        </w:rPr>
        <w:t>1988</w:t>
      </w:r>
      <w:r w:rsidRPr="002A4BEF">
        <w:rPr>
          <w:rFonts w:eastAsiaTheme="minorEastAsia"/>
          <w:i/>
          <w:iCs/>
          <w:rtl/>
          <w:lang w:eastAsia="zh-CN"/>
        </w:rPr>
        <w:t xml:space="preserve"> فيما يتعلق بتنفيذ أحكام لوائح الاتصالات الدولية لعام </w:t>
      </w:r>
      <w:r w:rsidRPr="002A4BEF">
        <w:rPr>
          <w:rFonts w:eastAsiaTheme="minorEastAsia"/>
          <w:i/>
          <w:iCs/>
          <w:lang w:eastAsia="zh-CN"/>
        </w:rPr>
        <w:t>1988</w:t>
      </w:r>
      <w:r w:rsidRPr="002A4BEF">
        <w:rPr>
          <w:rFonts w:eastAsiaTheme="minorEastAsia"/>
          <w:i/>
          <w:iCs/>
          <w:rtl/>
          <w:lang w:eastAsia="zh-CN"/>
        </w:rPr>
        <w:t xml:space="preserve"> وعام </w:t>
      </w:r>
      <w:r w:rsidRPr="002A4BEF">
        <w:rPr>
          <w:rFonts w:eastAsiaTheme="minorEastAsia"/>
          <w:i/>
          <w:iCs/>
          <w:lang w:eastAsia="zh-CN"/>
        </w:rPr>
        <w:t>2012</w:t>
      </w:r>
      <w:r w:rsidR="002A4BEF">
        <w:rPr>
          <w:rFonts w:eastAsiaTheme="minorEastAsia" w:hint="cs"/>
          <w:i/>
          <w:iCs/>
          <w:rtl/>
          <w:lang w:eastAsia="zh-CN"/>
        </w:rPr>
        <w:t>"</w:t>
      </w:r>
    </w:p>
    <w:p w:rsidR="001D77AB" w:rsidRPr="001D77AB" w:rsidRDefault="001D77AB" w:rsidP="002A4BEF">
      <w:pPr>
        <w:rPr>
          <w:rFonts w:eastAsiaTheme="minorEastAsia"/>
          <w:rtl/>
          <w:lang w:eastAsia="zh-CN" w:bidi="ar-EG"/>
        </w:rPr>
      </w:pPr>
      <w:r w:rsidRPr="001D77AB">
        <w:rPr>
          <w:rFonts w:eastAsiaTheme="minorEastAsia" w:hint="cs"/>
          <w:rtl/>
          <w:lang w:eastAsia="zh-CN" w:bidi="ar-EG"/>
        </w:rPr>
        <w:t xml:space="preserve">يكمن </w:t>
      </w:r>
      <w:r w:rsidR="002A4BEF">
        <w:rPr>
          <w:rFonts w:eastAsiaTheme="minorEastAsia" w:hint="cs"/>
          <w:rtl/>
          <w:lang w:eastAsia="zh-CN" w:bidi="ar-EG"/>
        </w:rPr>
        <w:t>التضارب</w:t>
      </w:r>
      <w:r w:rsidRPr="001D77AB">
        <w:rPr>
          <w:rFonts w:eastAsiaTheme="minorEastAsia" w:hint="cs"/>
          <w:rtl/>
          <w:lang w:eastAsia="zh-CN" w:bidi="ar-EG"/>
        </w:rPr>
        <w:t xml:space="preserve"> الرئيسي الناشئ عن اللوائح الآن في أثرها المحدود بالنسبة للدول الأعضاء علماً أن ثمانية بلدان فقط من بين </w:t>
      </w:r>
      <w:r w:rsidRPr="001D77AB">
        <w:rPr>
          <w:rFonts w:eastAsiaTheme="minorEastAsia"/>
          <w:lang w:eastAsia="zh-CN"/>
        </w:rPr>
        <w:t>193</w:t>
      </w:r>
      <w:r w:rsidRPr="001D77AB">
        <w:rPr>
          <w:rFonts w:eastAsiaTheme="minorEastAsia" w:hint="cs"/>
          <w:rtl/>
          <w:lang w:eastAsia="zh-CN" w:bidi="ar-EG"/>
        </w:rPr>
        <w:t xml:space="preserve"> بلداً صدقت على معاهدة </w:t>
      </w:r>
      <w:r w:rsidRPr="001D77AB">
        <w:rPr>
          <w:rFonts w:eastAsiaTheme="minorEastAsia"/>
          <w:lang w:eastAsia="zh-CN"/>
        </w:rPr>
        <w:t>2012</w:t>
      </w:r>
      <w:r w:rsidRPr="001D77AB">
        <w:rPr>
          <w:rFonts w:eastAsiaTheme="minorEastAsia" w:hint="cs"/>
          <w:rtl/>
          <w:lang w:eastAsia="zh-CN" w:bidi="ar-EG"/>
        </w:rPr>
        <w:t xml:space="preserve"> وأن الدول المتبقية البالغ عددها </w:t>
      </w:r>
      <w:r w:rsidRPr="001D77AB">
        <w:rPr>
          <w:rFonts w:eastAsiaTheme="minorEastAsia"/>
          <w:lang w:eastAsia="zh-CN"/>
        </w:rPr>
        <w:t>89</w:t>
      </w:r>
      <w:r w:rsidRPr="001D77AB">
        <w:rPr>
          <w:rFonts w:eastAsiaTheme="minorEastAsia" w:hint="cs"/>
          <w:rtl/>
          <w:lang w:eastAsia="zh-CN" w:bidi="ar-EG"/>
        </w:rPr>
        <w:t xml:space="preserve"> دولة التي وقّعت على الوثائق الختامية للمؤتمر العالمي للاتصالات الدولية لعام </w:t>
      </w:r>
      <w:r w:rsidRPr="001D77AB">
        <w:rPr>
          <w:rFonts w:eastAsiaTheme="minorEastAsia"/>
          <w:lang w:eastAsia="zh-CN"/>
        </w:rPr>
        <w:t>2012</w:t>
      </w:r>
      <w:r w:rsidRPr="001D77AB">
        <w:rPr>
          <w:rFonts w:eastAsiaTheme="minorEastAsia" w:hint="cs"/>
          <w:rtl/>
          <w:lang w:eastAsia="zh-CN" w:bidi="ar-EG"/>
        </w:rPr>
        <w:t xml:space="preserve"> (</w:t>
      </w:r>
      <w:r w:rsidRPr="001D77AB">
        <w:rPr>
          <w:rFonts w:eastAsiaTheme="minorEastAsia"/>
          <w:lang w:eastAsia="zh-CN"/>
        </w:rPr>
        <w:t>104</w:t>
      </w:r>
      <w:r w:rsidRPr="001D77AB">
        <w:rPr>
          <w:rFonts w:eastAsiaTheme="minorEastAsia" w:hint="cs"/>
          <w:rtl/>
          <w:lang w:eastAsia="zh-CN" w:bidi="ar-EG"/>
        </w:rPr>
        <w:t xml:space="preserve"> بلدان) تظل خاضعة للوائح الاتصالات الدولية لعام </w:t>
      </w:r>
      <w:r w:rsidRPr="001D77AB">
        <w:rPr>
          <w:rFonts w:eastAsiaTheme="minorEastAsia"/>
          <w:lang w:eastAsia="zh-CN"/>
        </w:rPr>
        <w:t>1988</w:t>
      </w:r>
      <w:r w:rsidRPr="001D77AB">
        <w:rPr>
          <w:rFonts w:eastAsiaTheme="minorEastAsia" w:hint="cs"/>
          <w:rtl/>
          <w:lang w:eastAsia="zh-CN" w:bidi="ar-EG"/>
        </w:rPr>
        <w:t>؛ وهذا يعني أنه في حال عقد مؤتمر عالمي جديد للاتصالات الدولية، يتعين تحليل مجموعتي اللوائح كلتيهما مما يطرح تحديات كبيرة من حيث إنتاج وثيقة تحظى بتوافق الآراء.</w:t>
      </w:r>
    </w:p>
    <w:p w:rsidR="001D77AB" w:rsidRPr="001D77AB" w:rsidRDefault="001D77AB" w:rsidP="001D77AB">
      <w:pPr>
        <w:rPr>
          <w:rFonts w:eastAsiaTheme="minorEastAsia"/>
          <w:rtl/>
          <w:lang w:eastAsia="zh-CN" w:bidi="ar-EG"/>
        </w:rPr>
      </w:pPr>
      <w:r w:rsidRPr="001D77AB">
        <w:rPr>
          <w:rFonts w:eastAsiaTheme="minorEastAsia" w:hint="cs"/>
          <w:rtl/>
          <w:lang w:eastAsia="zh-CN" w:bidi="ar-EG"/>
        </w:rPr>
        <w:t xml:space="preserve">ولذلك توصي جمهورية فنزويلا </w:t>
      </w:r>
      <w:proofErr w:type="spellStart"/>
      <w:r w:rsidRPr="001D77AB">
        <w:rPr>
          <w:rFonts w:eastAsiaTheme="minorEastAsia" w:hint="cs"/>
          <w:rtl/>
          <w:lang w:eastAsia="zh-CN" w:bidi="ar-EG"/>
        </w:rPr>
        <w:t>البوليفارية</w:t>
      </w:r>
      <w:proofErr w:type="spellEnd"/>
      <w:r w:rsidRPr="001D77AB">
        <w:rPr>
          <w:rFonts w:eastAsiaTheme="minorEastAsia" w:hint="cs"/>
          <w:rtl/>
          <w:lang w:eastAsia="zh-CN" w:bidi="ar-EG"/>
        </w:rPr>
        <w:t xml:space="preserve"> بمواصلة دراسة اللوائح بحيث ينتهي الأمر إلى تحديثها، وتؤيد مواصلة عمل مجلس الاتحاد بالمراسلة من أجل تنسيق وثيقة أساسية يمكن أن تُعرض على مؤتمر عالمي لاحق للاتصالات الدولية عند دعوة مؤتمر المندوبين المفوضين لعام </w:t>
      </w:r>
      <w:r w:rsidRPr="001D77AB">
        <w:rPr>
          <w:rFonts w:eastAsiaTheme="minorEastAsia"/>
          <w:lang w:eastAsia="zh-CN"/>
        </w:rPr>
        <w:t>2018</w:t>
      </w:r>
      <w:r w:rsidRPr="001D77AB">
        <w:rPr>
          <w:rFonts w:eastAsiaTheme="minorEastAsia" w:hint="cs"/>
          <w:rtl/>
          <w:lang w:eastAsia="zh-CN" w:bidi="ar-EG"/>
        </w:rPr>
        <w:t xml:space="preserve"> </w:t>
      </w:r>
      <w:r w:rsidRPr="001D77AB">
        <w:rPr>
          <w:rFonts w:eastAsiaTheme="minorEastAsia"/>
          <w:lang w:eastAsia="zh-CN"/>
        </w:rPr>
        <w:t>(PP-18)</w:t>
      </w:r>
      <w:r w:rsidRPr="001D77AB">
        <w:rPr>
          <w:rFonts w:eastAsiaTheme="minorEastAsia" w:hint="cs"/>
          <w:rtl/>
          <w:lang w:eastAsia="zh-CN" w:bidi="ar-EG"/>
        </w:rPr>
        <w:t xml:space="preserve"> إلى عقد هذا الأخير.</w:t>
      </w:r>
    </w:p>
    <w:p w:rsidR="001D77AB" w:rsidRPr="001D77AB" w:rsidRDefault="001D77AB" w:rsidP="002A4BEF">
      <w:pPr>
        <w:spacing w:before="600"/>
        <w:jc w:val="center"/>
        <w:rPr>
          <w:rFonts w:eastAsiaTheme="minorEastAsia"/>
          <w:rtl/>
          <w:lang w:eastAsia="zh-CN" w:bidi="ar-EG"/>
        </w:rPr>
      </w:pPr>
      <w:r w:rsidRPr="001D77AB">
        <w:rPr>
          <w:rFonts w:eastAsiaTheme="minorEastAsia" w:hint="cs"/>
          <w:rtl/>
          <w:lang w:eastAsia="zh-CN" w:bidi="ar-SY"/>
        </w:rPr>
        <w:t>___________</w:t>
      </w:r>
    </w:p>
    <w:sectPr w:rsidR="001D77AB" w:rsidRPr="001D77AB"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4E" w:rsidRDefault="00C34D4E" w:rsidP="00E07379">
      <w:pPr>
        <w:spacing w:before="0" w:line="240" w:lineRule="auto"/>
      </w:pPr>
      <w:r>
        <w:separator/>
      </w:r>
    </w:p>
  </w:endnote>
  <w:endnote w:type="continuationSeparator" w:id="0">
    <w:p w:rsidR="00C34D4E" w:rsidRDefault="00C34D4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2A4BEF" w:rsidP="001D77AB">
    <w:pPr>
      <w:pStyle w:val="Footer"/>
      <w:tabs>
        <w:tab w:val="clear" w:pos="5812"/>
        <w:tab w:val="right" w:pos="5670"/>
      </w:tabs>
    </w:pPr>
    <w:fldSimple w:instr=" FILENAME \p \* MERGEFORMAT ">
      <w:r w:rsidR="001D77AB">
        <w:rPr>
          <w:noProof/>
        </w:rPr>
        <w:t>P:\ARA\SG\CONSEIL\EG-ITR\EG-ITR-2\000\012A.docx</w:t>
      </w:r>
    </w:fldSimple>
    <w:r w:rsidR="00BD0C50" w:rsidRPr="00665956">
      <w:t xml:space="preserve">   (</w:t>
    </w:r>
    <w:r w:rsidR="001D77AB">
      <w:t>423186</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D020AF">
      <w:rPr>
        <w:noProof/>
      </w:rPr>
      <w:t>08.09.17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C34D4E">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1D77AB">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1D77AB">
      <w:rPr>
        <w:rFonts w:cs="Calibri"/>
        <w:noProof/>
        <w:lang w:val="fr-FR"/>
      </w:rPr>
      <w:t>P:\ARA\SG\CONSEIL\EG-ITR\EG-ITR-2\000\012A.docx</w:t>
    </w:r>
    <w:r w:rsidRPr="00476123">
      <w:rPr>
        <w:rFonts w:cs="Calibri"/>
      </w:rPr>
      <w:fldChar w:fldCharType="end"/>
    </w:r>
    <w:r w:rsidRPr="001D77AB">
      <w:rPr>
        <w:rFonts w:cs="Calibri"/>
        <w:lang w:val="fr-FR"/>
      </w:rPr>
      <w:t xml:space="preserve">  </w:t>
    </w:r>
    <w:r w:rsidRPr="00476123">
      <w:rPr>
        <w:rFonts w:cs="Calibri"/>
        <w:lang w:val="fr-FR"/>
      </w:rPr>
      <w:t xml:space="preserve"> (</w:t>
    </w:r>
    <w:r w:rsidR="001D77AB">
      <w:rPr>
        <w:rFonts w:cs="Calibri"/>
        <w:lang w:val="fr-FR"/>
      </w:rPr>
      <w:t>423186</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D020AF">
      <w:rPr>
        <w:rFonts w:cs="Calibri"/>
        <w:noProof/>
        <w:lang w:val="fr-FR"/>
      </w:rPr>
      <w:t>08.09.17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C34D4E">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4E" w:rsidRDefault="00C34D4E" w:rsidP="00E07379">
      <w:pPr>
        <w:spacing w:before="0" w:line="240" w:lineRule="auto"/>
      </w:pPr>
      <w:r>
        <w:separator/>
      </w:r>
    </w:p>
  </w:footnote>
  <w:footnote w:type="continuationSeparator" w:id="0">
    <w:p w:rsidR="00C34D4E" w:rsidRDefault="00C34D4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020AF"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D020AF">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4E"/>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D77AB"/>
    <w:rsid w:val="0022345D"/>
    <w:rsid w:val="00225854"/>
    <w:rsid w:val="0023283D"/>
    <w:rsid w:val="00252E0C"/>
    <w:rsid w:val="00276881"/>
    <w:rsid w:val="002916BE"/>
    <w:rsid w:val="002978F4"/>
    <w:rsid w:val="002A4BEF"/>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50A5B"/>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34D4E"/>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20AF"/>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FFB2A0-32B8-442B-8DF1-6344DDBD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82D27972-2A3B-4435-A99F-14991314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PA_EG-ITR-2.dotx</Template>
  <TotalTime>7</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3</cp:revision>
  <cp:lastPrinted>2016-06-07T13:25:00Z</cp:lastPrinted>
  <dcterms:created xsi:type="dcterms:W3CDTF">2017-09-08T13:35:00Z</dcterms:created>
  <dcterms:modified xsi:type="dcterms:W3CDTF">2017-09-08T14:46:00Z</dcterms:modified>
  <cp:category>Conference document</cp:category>
</cp:coreProperties>
</file>