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C26F65" w:rsidRPr="005A74F1">
        <w:trPr>
          <w:cantSplit/>
        </w:trPr>
        <w:tc>
          <w:tcPr>
            <w:tcW w:w="6912" w:type="dxa"/>
          </w:tcPr>
          <w:p w:rsidR="00C26F65" w:rsidRPr="005A74F1" w:rsidRDefault="00C26F65" w:rsidP="00C26F65">
            <w:pPr>
              <w:spacing w:before="360"/>
              <w:rPr>
                <w:szCs w:val="24"/>
              </w:rPr>
            </w:pPr>
            <w:bookmarkStart w:id="0" w:name="dbluepink" w:colFirst="0" w:colLast="0"/>
            <w:r w:rsidRPr="005A74F1">
              <w:rPr>
                <w:rFonts w:eastAsia="Calibri" w:cs="Calibri"/>
                <w:b/>
                <w:bCs/>
                <w:color w:val="000000"/>
                <w:position w:val="6"/>
                <w:sz w:val="30"/>
                <w:szCs w:val="30"/>
              </w:rPr>
              <w:t xml:space="preserve">Grupo de Expertos sobre el Reglamento de las </w:t>
            </w:r>
            <w:r w:rsidRPr="005A74F1">
              <w:rPr>
                <w:rFonts w:eastAsia="Calibri" w:cs="Calibri"/>
                <w:b/>
                <w:bCs/>
                <w:color w:val="000000"/>
                <w:position w:val="6"/>
                <w:sz w:val="30"/>
                <w:szCs w:val="30"/>
              </w:rPr>
              <w:br/>
              <w:t>Telecomunicaciones Internacionales (GE-RTI)</w:t>
            </w:r>
          </w:p>
        </w:tc>
        <w:tc>
          <w:tcPr>
            <w:tcW w:w="3261" w:type="dxa"/>
          </w:tcPr>
          <w:p w:rsidR="00C26F65" w:rsidRPr="005A74F1" w:rsidRDefault="00C26F65" w:rsidP="00C26F65">
            <w:pPr>
              <w:spacing w:before="0"/>
              <w:jc w:val="right"/>
              <w:rPr>
                <w:szCs w:val="24"/>
              </w:rPr>
            </w:pPr>
            <w:bookmarkStart w:id="1" w:name="ditulogo"/>
            <w:bookmarkEnd w:id="1"/>
            <w:r w:rsidRPr="005A74F1">
              <w:rPr>
                <w:rFonts w:cstheme="minorHAnsi"/>
                <w:b/>
                <w:bCs/>
                <w:noProof/>
                <w:szCs w:val="24"/>
                <w:lang w:val="en-US" w:eastAsia="zh-CN"/>
              </w:rPr>
              <w:drawing>
                <wp:inline distT="0" distB="0" distL="0" distR="0" wp14:anchorId="279A9AA6" wp14:editId="712B9729">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26F65" w:rsidRPr="005A74F1">
        <w:trPr>
          <w:cantSplit/>
          <w:trHeight w:val="20"/>
        </w:trPr>
        <w:tc>
          <w:tcPr>
            <w:tcW w:w="10173" w:type="dxa"/>
            <w:gridSpan w:val="2"/>
            <w:tcBorders>
              <w:bottom w:val="single" w:sz="12" w:space="0" w:color="auto"/>
            </w:tcBorders>
          </w:tcPr>
          <w:p w:rsidR="00C26F65" w:rsidRPr="005A74F1" w:rsidRDefault="00F869A6" w:rsidP="00F869A6">
            <w:pPr>
              <w:spacing w:before="0"/>
              <w:rPr>
                <w:b/>
                <w:bCs/>
                <w:szCs w:val="24"/>
              </w:rPr>
            </w:pPr>
            <w:r w:rsidRPr="005A74F1">
              <w:rPr>
                <w:rFonts w:eastAsia="Calibri" w:cs="Calibri"/>
                <w:b/>
                <w:color w:val="000000"/>
                <w:szCs w:val="24"/>
              </w:rPr>
              <w:t>Segunda</w:t>
            </w:r>
            <w:r w:rsidR="00C26F65" w:rsidRPr="005A74F1">
              <w:rPr>
                <w:rFonts w:eastAsia="Calibri" w:cs="Calibri"/>
                <w:b/>
                <w:color w:val="000000"/>
                <w:szCs w:val="24"/>
              </w:rPr>
              <w:t xml:space="preserve"> reunión – Ginebra, </w:t>
            </w:r>
            <w:r w:rsidRPr="005A74F1">
              <w:rPr>
                <w:rFonts w:eastAsia="Calibri" w:cs="Calibri"/>
                <w:b/>
                <w:color w:val="000000"/>
                <w:szCs w:val="24"/>
              </w:rPr>
              <w:t>13-15 de septiembre</w:t>
            </w:r>
            <w:r w:rsidR="00C26F65" w:rsidRPr="005A74F1">
              <w:rPr>
                <w:rFonts w:eastAsia="Calibri" w:cs="Calibri"/>
                <w:b/>
                <w:color w:val="000000"/>
                <w:szCs w:val="24"/>
              </w:rPr>
              <w:t xml:space="preserve"> de 2017</w:t>
            </w:r>
          </w:p>
        </w:tc>
      </w:tr>
      <w:tr w:rsidR="00C26F65" w:rsidRPr="005A74F1">
        <w:trPr>
          <w:cantSplit/>
          <w:trHeight w:val="20"/>
        </w:trPr>
        <w:tc>
          <w:tcPr>
            <w:tcW w:w="6912" w:type="dxa"/>
            <w:tcBorders>
              <w:top w:val="single" w:sz="12" w:space="0" w:color="auto"/>
            </w:tcBorders>
          </w:tcPr>
          <w:p w:rsidR="00C26F65" w:rsidRPr="005A74F1" w:rsidRDefault="00C26F6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C26F65" w:rsidRPr="005A74F1" w:rsidRDefault="00C26F65">
            <w:pPr>
              <w:spacing w:before="0"/>
              <w:rPr>
                <w:b/>
                <w:bCs/>
                <w:szCs w:val="24"/>
              </w:rPr>
            </w:pPr>
          </w:p>
        </w:tc>
      </w:tr>
      <w:tr w:rsidR="00C26F65" w:rsidRPr="005A74F1">
        <w:trPr>
          <w:cantSplit/>
          <w:trHeight w:val="20"/>
        </w:trPr>
        <w:tc>
          <w:tcPr>
            <w:tcW w:w="6912" w:type="dxa"/>
            <w:shd w:val="clear" w:color="auto" w:fill="auto"/>
          </w:tcPr>
          <w:p w:rsidR="00C26F65" w:rsidRPr="005A74F1" w:rsidRDefault="00C26F65">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C26F65" w:rsidRPr="005A74F1" w:rsidRDefault="00C26F65" w:rsidP="00924784">
            <w:pPr>
              <w:spacing w:before="0"/>
              <w:rPr>
                <w:b/>
                <w:bCs/>
                <w:szCs w:val="24"/>
              </w:rPr>
            </w:pPr>
            <w:r w:rsidRPr="005A74F1">
              <w:rPr>
                <w:b/>
              </w:rPr>
              <w:t>Documento EG-ITRs</w:t>
            </w:r>
            <w:r w:rsidR="00B174F9" w:rsidRPr="005A74F1">
              <w:rPr>
                <w:b/>
              </w:rPr>
              <w:t>-</w:t>
            </w:r>
            <w:r w:rsidR="00F869A6" w:rsidRPr="005A74F1">
              <w:rPr>
                <w:b/>
              </w:rPr>
              <w:t>2</w:t>
            </w:r>
            <w:r w:rsidRPr="005A74F1">
              <w:rPr>
                <w:b/>
              </w:rPr>
              <w:t>/</w:t>
            </w:r>
            <w:r w:rsidR="00924784" w:rsidRPr="005A74F1">
              <w:rPr>
                <w:b/>
              </w:rPr>
              <w:t>11</w:t>
            </w:r>
            <w:r w:rsidRPr="005A74F1">
              <w:rPr>
                <w:b/>
              </w:rPr>
              <w:t>-S</w:t>
            </w:r>
          </w:p>
        </w:tc>
      </w:tr>
      <w:tr w:rsidR="00C26F65" w:rsidRPr="005A74F1">
        <w:trPr>
          <w:cantSplit/>
          <w:trHeight w:val="20"/>
        </w:trPr>
        <w:tc>
          <w:tcPr>
            <w:tcW w:w="6912" w:type="dxa"/>
            <w:shd w:val="clear" w:color="auto" w:fill="auto"/>
          </w:tcPr>
          <w:p w:rsidR="00C26F65" w:rsidRPr="005A74F1" w:rsidRDefault="00C26F65">
            <w:pPr>
              <w:shd w:val="solid" w:color="FFFFFF" w:fill="FFFFFF"/>
              <w:spacing w:before="0"/>
              <w:rPr>
                <w:smallCaps/>
                <w:szCs w:val="24"/>
              </w:rPr>
            </w:pPr>
            <w:bookmarkStart w:id="4" w:name="ddate" w:colFirst="1" w:colLast="1"/>
            <w:bookmarkEnd w:id="2"/>
            <w:bookmarkEnd w:id="3"/>
          </w:p>
        </w:tc>
        <w:tc>
          <w:tcPr>
            <w:tcW w:w="3261" w:type="dxa"/>
          </w:tcPr>
          <w:p w:rsidR="00C26F65" w:rsidRPr="005A74F1" w:rsidRDefault="00924784" w:rsidP="00881C9C">
            <w:pPr>
              <w:spacing w:before="0"/>
              <w:rPr>
                <w:b/>
                <w:bCs/>
                <w:szCs w:val="24"/>
              </w:rPr>
            </w:pPr>
            <w:r w:rsidRPr="005A74F1">
              <w:rPr>
                <w:b/>
                <w:bCs/>
                <w:szCs w:val="24"/>
              </w:rPr>
              <w:t>30</w:t>
            </w:r>
            <w:r w:rsidR="00C26F65" w:rsidRPr="005A74F1">
              <w:rPr>
                <w:b/>
                <w:bCs/>
                <w:szCs w:val="24"/>
              </w:rPr>
              <w:t xml:space="preserve"> de </w:t>
            </w:r>
            <w:r w:rsidR="00F869A6" w:rsidRPr="005A74F1">
              <w:rPr>
                <w:b/>
                <w:bCs/>
                <w:szCs w:val="24"/>
              </w:rPr>
              <w:t>agosto</w:t>
            </w:r>
            <w:r w:rsidR="00C26F65" w:rsidRPr="005A74F1">
              <w:rPr>
                <w:b/>
                <w:bCs/>
                <w:szCs w:val="24"/>
              </w:rPr>
              <w:t xml:space="preserve"> de 2017</w:t>
            </w:r>
          </w:p>
        </w:tc>
      </w:tr>
      <w:tr w:rsidR="00C26F65" w:rsidRPr="005A74F1">
        <w:trPr>
          <w:cantSplit/>
          <w:trHeight w:val="20"/>
        </w:trPr>
        <w:tc>
          <w:tcPr>
            <w:tcW w:w="6912" w:type="dxa"/>
            <w:shd w:val="clear" w:color="auto" w:fill="auto"/>
          </w:tcPr>
          <w:p w:rsidR="00C26F65" w:rsidRPr="005A74F1" w:rsidRDefault="00C26F65">
            <w:pPr>
              <w:shd w:val="solid" w:color="FFFFFF" w:fill="FFFFFF"/>
              <w:spacing w:before="0"/>
              <w:rPr>
                <w:smallCaps/>
                <w:szCs w:val="24"/>
              </w:rPr>
            </w:pPr>
            <w:bookmarkStart w:id="5" w:name="dorlang" w:colFirst="1" w:colLast="1"/>
            <w:bookmarkEnd w:id="4"/>
          </w:p>
        </w:tc>
        <w:tc>
          <w:tcPr>
            <w:tcW w:w="3261" w:type="dxa"/>
          </w:tcPr>
          <w:p w:rsidR="00C26F65" w:rsidRPr="005A74F1" w:rsidRDefault="00C26F65" w:rsidP="00881C9C">
            <w:pPr>
              <w:spacing w:before="0"/>
              <w:rPr>
                <w:b/>
                <w:bCs/>
                <w:szCs w:val="24"/>
              </w:rPr>
            </w:pPr>
            <w:r w:rsidRPr="005A74F1">
              <w:rPr>
                <w:b/>
                <w:bCs/>
                <w:szCs w:val="24"/>
              </w:rPr>
              <w:t xml:space="preserve">Original: </w:t>
            </w:r>
            <w:r w:rsidR="00B454DB" w:rsidRPr="005A74F1">
              <w:rPr>
                <w:b/>
              </w:rPr>
              <w:t>inglés</w:t>
            </w:r>
          </w:p>
        </w:tc>
      </w:tr>
      <w:tr w:rsidR="00C26F65" w:rsidRPr="005A74F1">
        <w:trPr>
          <w:cantSplit/>
        </w:trPr>
        <w:tc>
          <w:tcPr>
            <w:tcW w:w="10173" w:type="dxa"/>
            <w:gridSpan w:val="2"/>
          </w:tcPr>
          <w:p w:rsidR="00C26F65" w:rsidRPr="005A74F1" w:rsidRDefault="00924784" w:rsidP="00924784">
            <w:pPr>
              <w:pStyle w:val="Normal1"/>
              <w:spacing w:before="600"/>
              <w:jc w:val="center"/>
              <w:rPr>
                <w:rFonts w:asciiTheme="minorHAnsi" w:hAnsiTheme="minorHAnsi" w:cs="Times New Roman"/>
                <w:b/>
                <w:sz w:val="28"/>
                <w:szCs w:val="28"/>
                <w:lang w:val="es-ES_tradnl"/>
              </w:rPr>
            </w:pPr>
            <w:bookmarkStart w:id="6" w:name="dsource" w:colFirst="0" w:colLast="0"/>
            <w:bookmarkEnd w:id="0"/>
            <w:bookmarkEnd w:id="5"/>
            <w:r w:rsidRPr="005A74F1">
              <w:rPr>
                <w:b/>
                <w:sz w:val="28"/>
                <w:szCs w:val="28"/>
                <w:lang w:val="es-ES_tradnl"/>
              </w:rPr>
              <w:t xml:space="preserve">Contribución de </w:t>
            </w:r>
            <w:r w:rsidRPr="005A74F1">
              <w:rPr>
                <w:b/>
                <w:sz w:val="28"/>
                <w:szCs w:val="28"/>
                <w:lang w:val="es-ES_tradnl" w:eastAsia="ja-JP"/>
              </w:rPr>
              <w:t>Japón</w:t>
            </w:r>
          </w:p>
        </w:tc>
      </w:tr>
      <w:tr w:rsidR="00C26F65" w:rsidRPr="005A74F1">
        <w:trPr>
          <w:cantSplit/>
        </w:trPr>
        <w:tc>
          <w:tcPr>
            <w:tcW w:w="10173" w:type="dxa"/>
            <w:gridSpan w:val="2"/>
          </w:tcPr>
          <w:p w:rsidR="00C26F65" w:rsidRPr="005A74F1" w:rsidRDefault="00924784" w:rsidP="0076194C">
            <w:pPr>
              <w:pStyle w:val="Title1"/>
            </w:pPr>
            <w:bookmarkStart w:id="7" w:name="dtitle1" w:colFirst="0" w:colLast="0"/>
            <w:bookmarkEnd w:id="6"/>
            <w:r w:rsidRPr="005A74F1">
              <w:rPr>
                <w:rFonts w:cs="Times New Roman Bold"/>
                <w:bCs/>
                <w:szCs w:val="22"/>
                <w:lang w:eastAsia="ja-JP"/>
              </w:rPr>
              <w:t>Opinión de japón sobre el examen del</w:t>
            </w:r>
            <w:r w:rsidRPr="005A74F1">
              <w:t xml:space="preserve"> </w:t>
            </w:r>
            <w:r w:rsidRPr="005A74F1">
              <w:rPr>
                <w:rFonts w:cs="Times New Roman Bold"/>
                <w:bCs/>
                <w:szCs w:val="22"/>
                <w:lang w:eastAsia="ja-JP"/>
              </w:rPr>
              <w:t xml:space="preserve">REGLAMENTO </w:t>
            </w:r>
            <w:r w:rsidRPr="005A74F1">
              <w:rPr>
                <w:rFonts w:cs="Times New Roman Bold"/>
                <w:bCs/>
                <w:szCs w:val="22"/>
                <w:lang w:eastAsia="ja-JP"/>
              </w:rPr>
              <w:br/>
              <w:t>DE TELECOMUNICACIONES INTERNACIONALES</w:t>
            </w:r>
          </w:p>
        </w:tc>
      </w:tr>
    </w:tbl>
    <w:bookmarkEnd w:id="7"/>
    <w:p w:rsidR="00924784" w:rsidRPr="005A74F1" w:rsidRDefault="00924784" w:rsidP="00445623">
      <w:pPr>
        <w:pStyle w:val="Heading1"/>
      </w:pPr>
      <w:r w:rsidRPr="005A74F1">
        <w:t>1</w:t>
      </w:r>
      <w:r w:rsidRPr="005A74F1">
        <w:tab/>
        <w:t>Introducción</w:t>
      </w:r>
    </w:p>
    <w:p w:rsidR="00924784" w:rsidRPr="005A74F1" w:rsidRDefault="00924784" w:rsidP="00445623">
      <w:pPr>
        <w:rPr>
          <w:lang w:eastAsia="ja-JP"/>
        </w:rPr>
      </w:pPr>
      <w:r w:rsidRPr="005A74F1">
        <w:rPr>
          <w:lang w:eastAsia="ja-JP"/>
        </w:rPr>
        <w:t>En Japón, el mercado de las telecomunicaciones nacionales e internacionales se liberalizó en 1985. Muchos operadores nuevos se introdujeron en los mercados de telecomunicaciones basándose en el principio de competencia, la misma competencia entre operadores que permitió bajar los precios de los servicios de telecomunicaciones y crear servicios diversificados en los mercados de telecomunicaciones. Esto contribuyó a aumentar la utilización de las TIC y, en consecuencia, el sector de las TIC se está desarrollando en un círculo virtuoso en el país.</w:t>
      </w:r>
    </w:p>
    <w:p w:rsidR="00924784" w:rsidRPr="005A74F1" w:rsidRDefault="00924784" w:rsidP="007216C1">
      <w:pPr>
        <w:rPr>
          <w:lang w:eastAsia="ja-JP"/>
        </w:rPr>
      </w:pPr>
      <w:r w:rsidRPr="005A74F1">
        <w:rPr>
          <w:lang w:eastAsia="ja-JP"/>
        </w:rPr>
        <w:t xml:space="preserve">Tal y como se muestra en la </w:t>
      </w:r>
      <w:r w:rsidR="007216C1" w:rsidRPr="005A74F1">
        <w:rPr>
          <w:lang w:eastAsia="ja-JP"/>
        </w:rPr>
        <w:t xml:space="preserve">Figura </w:t>
      </w:r>
      <w:r w:rsidRPr="005A74F1">
        <w:rPr>
          <w:lang w:eastAsia="ja-JP"/>
        </w:rPr>
        <w:t>infra, en los casi 30 años que han transcurrido desde que se liberalizaron las telecomunicaciones, el sector de las telecomunicaciones y las TIC de Japón ha crecido de manera espectacular. El sector de las TIC tambié</w:t>
      </w:r>
      <w:bookmarkStart w:id="8" w:name="_GoBack"/>
      <w:bookmarkEnd w:id="8"/>
      <w:r w:rsidRPr="005A74F1">
        <w:rPr>
          <w:lang w:eastAsia="ja-JP"/>
        </w:rPr>
        <w:t>n ha contribuido sin cesar a nuestro crecimiento económico.</w:t>
      </w:r>
    </w:p>
    <w:p w:rsidR="007216C1" w:rsidRPr="005A74F1" w:rsidRDefault="007216C1" w:rsidP="007216C1">
      <w:pPr>
        <w:rPr>
          <w:lang w:eastAsia="ja-JP"/>
        </w:rPr>
      </w:pPr>
      <w:r w:rsidRPr="005A74F1">
        <w:rPr>
          <w:lang w:eastAsia="ja-JP"/>
        </w:rPr>
        <w:br w:type="page"/>
      </w:r>
    </w:p>
    <w:p w:rsidR="00924784" w:rsidRPr="005A74F1" w:rsidRDefault="00924784" w:rsidP="00E041DD">
      <w:pPr>
        <w:pStyle w:val="Figuretitle"/>
        <w:spacing w:after="120"/>
        <w:rPr>
          <w:rFonts w:eastAsia="MS Mincho"/>
          <w:b w:val="0"/>
          <w:bCs/>
          <w:lang w:eastAsia="ja-JP"/>
        </w:rPr>
      </w:pPr>
      <w:r w:rsidRPr="005A74F1">
        <w:rPr>
          <w:rFonts w:eastAsia="MS Mincho"/>
          <w:u w:val="single"/>
          <w:lang w:eastAsia="ja-JP"/>
        </w:rPr>
        <w:lastRenderedPageBreak/>
        <w:t>Figura 1: Ventas realizadas por las empresas de telecomunicaciones</w:t>
      </w:r>
      <w:r w:rsidR="00E041DD" w:rsidRPr="005A74F1">
        <w:rPr>
          <w:rFonts w:eastAsia="MS Mincho"/>
          <w:u w:val="single"/>
          <w:lang w:eastAsia="ja-JP"/>
        </w:rPr>
        <w:br/>
      </w:r>
      <w:r w:rsidRPr="005A74F1">
        <w:rPr>
          <w:rFonts w:eastAsia="MS Mincho"/>
          <w:b w:val="0"/>
          <w:bCs/>
          <w:lang w:eastAsia="ja-JP"/>
        </w:rPr>
        <w:t>(ventas totales en los mercados nacional e internacional)</w:t>
      </w:r>
    </w:p>
    <w:p w:rsidR="00924784" w:rsidRPr="005A74F1" w:rsidRDefault="00924784" w:rsidP="00E041DD">
      <w:pPr>
        <w:tabs>
          <w:tab w:val="clear" w:pos="567"/>
          <w:tab w:val="clear" w:pos="1134"/>
          <w:tab w:val="clear" w:pos="1701"/>
          <w:tab w:val="clear" w:pos="2268"/>
          <w:tab w:val="clear" w:pos="2835"/>
        </w:tabs>
        <w:overflowPunct/>
        <w:autoSpaceDE/>
        <w:autoSpaceDN/>
        <w:adjustRightInd/>
        <w:spacing w:before="0"/>
        <w:textAlignment w:val="auto"/>
        <w:rPr>
          <w:lang w:eastAsia="ja-JP"/>
        </w:rPr>
      </w:pPr>
      <w:r w:rsidRPr="005A74F1">
        <w:rPr>
          <w:lang w:eastAsia="ja-JP"/>
        </w:rPr>
        <w:t>Las ventas realizadas por los operadores de telecomunicaciones japoneses se han cuadruplicado en 28 años.</w:t>
      </w:r>
    </w:p>
    <w:p w:rsidR="00924784" w:rsidRPr="005A74F1" w:rsidRDefault="00924784" w:rsidP="00E041DD">
      <w:pPr>
        <w:pStyle w:val="ListParagraph"/>
        <w:snapToGrid w:val="0"/>
        <w:spacing w:before="200" w:after="120"/>
        <w:ind w:left="470"/>
        <w:jc w:val="center"/>
        <w:rPr>
          <w:color w:val="000000"/>
          <w:lang w:val="es-ES_tradnl" w:eastAsia="ja-JP"/>
        </w:rPr>
      </w:pPr>
      <w:r w:rsidRPr="005A74F1">
        <w:rPr>
          <w:noProof/>
          <w:color w:val="000000"/>
        </w:rPr>
        <w:drawing>
          <wp:inline distT="0" distB="0" distL="0" distR="0" wp14:anchorId="78A6F3F5" wp14:editId="37E9FE35">
            <wp:extent cx="3723640" cy="3087388"/>
            <wp:effectExtent l="19050" t="19050" r="10160" b="177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6837" cy="3098330"/>
                    </a:xfrm>
                    <a:prstGeom prst="rect">
                      <a:avLst/>
                    </a:prstGeom>
                    <a:ln w="6350">
                      <a:solidFill>
                        <a:schemeClr val="tx1">
                          <a:lumMod val="50000"/>
                          <a:lumOff val="50000"/>
                        </a:schemeClr>
                      </a:solidFill>
                    </a:ln>
                  </pic:spPr>
                </pic:pic>
              </a:graphicData>
            </a:graphic>
          </wp:inline>
        </w:drawing>
      </w:r>
    </w:p>
    <w:p w:rsidR="00924784" w:rsidRPr="005A74F1" w:rsidRDefault="00924784" w:rsidP="00E041DD">
      <w:pPr>
        <w:pStyle w:val="Figurelegend"/>
        <w:rPr>
          <w:rFonts w:eastAsia="MS Mincho"/>
          <w:lang w:eastAsia="ja-JP"/>
        </w:rPr>
      </w:pPr>
      <w:r w:rsidRPr="005A74F1">
        <w:rPr>
          <w:rFonts w:eastAsia="MS Mincho"/>
          <w:lang w:eastAsia="ja-JP"/>
        </w:rPr>
        <w:t>(Fuente: Libro blanco de 2015 sobre la información y las comunicaciones en Japón, Ministerio de Asuntos Internos y Comunicaciones de Japón)</w:t>
      </w:r>
    </w:p>
    <w:p w:rsidR="00924784" w:rsidRPr="005A74F1" w:rsidRDefault="00B907F5" w:rsidP="00B907F5">
      <w:pPr>
        <w:pStyle w:val="Figurelegend"/>
        <w:spacing w:before="120"/>
        <w:rPr>
          <w:rFonts w:eastAsia="MS Mincho"/>
          <w:lang w:eastAsia="ja-JP"/>
        </w:rPr>
      </w:pPr>
      <w:r w:rsidRPr="005A74F1">
        <w:rPr>
          <w:rFonts w:eastAsia="MS Mincho"/>
          <w:lang w:eastAsia="ja-JP"/>
        </w:rPr>
        <w:t>Leyenda:</w:t>
      </w:r>
    </w:p>
    <w:p w:rsidR="00B907F5" w:rsidRPr="005A74F1" w:rsidRDefault="00B907F5" w:rsidP="00B907F5">
      <w:pPr>
        <w:pStyle w:val="Figurelegend"/>
        <w:rPr>
          <w:rFonts w:eastAsia="MS Mincho"/>
          <w:lang w:eastAsia="ja-JP"/>
        </w:rPr>
      </w:pPr>
      <w:r w:rsidRPr="005A74F1">
        <w:rPr>
          <w:rFonts w:eastAsia="MS Mincho"/>
          <w:lang w:eastAsia="ja-JP"/>
        </w:rPr>
        <w:t>1985 Privatización de NTT</w:t>
      </w:r>
    </w:p>
    <w:p w:rsidR="00B907F5" w:rsidRPr="005A74F1" w:rsidRDefault="00B907F5" w:rsidP="00B907F5">
      <w:pPr>
        <w:pStyle w:val="Figurelegend"/>
        <w:rPr>
          <w:rFonts w:eastAsia="MS Mincho"/>
          <w:lang w:eastAsia="ja-JP"/>
        </w:rPr>
      </w:pPr>
      <w:r w:rsidRPr="005A74F1">
        <w:rPr>
          <w:rFonts w:eastAsia="MS Mincho"/>
          <w:lang w:eastAsia="ja-JP"/>
        </w:rPr>
        <w:t>28 años</w:t>
      </w:r>
    </w:p>
    <w:p w:rsidR="00B907F5" w:rsidRPr="005A74F1" w:rsidRDefault="00B907F5" w:rsidP="00B907F5">
      <w:pPr>
        <w:pStyle w:val="Figurelegend"/>
        <w:rPr>
          <w:rFonts w:eastAsia="MS Mincho"/>
          <w:lang w:eastAsia="ja-JP"/>
        </w:rPr>
      </w:pPr>
      <w:r w:rsidRPr="005A74F1">
        <w:rPr>
          <w:rFonts w:eastAsia="MS Mincho"/>
          <w:lang w:eastAsia="ja-JP"/>
        </w:rPr>
        <w:t>2013</w:t>
      </w:r>
    </w:p>
    <w:p w:rsidR="00B907F5" w:rsidRPr="005A74F1" w:rsidRDefault="00B907F5" w:rsidP="00B907F5">
      <w:pPr>
        <w:pStyle w:val="Figurelegend"/>
        <w:rPr>
          <w:rFonts w:eastAsia="MS Mincho"/>
          <w:lang w:eastAsia="ja-JP"/>
        </w:rPr>
      </w:pPr>
      <w:r w:rsidRPr="005A74F1">
        <w:rPr>
          <w:rFonts w:eastAsia="MS Mincho"/>
          <w:lang w:eastAsia="ja-JP"/>
        </w:rPr>
        <w:t>[</w:t>
      </w:r>
      <w:proofErr w:type="gramStart"/>
      <w:r w:rsidRPr="005A74F1">
        <w:rPr>
          <w:rFonts w:eastAsia="MS Mincho"/>
          <w:lang w:eastAsia="ja-JP"/>
        </w:rPr>
        <w:t>billones</w:t>
      </w:r>
      <w:proofErr w:type="gramEnd"/>
      <w:r w:rsidRPr="005A74F1">
        <w:rPr>
          <w:rFonts w:eastAsia="MS Mincho"/>
          <w:lang w:eastAsia="ja-JP"/>
        </w:rPr>
        <w:t xml:space="preserve"> de yenes]</w:t>
      </w:r>
    </w:p>
    <w:p w:rsidR="00963408" w:rsidRPr="005A74F1" w:rsidRDefault="00963408" w:rsidP="00B907F5">
      <w:pPr>
        <w:pStyle w:val="Figurelegend"/>
        <w:rPr>
          <w:rFonts w:eastAsia="MS Mincho"/>
          <w:lang w:eastAsia="ja-JP"/>
        </w:rPr>
      </w:pPr>
      <w:r w:rsidRPr="005A74F1">
        <w:rPr>
          <w:rFonts w:eastAsia="MS Mincho"/>
          <w:lang w:eastAsia="ja-JP"/>
        </w:rPr>
        <w:t>Cifra ± cuadruplicada</w:t>
      </w:r>
    </w:p>
    <w:p w:rsidR="00963408" w:rsidRPr="005A74F1" w:rsidRDefault="00963408" w:rsidP="00963408">
      <w:pPr>
        <w:pStyle w:val="Figurelegend"/>
        <w:rPr>
          <w:rFonts w:eastAsia="MS Mincho"/>
          <w:lang w:eastAsia="ja-JP"/>
        </w:rPr>
      </w:pPr>
      <w:r w:rsidRPr="005A74F1">
        <w:rPr>
          <w:rFonts w:eastAsia="MS Mincho"/>
          <w:lang w:eastAsia="ja-JP"/>
        </w:rPr>
        <w:t>KDD: 223 millones de yenes</w:t>
      </w:r>
    </w:p>
    <w:p w:rsidR="00963408" w:rsidRPr="005A74F1" w:rsidRDefault="00963408" w:rsidP="00963408">
      <w:pPr>
        <w:pStyle w:val="Figurelegend"/>
        <w:rPr>
          <w:rFonts w:eastAsia="MS Mincho"/>
          <w:lang w:eastAsia="ja-JP"/>
        </w:rPr>
      </w:pPr>
      <w:r w:rsidRPr="005A74F1">
        <w:rPr>
          <w:rFonts w:eastAsia="MS Mincho"/>
          <w:lang w:eastAsia="ja-JP"/>
        </w:rPr>
        <w:t>NTT: 5 134 billones de yenes</w:t>
      </w:r>
    </w:p>
    <w:p w:rsidR="00963408" w:rsidRPr="005A74F1" w:rsidRDefault="00963408" w:rsidP="00963408">
      <w:pPr>
        <w:pStyle w:val="Figurelegend"/>
        <w:rPr>
          <w:rFonts w:eastAsia="MS Mincho"/>
          <w:b/>
          <w:bCs/>
          <w:lang w:eastAsia="ja-JP"/>
        </w:rPr>
      </w:pPr>
      <w:r w:rsidRPr="005A74F1">
        <w:rPr>
          <w:rFonts w:eastAsia="MS Mincho"/>
          <w:b/>
          <w:bCs/>
          <w:lang w:eastAsia="ja-JP"/>
        </w:rPr>
        <w:t>5 357 billones de yenes</w:t>
      </w:r>
    </w:p>
    <w:p w:rsidR="00963408" w:rsidRPr="005A74F1" w:rsidRDefault="00963408" w:rsidP="00963408">
      <w:pPr>
        <w:pStyle w:val="Figurelegend"/>
        <w:rPr>
          <w:rFonts w:eastAsia="MS Mincho"/>
          <w:lang w:eastAsia="ja-JP"/>
        </w:rPr>
      </w:pPr>
      <w:r w:rsidRPr="005A74F1">
        <w:rPr>
          <w:rFonts w:eastAsia="MS Mincho"/>
          <w:lang w:eastAsia="ja-JP"/>
        </w:rPr>
        <w:t>Otros 464,3 millones de yenes</w:t>
      </w:r>
    </w:p>
    <w:p w:rsidR="00963408" w:rsidRPr="005A74F1" w:rsidRDefault="00963408" w:rsidP="00963408">
      <w:pPr>
        <w:pStyle w:val="Figurelegend"/>
        <w:rPr>
          <w:rFonts w:eastAsia="MS Mincho"/>
          <w:lang w:eastAsia="ja-JP"/>
        </w:rPr>
      </w:pPr>
      <w:r w:rsidRPr="005A74F1">
        <w:rPr>
          <w:rFonts w:eastAsia="MS Mincho"/>
          <w:lang w:eastAsia="ja-JP"/>
        </w:rPr>
        <w:t xml:space="preserve">Grupo </w:t>
      </w:r>
      <w:proofErr w:type="spellStart"/>
      <w:r w:rsidRPr="005A74F1">
        <w:rPr>
          <w:rFonts w:eastAsia="MS Mincho"/>
          <w:lang w:eastAsia="ja-JP"/>
        </w:rPr>
        <w:t>Softbank</w:t>
      </w:r>
      <w:proofErr w:type="spellEnd"/>
      <w:r w:rsidRPr="005A74F1">
        <w:rPr>
          <w:rFonts w:eastAsia="MS Mincho"/>
          <w:lang w:eastAsia="ja-JP"/>
        </w:rPr>
        <w:t xml:space="preserve"> 6 666,6 billones de yenes</w:t>
      </w:r>
    </w:p>
    <w:p w:rsidR="00963408" w:rsidRPr="005A74F1" w:rsidRDefault="00963408" w:rsidP="00963408">
      <w:pPr>
        <w:pStyle w:val="Figurelegend"/>
        <w:rPr>
          <w:rFonts w:eastAsia="MS Mincho"/>
          <w:lang w:eastAsia="ja-JP"/>
        </w:rPr>
      </w:pPr>
      <w:r w:rsidRPr="005A74F1">
        <w:rPr>
          <w:rFonts w:eastAsia="MS Mincho"/>
          <w:lang w:eastAsia="ja-JP"/>
        </w:rPr>
        <w:t>Grupo KDDI 4 431 billones de yenes</w:t>
      </w:r>
    </w:p>
    <w:p w:rsidR="00963408" w:rsidRPr="005A74F1" w:rsidRDefault="00963408" w:rsidP="00963408">
      <w:pPr>
        <w:pStyle w:val="Figurelegend"/>
        <w:rPr>
          <w:rFonts w:eastAsia="MS Mincho"/>
          <w:lang w:eastAsia="ja-JP"/>
        </w:rPr>
      </w:pPr>
      <w:r w:rsidRPr="005A74F1">
        <w:rPr>
          <w:rFonts w:eastAsia="MS Mincho"/>
          <w:lang w:eastAsia="ja-JP"/>
        </w:rPr>
        <w:t>Grupo NTT 10 925,2 billones de yenes</w:t>
      </w:r>
    </w:p>
    <w:p w:rsidR="00963408" w:rsidRPr="005A74F1" w:rsidRDefault="00963408" w:rsidP="00963408">
      <w:pPr>
        <w:pStyle w:val="Figurelegend"/>
        <w:rPr>
          <w:rFonts w:eastAsia="MS Mincho"/>
          <w:b/>
          <w:bCs/>
          <w:lang w:eastAsia="ja-JP"/>
        </w:rPr>
      </w:pPr>
      <w:r w:rsidRPr="005A74F1">
        <w:rPr>
          <w:rFonts w:eastAsia="MS Mincho"/>
          <w:b/>
          <w:bCs/>
          <w:lang w:eastAsia="ja-JP"/>
        </w:rPr>
        <w:t>22 487 billones de yenes</w:t>
      </w:r>
    </w:p>
    <w:p w:rsidR="00696233" w:rsidRPr="005A74F1" w:rsidRDefault="00696233" w:rsidP="00963408">
      <w:pPr>
        <w:pStyle w:val="Figurelegend"/>
        <w:rPr>
          <w:rFonts w:eastAsia="MS Mincho"/>
          <w:b/>
          <w:bCs/>
          <w:lang w:eastAsia="ja-JP"/>
        </w:rPr>
      </w:pPr>
      <w:r w:rsidRPr="005A74F1">
        <w:rPr>
          <w:rFonts w:eastAsia="MS Mincho"/>
          <w:b/>
          <w:bCs/>
          <w:lang w:eastAsia="ja-JP"/>
        </w:rPr>
        <w:br w:type="page"/>
      </w:r>
    </w:p>
    <w:p w:rsidR="00924784" w:rsidRPr="005A74F1" w:rsidRDefault="00924784" w:rsidP="00842D30">
      <w:pPr>
        <w:pStyle w:val="Figuretitle"/>
        <w:spacing w:after="120"/>
        <w:rPr>
          <w:rFonts w:eastAsia="MS Mincho"/>
          <w:u w:val="single"/>
          <w:lang w:eastAsia="ja-JP"/>
        </w:rPr>
      </w:pPr>
      <w:r w:rsidRPr="005A74F1">
        <w:rPr>
          <w:rFonts w:eastAsia="MS Mincho"/>
          <w:u w:val="single"/>
          <w:lang w:eastAsia="ja-JP"/>
        </w:rPr>
        <w:lastRenderedPageBreak/>
        <w:t>Figura 2: Tamaño del mercado de las TIC en Japón</w:t>
      </w:r>
    </w:p>
    <w:p w:rsidR="00924784" w:rsidRPr="005A74F1" w:rsidRDefault="00924784" w:rsidP="00696233">
      <w:pPr>
        <w:rPr>
          <w:lang w:eastAsia="ja-JP"/>
        </w:rPr>
      </w:pPr>
      <w:r w:rsidRPr="005A74F1">
        <w:rPr>
          <w:lang w:eastAsia="ja-JP"/>
        </w:rPr>
        <w:t>El crecimiento del mercado del sector de las TIC se ha multiplicado aproximadamente por 2,4 en 28 años.</w:t>
      </w:r>
    </w:p>
    <w:p w:rsidR="00924784" w:rsidRPr="005A74F1" w:rsidRDefault="00924784" w:rsidP="00696233">
      <w:pPr>
        <w:pStyle w:val="ListParagraph"/>
        <w:snapToGrid w:val="0"/>
        <w:spacing w:before="200" w:after="120"/>
        <w:ind w:left="470"/>
        <w:jc w:val="center"/>
        <w:rPr>
          <w:rFonts w:eastAsia="MS Mincho"/>
          <w:color w:val="000000"/>
          <w:lang w:val="es-ES_tradnl" w:eastAsia="ja-JP"/>
        </w:rPr>
      </w:pPr>
      <w:r w:rsidRPr="005A74F1">
        <w:rPr>
          <w:noProof/>
          <w:color w:val="000000"/>
        </w:rPr>
        <w:drawing>
          <wp:inline distT="0" distB="0" distL="0" distR="0" wp14:anchorId="26CA0901" wp14:editId="2FC8255C">
            <wp:extent cx="5486400" cy="3200400"/>
            <wp:effectExtent l="19050" t="19050" r="19050" b="19050"/>
            <wp:docPr id="5" name="figure2.jpg"/>
            <wp:cNvGraphicFramePr/>
            <a:graphic xmlns:a="http://schemas.openxmlformats.org/drawingml/2006/main">
              <a:graphicData uri="http://schemas.openxmlformats.org/drawingml/2006/picture">
                <pic:pic xmlns:pic="http://schemas.openxmlformats.org/drawingml/2006/picture">
                  <pic:nvPicPr>
                    <pic:cNvPr id="5" name="fig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200400"/>
                    </a:xfrm>
                    <a:prstGeom prst="rect">
                      <a:avLst/>
                    </a:prstGeom>
                    <a:ln w="6350">
                      <a:solidFill>
                        <a:schemeClr val="tx1">
                          <a:lumMod val="50000"/>
                          <a:lumOff val="50000"/>
                        </a:schemeClr>
                      </a:solidFill>
                    </a:ln>
                  </pic:spPr>
                </pic:pic>
              </a:graphicData>
            </a:graphic>
          </wp:inline>
        </w:drawing>
      </w:r>
    </w:p>
    <w:p w:rsidR="00696233" w:rsidRPr="005A74F1" w:rsidRDefault="00696233" w:rsidP="00696233">
      <w:pPr>
        <w:pStyle w:val="Figurelegend"/>
        <w:rPr>
          <w:rFonts w:eastAsia="MS Mincho"/>
          <w:lang w:eastAsia="ja-JP"/>
        </w:rPr>
      </w:pPr>
      <w:r w:rsidRPr="005A74F1">
        <w:rPr>
          <w:rFonts w:eastAsia="MS Mincho"/>
          <w:lang w:eastAsia="ja-JP"/>
        </w:rPr>
        <w:t>(Fuente: Libro blanco de 2015 sobre la información y las comunicaciones en Japón, Ministerio de Asuntos Internos y Comunicaciones de Japón)</w:t>
      </w:r>
    </w:p>
    <w:p w:rsidR="00DB1B4C" w:rsidRPr="005A74F1" w:rsidRDefault="00DB1B4C" w:rsidP="00DB1B4C">
      <w:pPr>
        <w:pStyle w:val="Figurelegend"/>
        <w:spacing w:before="120"/>
        <w:rPr>
          <w:rFonts w:eastAsia="MS Mincho"/>
          <w:lang w:eastAsia="ja-JP"/>
        </w:rPr>
      </w:pPr>
      <w:r w:rsidRPr="005A74F1">
        <w:rPr>
          <w:rFonts w:eastAsia="MS Mincho"/>
          <w:lang w:eastAsia="ja-JP"/>
        </w:rPr>
        <w:t>Leyenda:</w:t>
      </w:r>
    </w:p>
    <w:p w:rsidR="00DB1B4C" w:rsidRPr="005A74F1" w:rsidRDefault="00DB1B4C" w:rsidP="00DB1B4C">
      <w:pPr>
        <w:pStyle w:val="Figurelegend"/>
        <w:rPr>
          <w:rFonts w:eastAsia="MS Mincho"/>
          <w:lang w:eastAsia="ja-JP"/>
        </w:rPr>
      </w:pPr>
      <w:r w:rsidRPr="005A74F1">
        <w:rPr>
          <w:rFonts w:eastAsia="MS Mincho"/>
          <w:lang w:eastAsia="ja-JP"/>
        </w:rPr>
        <w:t>[</w:t>
      </w:r>
      <w:proofErr w:type="gramStart"/>
      <w:r w:rsidRPr="005A74F1">
        <w:rPr>
          <w:rFonts w:eastAsia="MS Mincho"/>
          <w:lang w:eastAsia="ja-JP"/>
        </w:rPr>
        <w:t>billones</w:t>
      </w:r>
      <w:proofErr w:type="gramEnd"/>
      <w:r w:rsidRPr="005A74F1">
        <w:rPr>
          <w:rFonts w:eastAsia="MS Mincho"/>
          <w:lang w:eastAsia="ja-JP"/>
        </w:rPr>
        <w:t xml:space="preserve"> de yenes]</w:t>
      </w:r>
    </w:p>
    <w:p w:rsidR="00DB1B4C" w:rsidRPr="005A74F1" w:rsidRDefault="00DB1B4C" w:rsidP="00DB1B4C">
      <w:pPr>
        <w:pStyle w:val="Figurelegend"/>
        <w:rPr>
          <w:rFonts w:eastAsia="MS Mincho"/>
          <w:lang w:eastAsia="ja-JP"/>
        </w:rPr>
      </w:pPr>
      <w:r w:rsidRPr="005A74F1">
        <w:rPr>
          <w:rFonts w:eastAsia="MS Mincho"/>
          <w:lang w:eastAsia="ja-JP"/>
        </w:rPr>
        <w:t>El crecimiento del mercado del sector de las TIC se ha multiplicado aproximadamente por 2,4 en 28 años.</w:t>
      </w:r>
    </w:p>
    <w:p w:rsidR="00DB1B4C" w:rsidRPr="005A74F1" w:rsidRDefault="00DB1B4C" w:rsidP="00DB1B4C">
      <w:pPr>
        <w:pStyle w:val="Figurelegend"/>
        <w:rPr>
          <w:rFonts w:eastAsia="MS Mincho"/>
          <w:lang w:eastAsia="ja-JP"/>
        </w:rPr>
      </w:pPr>
      <w:r w:rsidRPr="005A74F1">
        <w:rPr>
          <w:rFonts w:eastAsia="MS Mincho"/>
          <w:lang w:eastAsia="ja-JP"/>
        </w:rPr>
        <w:t>El crecimiento ha sido especialmente fuerte en la industria de las comunicaciones y en la industria de los servicios de información (sector de la informática, etc.).</w:t>
      </w:r>
    </w:p>
    <w:p w:rsidR="00DB1B4C" w:rsidRPr="005A74F1" w:rsidRDefault="00DB1B4C" w:rsidP="00DB1B4C">
      <w:pPr>
        <w:pStyle w:val="Figurelegend"/>
        <w:rPr>
          <w:rFonts w:eastAsia="MS Mincho"/>
          <w:lang w:eastAsia="ja-JP"/>
        </w:rPr>
      </w:pPr>
      <w:r w:rsidRPr="005A74F1">
        <w:rPr>
          <w:rFonts w:eastAsia="MS Mincho"/>
          <w:lang w:eastAsia="ja-JP"/>
        </w:rPr>
        <w:t>Crecimiento multiplicado aproximadamente por 2,4</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Investigación</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Sectores de la construcción relacionadas con las TIC</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Sectores de los servicios relacionados con las TIC</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Industrias manufactureras relacionadas con las TIC</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Sectores encargados de la creación de información en formato de vídeo, audio y texto</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 de los servicios auxiliares de Internet</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 de los servicios de información</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 de la radiodifusión</w:t>
      </w:r>
    </w:p>
    <w:p w:rsidR="00DB1B4C" w:rsidRPr="005A74F1" w:rsidRDefault="00DB1B4C" w:rsidP="00DB1B4C">
      <w:pPr>
        <w:pStyle w:val="Figurelegend"/>
        <w:tabs>
          <w:tab w:val="clear" w:pos="567"/>
          <w:tab w:val="left" w:pos="284"/>
        </w:tabs>
        <w:rPr>
          <w:rFonts w:eastAsia="MS Mincho"/>
          <w:lang w:eastAsia="ja-JP"/>
        </w:rPr>
      </w:pPr>
      <w:r w:rsidRPr="005A74F1">
        <w:rPr>
          <w:rFonts w:eastAsia="MS Mincho"/>
          <w:lang w:eastAsia="ja-JP"/>
        </w:rPr>
        <w:t>•</w:t>
      </w:r>
      <w:r w:rsidRPr="005A74F1">
        <w:rPr>
          <w:rFonts w:eastAsia="MS Mincho"/>
          <w:lang w:eastAsia="ja-JP"/>
        </w:rPr>
        <w:tab/>
        <w:t>Sector de las comunicaciones</w:t>
      </w:r>
    </w:p>
    <w:p w:rsidR="00924784" w:rsidRPr="005A74F1" w:rsidRDefault="00924784" w:rsidP="00DB1B4C">
      <w:r w:rsidRPr="005A74F1">
        <w:t>En este contexto de mercado liberalizado y competitivo, Japón no firmó el Reglamento de las Telecomunicaciones Internacionales (RTI) de 2012 adoptado en la Conferencia Mundial de Telecomunicaciones Internacionales de ese mismo año y sigue sujeto al RTI de 1988.</w:t>
      </w:r>
    </w:p>
    <w:p w:rsidR="00924784" w:rsidRPr="005A74F1" w:rsidRDefault="00924784" w:rsidP="00DB1B4C">
      <w:r w:rsidRPr="005A74F1">
        <w:t>Tal y como se observa en los resultados de la encuesta acerca del RTI realizada en Japón, que se indican a continuación, los operadores japoneses no han hecho frente a conflictos ni problemas en sus actividades comerciales relacionadas con los servicios de telecomunicaciones internacionales, pese a la coexistencia de las versiones de 1988 y de 2012 del RTI.</w:t>
      </w:r>
    </w:p>
    <w:p w:rsidR="00924784" w:rsidRPr="005A74F1" w:rsidRDefault="00924784" w:rsidP="00DB1B4C">
      <w:pPr>
        <w:pStyle w:val="Heading1"/>
        <w:rPr>
          <w:lang w:eastAsia="ja-JP"/>
        </w:rPr>
      </w:pPr>
      <w:r w:rsidRPr="005A74F1">
        <w:rPr>
          <w:lang w:eastAsia="ja-JP"/>
        </w:rPr>
        <w:lastRenderedPageBreak/>
        <w:t>2</w:t>
      </w:r>
      <w:r w:rsidRPr="005A74F1">
        <w:rPr>
          <w:lang w:eastAsia="ja-JP"/>
        </w:rPr>
        <w:tab/>
        <w:t>Resultados de la encuesta sobre el RTI</w:t>
      </w:r>
    </w:p>
    <w:p w:rsidR="00924784" w:rsidRPr="005A74F1" w:rsidRDefault="00924784" w:rsidP="00DB1B4C">
      <w:r w:rsidRPr="005A74F1">
        <w:t>Japón remitió este cuestionario sobre el RTI a los operadores autorizados por el Ministerio de Asuntos Internos y Comunicaciones de Japón en calidad de empresas de explotación reconocidas y autoridades encargadas de la contabilidad. El cuestionario se basa en el mandato establecido en la Resolución 1379 adoptada por el Consejo en su reunión de 2016. Los resultados de la encuesta sobre el RTI son los siguientes.</w:t>
      </w:r>
    </w:p>
    <w:p w:rsidR="00924784" w:rsidRPr="005A74F1" w:rsidRDefault="00924784" w:rsidP="00924784">
      <w:pPr>
        <w:tabs>
          <w:tab w:val="clear" w:pos="567"/>
          <w:tab w:val="clear" w:pos="1134"/>
          <w:tab w:val="clear" w:pos="1701"/>
          <w:tab w:val="clear" w:pos="2268"/>
          <w:tab w:val="clear" w:pos="2835"/>
        </w:tabs>
        <w:snapToGrid w:val="0"/>
        <w:spacing w:before="200" w:after="120"/>
        <w:ind w:firstLineChars="50" w:firstLine="110"/>
        <w:rPr>
          <w:rFonts w:asciiTheme="minorHAnsi" w:hAnsiTheme="minorHAnsi"/>
          <w:color w:val="000000"/>
          <w:sz w:val="22"/>
          <w:szCs w:val="22"/>
          <w:lang w:eastAsia="ja-JP"/>
        </w:rPr>
      </w:pPr>
    </w:p>
    <w:tbl>
      <w:tblPr>
        <w:tblStyle w:val="TableGrid"/>
        <w:tblW w:w="9918" w:type="dxa"/>
        <w:tblLook w:val="04A0" w:firstRow="1" w:lastRow="0" w:firstColumn="1" w:lastColumn="0" w:noHBand="0" w:noVBand="1"/>
      </w:tblPr>
      <w:tblGrid>
        <w:gridCol w:w="9918"/>
      </w:tblGrid>
      <w:tr w:rsidR="00924784" w:rsidRPr="005A74F1" w:rsidTr="005D6611">
        <w:tc>
          <w:tcPr>
            <w:tcW w:w="9918" w:type="dxa"/>
            <w:tcBorders>
              <w:bottom w:val="nil"/>
            </w:tcBorders>
          </w:tcPr>
          <w:p w:rsidR="00924784" w:rsidRPr="005A74F1" w:rsidRDefault="00924784" w:rsidP="005D6611">
            <w:pPr>
              <w:tabs>
                <w:tab w:val="clear" w:pos="567"/>
                <w:tab w:val="clear" w:pos="1134"/>
                <w:tab w:val="clear" w:pos="1701"/>
                <w:tab w:val="clear" w:pos="2268"/>
                <w:tab w:val="clear" w:pos="2835"/>
              </w:tabs>
              <w:snapToGrid w:val="0"/>
              <w:spacing w:before="200" w:after="120"/>
              <w:ind w:leftChars="100" w:left="240"/>
              <w:jc w:val="center"/>
              <w:rPr>
                <w:rFonts w:asciiTheme="minorHAnsi" w:hAnsiTheme="minorHAnsi"/>
                <w:b/>
                <w:color w:val="000000"/>
                <w:sz w:val="22"/>
                <w:szCs w:val="22"/>
                <w:u w:val="single"/>
                <w:lang w:eastAsia="ja-JP"/>
              </w:rPr>
            </w:pPr>
            <w:r w:rsidRPr="005A74F1">
              <w:rPr>
                <w:rFonts w:asciiTheme="minorHAnsi" w:hAnsiTheme="minorHAnsi"/>
                <w:b/>
                <w:color w:val="000000"/>
                <w:sz w:val="22"/>
                <w:szCs w:val="22"/>
                <w:u w:val="single"/>
                <w:lang w:eastAsia="ja-JP"/>
              </w:rPr>
              <w:t xml:space="preserve">Resultados de la encuesta sobre el RTI realizada por el Ministerio de </w:t>
            </w:r>
            <w:r w:rsidR="005D6611" w:rsidRPr="005A74F1">
              <w:rPr>
                <w:rFonts w:asciiTheme="minorHAnsi" w:hAnsiTheme="minorHAnsi"/>
                <w:b/>
                <w:color w:val="000000"/>
                <w:sz w:val="22"/>
                <w:szCs w:val="22"/>
                <w:u w:val="single"/>
                <w:lang w:eastAsia="ja-JP"/>
              </w:rPr>
              <w:br/>
            </w:r>
            <w:r w:rsidRPr="005A74F1">
              <w:rPr>
                <w:rFonts w:asciiTheme="minorHAnsi" w:hAnsiTheme="minorHAnsi"/>
                <w:b/>
                <w:color w:val="000000"/>
                <w:sz w:val="22"/>
                <w:szCs w:val="22"/>
                <w:u w:val="single"/>
                <w:lang w:eastAsia="ja-JP"/>
              </w:rPr>
              <w:t>Asuntos Internos y Comunicaciones de Japón</w:t>
            </w:r>
          </w:p>
          <w:p w:rsidR="00924784" w:rsidRPr="005A74F1" w:rsidRDefault="00924784" w:rsidP="009D548C">
            <w:pPr>
              <w:tabs>
                <w:tab w:val="clear" w:pos="567"/>
                <w:tab w:val="clear" w:pos="1134"/>
                <w:tab w:val="clear" w:pos="1701"/>
                <w:tab w:val="clear" w:pos="2268"/>
                <w:tab w:val="clear" w:pos="2835"/>
              </w:tabs>
              <w:snapToGrid w:val="0"/>
              <w:spacing w:before="200" w:after="120"/>
              <w:ind w:leftChars="100" w:left="240"/>
              <w:rPr>
                <w:rFonts w:asciiTheme="minorHAnsi" w:hAnsiTheme="minorHAnsi"/>
                <w:color w:val="000000"/>
                <w:sz w:val="21"/>
                <w:szCs w:val="21"/>
              </w:rPr>
            </w:pPr>
            <w:r w:rsidRPr="005A74F1">
              <w:rPr>
                <w:rFonts w:asciiTheme="minorHAnsi" w:hAnsiTheme="minorHAnsi"/>
                <w:b/>
                <w:color w:val="000000"/>
                <w:sz w:val="21"/>
                <w:szCs w:val="21"/>
                <w:lang w:eastAsia="ja-JP"/>
              </w:rPr>
              <w:t>Número y calidad de los participantes en la encuesta</w:t>
            </w:r>
            <w:r w:rsidRPr="005A74F1">
              <w:rPr>
                <w:rFonts w:asciiTheme="minorHAnsi" w:hAnsiTheme="minorHAnsi"/>
                <w:color w:val="000000"/>
                <w:sz w:val="21"/>
                <w:szCs w:val="21"/>
                <w:lang w:eastAsia="ja-JP"/>
              </w:rPr>
              <w:t xml:space="preserve">: 12 operadores (4 </w:t>
            </w:r>
            <w:r w:rsidRPr="005A74F1">
              <w:rPr>
                <w:rFonts w:asciiTheme="minorHAnsi" w:hAnsiTheme="minorHAnsi"/>
                <w:color w:val="000000"/>
                <w:sz w:val="21"/>
                <w:szCs w:val="21"/>
              </w:rPr>
              <w:t>empresas de explotación reconocidas, 8 autoridades encargadas de la contabilidad)</w:t>
            </w:r>
          </w:p>
          <w:p w:rsidR="00924784" w:rsidRPr="005A74F1" w:rsidRDefault="00924784" w:rsidP="005D6611">
            <w:pPr>
              <w:tabs>
                <w:tab w:val="clear" w:pos="567"/>
                <w:tab w:val="clear" w:pos="1134"/>
                <w:tab w:val="clear" w:pos="1701"/>
                <w:tab w:val="clear" w:pos="2268"/>
                <w:tab w:val="clear" w:pos="2835"/>
              </w:tabs>
              <w:snapToGrid w:val="0"/>
              <w:spacing w:before="200" w:after="120"/>
              <w:ind w:firstLineChars="100" w:firstLine="211"/>
              <w:rPr>
                <w:rFonts w:asciiTheme="minorHAnsi" w:hAnsiTheme="minorHAnsi"/>
                <w:color w:val="000000"/>
                <w:sz w:val="21"/>
                <w:szCs w:val="21"/>
              </w:rPr>
            </w:pPr>
            <w:r w:rsidRPr="005A74F1">
              <w:rPr>
                <w:rFonts w:asciiTheme="minorHAnsi" w:hAnsiTheme="minorHAnsi"/>
                <w:b/>
                <w:color w:val="000000"/>
                <w:sz w:val="21"/>
                <w:szCs w:val="21"/>
              </w:rPr>
              <w:t>Per</w:t>
            </w:r>
            <w:r w:rsidR="005D6611" w:rsidRPr="005A74F1">
              <w:rPr>
                <w:rFonts w:asciiTheme="minorHAnsi" w:hAnsiTheme="minorHAnsi"/>
                <w:b/>
                <w:color w:val="000000"/>
                <w:sz w:val="21"/>
                <w:szCs w:val="21"/>
              </w:rPr>
              <w:t>i</w:t>
            </w:r>
            <w:r w:rsidRPr="005A74F1">
              <w:rPr>
                <w:rFonts w:asciiTheme="minorHAnsi" w:hAnsiTheme="minorHAnsi"/>
                <w:b/>
                <w:color w:val="000000"/>
                <w:sz w:val="21"/>
                <w:szCs w:val="21"/>
              </w:rPr>
              <w:t>odo que abarca la encuesta</w:t>
            </w:r>
            <w:r w:rsidRPr="005A74F1">
              <w:rPr>
                <w:rFonts w:asciiTheme="minorHAnsi" w:hAnsiTheme="minorHAnsi"/>
                <w:color w:val="000000"/>
                <w:sz w:val="21"/>
                <w:szCs w:val="21"/>
              </w:rPr>
              <w:t>: del 24 de julio de 2017 al 4 de agosto de 2017</w:t>
            </w:r>
          </w:p>
          <w:p w:rsidR="00924784" w:rsidRPr="005A74F1" w:rsidRDefault="00924784" w:rsidP="009D548C">
            <w:pPr>
              <w:tabs>
                <w:tab w:val="clear" w:pos="567"/>
                <w:tab w:val="clear" w:pos="1134"/>
                <w:tab w:val="clear" w:pos="1701"/>
                <w:tab w:val="clear" w:pos="2268"/>
                <w:tab w:val="clear" w:pos="2835"/>
              </w:tabs>
              <w:snapToGrid w:val="0"/>
              <w:spacing w:before="200" w:after="120" w:line="360" w:lineRule="auto"/>
              <w:ind w:firstLineChars="50" w:firstLine="105"/>
              <w:rPr>
                <w:rFonts w:asciiTheme="minorHAnsi" w:hAnsiTheme="minorHAnsi"/>
                <w:color w:val="000000"/>
                <w:sz w:val="21"/>
                <w:szCs w:val="21"/>
                <w:lang w:eastAsia="ja-JP"/>
              </w:rPr>
            </w:pPr>
            <w:r w:rsidRPr="005A74F1">
              <w:rPr>
                <w:rFonts w:asciiTheme="minorHAnsi" w:hAnsiTheme="minorHAnsi"/>
                <w:noProof/>
                <w:color w:val="000000"/>
                <w:sz w:val="21"/>
                <w:szCs w:val="21"/>
                <w:lang w:val="en-US" w:eastAsia="zh-CN"/>
              </w:rPr>
              <mc:AlternateContent>
                <mc:Choice Requires="wps">
                  <w:drawing>
                    <wp:anchor distT="0" distB="0" distL="114300" distR="114300" simplePos="0" relativeHeight="251659264" behindDoc="0" locked="0" layoutInCell="1" allowOverlap="1" wp14:anchorId="2C4E0487" wp14:editId="48107B2C">
                      <wp:simplePos x="0" y="0"/>
                      <wp:positionH relativeFrom="column">
                        <wp:posOffset>82550</wp:posOffset>
                      </wp:positionH>
                      <wp:positionV relativeFrom="paragraph">
                        <wp:posOffset>156210</wp:posOffset>
                      </wp:positionV>
                      <wp:extent cx="5938520" cy="0"/>
                      <wp:effectExtent l="0" t="0" r="24130" b="19050"/>
                      <wp:wrapNone/>
                      <wp:docPr id="8" name="直線コネクタ 6"/>
                      <wp:cNvGraphicFramePr/>
                      <a:graphic xmlns:a="http://schemas.openxmlformats.org/drawingml/2006/main">
                        <a:graphicData uri="http://schemas.microsoft.com/office/word/2010/wordprocessingShape">
                          <wps:wsp>
                            <wps:cNvCnPr/>
                            <wps:spPr>
                              <a:xfrm>
                                <a:off x="0" y="0"/>
                                <a:ext cx="593852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665C8" id="直線コネクタ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2.3pt" to="47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" strokecolor="#365f91 [2404]" strokeweight="1pt"/>
                  </w:pict>
                </mc:Fallback>
              </mc:AlternateContent>
            </w:r>
          </w:p>
          <w:p w:rsidR="00924784" w:rsidRPr="005A74F1" w:rsidRDefault="00924784" w:rsidP="009D548C">
            <w:pPr>
              <w:widowControl w:val="0"/>
              <w:spacing w:after="120"/>
              <w:ind w:firstLineChars="50" w:firstLine="105"/>
              <w:rPr>
                <w:rFonts w:eastAsia="AR Pゴシック体M"/>
                <w:b/>
                <w:sz w:val="21"/>
                <w:szCs w:val="21"/>
              </w:rPr>
            </w:pPr>
            <w:r w:rsidRPr="005A74F1">
              <w:rPr>
                <w:rFonts w:asciiTheme="minorHAnsi" w:hAnsiTheme="minorHAnsi"/>
                <w:b/>
                <w:color w:val="000000"/>
                <w:sz w:val="21"/>
                <w:szCs w:val="21"/>
              </w:rPr>
              <w:t>P1) ¿Recurre habitualmente al RTI en sus actividades comerciales internacionales</w:t>
            </w:r>
            <w:r w:rsidRPr="005A74F1">
              <w:rPr>
                <w:rFonts w:eastAsia="AR Pゴシック体M"/>
                <w:b/>
                <w:sz w:val="21"/>
                <w:szCs w:val="21"/>
              </w:rPr>
              <w:t>?</w:t>
            </w:r>
          </w:p>
          <w:p w:rsidR="00924784" w:rsidRPr="005A74F1" w:rsidRDefault="00924784" w:rsidP="009D548C">
            <w:pPr>
              <w:widowControl w:val="0"/>
              <w:spacing w:after="120"/>
              <w:ind w:firstLineChars="50" w:firstLine="105"/>
              <w:rPr>
                <w:rFonts w:eastAsiaTheme="minorEastAsia" w:cstheme="minorBidi"/>
                <w:bCs/>
                <w:i/>
                <w:sz w:val="21"/>
                <w:szCs w:val="21"/>
                <w:lang w:eastAsia="zh-CN"/>
              </w:rPr>
            </w:pPr>
            <w:r w:rsidRPr="005A74F1">
              <w:rPr>
                <w:rFonts w:eastAsiaTheme="minorEastAsia" w:cstheme="minorBidi"/>
                <w:sz w:val="21"/>
                <w:szCs w:val="21"/>
                <w:lang w:eastAsia="zh-CN"/>
              </w:rPr>
              <w:tab/>
            </w:r>
            <w:r w:rsidRPr="005A74F1">
              <w:rPr>
                <w:rFonts w:eastAsiaTheme="minorEastAsia" w:cstheme="minorBidi"/>
                <w:bCs/>
                <w:i/>
                <w:sz w:val="21"/>
                <w:szCs w:val="21"/>
                <w:lang w:eastAsia="zh-CN"/>
              </w:rPr>
              <w:t>Sí: 0</w:t>
            </w:r>
          </w:p>
          <w:p w:rsidR="00924784" w:rsidRPr="005A74F1" w:rsidRDefault="00924784" w:rsidP="009D548C">
            <w:pPr>
              <w:widowControl w:val="0"/>
              <w:spacing w:before="0" w:after="120"/>
              <w:ind w:firstLineChars="50" w:firstLine="105"/>
              <w:rPr>
                <w:rFonts w:asciiTheme="minorHAnsi" w:hAnsiTheme="minorHAnsi"/>
                <w:color w:val="000000"/>
                <w:sz w:val="22"/>
                <w:szCs w:val="22"/>
              </w:rPr>
            </w:pPr>
            <w:r w:rsidRPr="005A74F1">
              <w:rPr>
                <w:rFonts w:eastAsiaTheme="minorEastAsia" w:cstheme="minorBidi"/>
                <w:bCs/>
                <w:i/>
                <w:sz w:val="21"/>
                <w:szCs w:val="21"/>
                <w:lang w:eastAsia="zh-CN"/>
              </w:rPr>
              <w:tab/>
            </w:r>
            <w:r w:rsidRPr="005A74F1">
              <w:rPr>
                <w:rFonts w:eastAsiaTheme="minorEastAsia" w:cstheme="minorBidi"/>
                <w:b/>
                <w:i/>
                <w:sz w:val="21"/>
                <w:szCs w:val="21"/>
                <w:lang w:eastAsia="zh-CN"/>
              </w:rPr>
              <w:t>No: 12</w:t>
            </w:r>
          </w:p>
        </w:tc>
      </w:tr>
      <w:tr w:rsidR="00924784" w:rsidRPr="005A74F1" w:rsidTr="005D6611">
        <w:tc>
          <w:tcPr>
            <w:tcW w:w="9918" w:type="dxa"/>
            <w:tcBorders>
              <w:top w:val="single" w:sz="4" w:space="0" w:color="000000" w:themeColor="text1"/>
              <w:bottom w:val="nil"/>
            </w:tcBorders>
          </w:tcPr>
          <w:p w:rsidR="00924784" w:rsidRPr="005A74F1" w:rsidRDefault="005D6611" w:rsidP="005D6611">
            <w:pPr>
              <w:widowControl w:val="0"/>
              <w:tabs>
                <w:tab w:val="clear" w:pos="1134"/>
                <w:tab w:val="left" w:pos="1163"/>
              </w:tabs>
              <w:spacing w:before="240"/>
              <w:ind w:left="357"/>
              <w:rPr>
                <w:rFonts w:eastAsia="AR Pゴシック体M"/>
                <w:sz w:val="21"/>
                <w:szCs w:val="21"/>
              </w:rPr>
            </w:pPr>
            <w:r w:rsidRPr="005A74F1">
              <w:rPr>
                <w:rFonts w:eastAsia="AR Pゴシック体M"/>
                <w:b/>
                <w:sz w:val="21"/>
                <w:szCs w:val="21"/>
              </w:rPr>
              <w:t>1.1</w:t>
            </w:r>
            <w:r w:rsidRPr="005A74F1">
              <w:rPr>
                <w:rFonts w:eastAsia="AR Pゴシック体M"/>
                <w:b/>
                <w:sz w:val="21"/>
                <w:szCs w:val="21"/>
              </w:rPr>
              <w:tab/>
            </w:r>
            <w:r w:rsidR="00924784" w:rsidRPr="005A74F1">
              <w:rPr>
                <w:rFonts w:eastAsia="AR Pゴシック体M"/>
                <w:b/>
                <w:sz w:val="21"/>
                <w:szCs w:val="21"/>
              </w:rPr>
              <w:t>En caso afirmativo, ¿a qué RTI está sujeto?</w:t>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i/>
                <w:sz w:val="21"/>
                <w:szCs w:val="21"/>
              </w:rPr>
              <w:t>N/A</w:t>
            </w:r>
          </w:p>
          <w:p w:rsidR="00924784" w:rsidRPr="005A74F1" w:rsidRDefault="005D6611" w:rsidP="005D6611">
            <w:pPr>
              <w:widowControl w:val="0"/>
              <w:tabs>
                <w:tab w:val="clear" w:pos="1134"/>
                <w:tab w:val="left" w:pos="1163"/>
              </w:tabs>
              <w:ind w:left="357"/>
              <w:rPr>
                <w:rFonts w:eastAsia="AR Pゴシック体M"/>
                <w:b/>
                <w:sz w:val="21"/>
                <w:szCs w:val="21"/>
              </w:rPr>
            </w:pPr>
            <w:r w:rsidRPr="005A74F1">
              <w:rPr>
                <w:rFonts w:eastAsia="AR Pゴシック体M"/>
                <w:b/>
                <w:sz w:val="21"/>
                <w:szCs w:val="21"/>
              </w:rPr>
              <w:t>1.2</w:t>
            </w:r>
            <w:r w:rsidRPr="005A74F1">
              <w:rPr>
                <w:rFonts w:eastAsia="AR Pゴシック体M"/>
                <w:b/>
                <w:sz w:val="21"/>
                <w:szCs w:val="21"/>
              </w:rPr>
              <w:tab/>
            </w:r>
            <w:r w:rsidR="00924784" w:rsidRPr="005A74F1">
              <w:rPr>
                <w:rFonts w:eastAsia="AR Pゴシック体M"/>
                <w:b/>
                <w:sz w:val="21"/>
                <w:szCs w:val="21"/>
              </w:rPr>
              <w:t>En caso afirmativo, especifique qué disposiciones y/o artículos suele aplicar</w:t>
            </w:r>
            <w:r w:rsidR="00924784" w:rsidRPr="005A74F1">
              <w:rPr>
                <w:rFonts w:eastAsia="AR Pゴシック体M"/>
                <w:b/>
                <w:sz w:val="21"/>
                <w:szCs w:val="21"/>
              </w:rPr>
              <w:tab/>
            </w:r>
            <w:r w:rsidR="00924784" w:rsidRPr="005A74F1">
              <w:rPr>
                <w:rFonts w:eastAsia="AR Pゴシック体M"/>
                <w:b/>
                <w:sz w:val="21"/>
                <w:szCs w:val="21"/>
              </w:rPr>
              <w:tab/>
            </w:r>
            <w:r w:rsidR="00924784" w:rsidRPr="005A74F1">
              <w:rPr>
                <w:rFonts w:eastAsia="AR Pゴシック体M"/>
                <w:i/>
                <w:sz w:val="21"/>
                <w:szCs w:val="21"/>
              </w:rPr>
              <w:t>N/A</w:t>
            </w:r>
          </w:p>
          <w:p w:rsidR="00924784" w:rsidRPr="005A74F1" w:rsidRDefault="005D6611" w:rsidP="005D6611">
            <w:pPr>
              <w:widowControl w:val="0"/>
              <w:tabs>
                <w:tab w:val="clear" w:pos="1134"/>
                <w:tab w:val="left" w:pos="1163"/>
              </w:tabs>
              <w:ind w:left="357"/>
              <w:rPr>
                <w:rFonts w:eastAsia="AR Pゴシック体M"/>
                <w:b/>
                <w:sz w:val="21"/>
                <w:szCs w:val="21"/>
              </w:rPr>
            </w:pPr>
            <w:r w:rsidRPr="005A74F1">
              <w:rPr>
                <w:rFonts w:eastAsia="AR Pゴシック体M"/>
                <w:b/>
                <w:sz w:val="21"/>
                <w:szCs w:val="21"/>
              </w:rPr>
              <w:t>1.3</w:t>
            </w:r>
            <w:r w:rsidRPr="005A74F1">
              <w:rPr>
                <w:rFonts w:eastAsia="AR Pゴシック体M"/>
                <w:b/>
                <w:sz w:val="21"/>
                <w:szCs w:val="21"/>
              </w:rPr>
              <w:tab/>
            </w:r>
            <w:r w:rsidR="00924784" w:rsidRPr="005A74F1">
              <w:rPr>
                <w:rFonts w:eastAsia="AR Pゴシック体M"/>
                <w:b/>
                <w:sz w:val="21"/>
                <w:szCs w:val="21"/>
              </w:rPr>
              <w:t>En caso negativo, describa el motivo de la manera más detallada posible</w:t>
            </w:r>
          </w:p>
          <w:p w:rsidR="00924784" w:rsidRPr="005A74F1" w:rsidRDefault="005D6611" w:rsidP="00E178F5">
            <w:pPr>
              <w:widowControl w:val="0"/>
              <w:tabs>
                <w:tab w:val="clear" w:pos="567"/>
                <w:tab w:val="left" w:pos="1163"/>
              </w:tabs>
              <w:spacing w:before="40"/>
              <w:ind w:left="720"/>
              <w:rPr>
                <w:rFonts w:eastAsia="AR Pゴシック体M"/>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Porque aplicamos nuestros propios acuerdos comerciales. (12, todos los operadores)</w:t>
            </w:r>
            <w:r w:rsidRPr="005A74F1">
              <w:rPr>
                <w:rFonts w:eastAsia="AR Pゴシック体M"/>
                <w:i/>
                <w:sz w:val="21"/>
                <w:szCs w:val="21"/>
                <w:lang w:eastAsia="ja-JP"/>
              </w:rPr>
              <w:t>.</w:t>
            </w:r>
          </w:p>
          <w:p w:rsidR="00924784" w:rsidRPr="005A74F1" w:rsidRDefault="005D6611" w:rsidP="005D6611">
            <w:pPr>
              <w:widowControl w:val="0"/>
              <w:tabs>
                <w:tab w:val="clear" w:pos="567"/>
                <w:tab w:val="left" w:pos="1163"/>
              </w:tabs>
              <w:spacing w:before="0"/>
              <w:ind w:left="1134" w:hanging="414"/>
              <w:rPr>
                <w:rFonts w:eastAsia="AR Pゴシック体M"/>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En ocasiones recurrimos también a la Recomendación D.90 (3 autoridades encargadas de la contabilidad)</w:t>
            </w:r>
            <w:r w:rsidRPr="005A74F1">
              <w:rPr>
                <w:rFonts w:eastAsia="AR Pゴシック体M"/>
                <w:i/>
                <w:sz w:val="21"/>
                <w:szCs w:val="21"/>
                <w:lang w:eastAsia="ja-JP"/>
              </w:rPr>
              <w:t>.</w:t>
            </w:r>
          </w:p>
        </w:tc>
      </w:tr>
      <w:tr w:rsidR="00924784" w:rsidRPr="005A74F1" w:rsidTr="005D6611">
        <w:tc>
          <w:tcPr>
            <w:tcW w:w="9918" w:type="dxa"/>
            <w:tcBorders>
              <w:top w:val="nil"/>
              <w:bottom w:val="nil"/>
            </w:tcBorders>
          </w:tcPr>
          <w:p w:rsidR="00924784" w:rsidRPr="005A74F1" w:rsidRDefault="00924784" w:rsidP="009D548C">
            <w:pPr>
              <w:widowControl w:val="0"/>
              <w:ind w:leftChars="100" w:left="240"/>
              <w:rPr>
                <w:rFonts w:eastAsia="AR Pゴシック体M"/>
                <w:b/>
                <w:sz w:val="21"/>
                <w:szCs w:val="21"/>
              </w:rPr>
            </w:pPr>
            <w:r w:rsidRPr="005A74F1">
              <w:rPr>
                <w:rFonts w:eastAsia="AR Pゴシック体M"/>
                <w:b/>
                <w:sz w:val="21"/>
                <w:szCs w:val="21"/>
                <w:lang w:eastAsia="ja-JP"/>
              </w:rPr>
              <w:t xml:space="preserve">P2) Sírvase señalar las disposiciones del RTI de </w:t>
            </w:r>
            <w:r w:rsidRPr="005A74F1">
              <w:rPr>
                <w:rFonts w:eastAsia="AR Pゴシック体M"/>
                <w:b/>
                <w:sz w:val="21"/>
                <w:szCs w:val="21"/>
              </w:rPr>
              <w:t>2012 que, según su experiencia, considera esenciales para la prestación de servicios de telecomunicaciones internacionales en el actual entorno de las telecomunicaciones internacionales. Cite ejemplos al respecto.</w:t>
            </w:r>
          </w:p>
          <w:p w:rsidR="00924784" w:rsidRPr="005A74F1" w:rsidRDefault="001C6E3A" w:rsidP="00E178F5">
            <w:pPr>
              <w:widowControl w:val="0"/>
              <w:tabs>
                <w:tab w:val="clear" w:pos="567"/>
                <w:tab w:val="left" w:pos="1163"/>
              </w:tabs>
              <w:spacing w:before="40"/>
              <w:ind w:left="720"/>
              <w:rPr>
                <w:rFonts w:eastAsia="AR Pゴシック体M"/>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Ninguna disposición, ya que no recurrimos al RTI sino a acuerdos comerciales. (7 operadores)</w:t>
            </w:r>
            <w:r w:rsidRPr="005A74F1">
              <w:rPr>
                <w:rFonts w:eastAsia="AR Pゴシック体M"/>
                <w:i/>
                <w:sz w:val="21"/>
                <w:szCs w:val="21"/>
                <w:lang w:eastAsia="ja-JP"/>
              </w:rPr>
              <w:t>.</w:t>
            </w:r>
          </w:p>
          <w:p w:rsidR="00924784" w:rsidRPr="005A74F1" w:rsidRDefault="001C6E3A" w:rsidP="001C6E3A">
            <w:pPr>
              <w:widowControl w:val="0"/>
              <w:tabs>
                <w:tab w:val="clear" w:pos="567"/>
                <w:tab w:val="left" w:pos="1163"/>
              </w:tabs>
              <w:spacing w:before="0"/>
              <w:ind w:left="1134" w:hanging="414"/>
              <w:rPr>
                <w:rFonts w:eastAsia="AR Pゴシック体M"/>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 xml:space="preserve">Las disposiciones en las que se define la </w:t>
            </w:r>
            <w:r w:rsidRPr="005A74F1">
              <w:rPr>
                <w:rFonts w:eastAsia="AR Pゴシック体M"/>
                <w:i/>
                <w:sz w:val="21"/>
                <w:szCs w:val="21"/>
                <w:lang w:eastAsia="ja-JP"/>
              </w:rPr>
              <w:t>"</w:t>
            </w:r>
            <w:r w:rsidR="00924784" w:rsidRPr="005A74F1">
              <w:rPr>
                <w:rFonts w:eastAsia="AR Pゴシック体M"/>
                <w:i/>
                <w:sz w:val="21"/>
                <w:szCs w:val="21"/>
                <w:lang w:eastAsia="ja-JP"/>
              </w:rPr>
              <w:t>autoridad encargada de la contabilidad</w:t>
            </w:r>
            <w:r w:rsidRPr="005A74F1">
              <w:rPr>
                <w:rFonts w:eastAsia="AR Pゴシック体M"/>
                <w:i/>
                <w:sz w:val="21"/>
                <w:szCs w:val="21"/>
                <w:lang w:eastAsia="ja-JP"/>
              </w:rPr>
              <w:t>"</w:t>
            </w:r>
            <w:r w:rsidR="00924784" w:rsidRPr="005A74F1">
              <w:rPr>
                <w:rFonts w:eastAsia="AR Pゴシック体M"/>
                <w:i/>
                <w:sz w:val="21"/>
                <w:szCs w:val="21"/>
                <w:lang w:eastAsia="ja-JP"/>
              </w:rPr>
              <w:t xml:space="preserve"> como explicación razonable de nuestras actividades. (1 autoridad encargada de la contabilidad)</w:t>
            </w:r>
            <w:r w:rsidRPr="005A74F1">
              <w:rPr>
                <w:rFonts w:eastAsia="AR Pゴシック体M"/>
                <w:i/>
                <w:sz w:val="21"/>
                <w:szCs w:val="21"/>
                <w:lang w:eastAsia="ja-JP"/>
              </w:rPr>
              <w:t>.</w:t>
            </w:r>
          </w:p>
          <w:p w:rsidR="00924784" w:rsidRPr="005A74F1" w:rsidRDefault="001C6E3A" w:rsidP="001C6E3A">
            <w:pPr>
              <w:widowControl w:val="0"/>
              <w:tabs>
                <w:tab w:val="clear" w:pos="567"/>
                <w:tab w:val="left" w:pos="1163"/>
              </w:tabs>
              <w:spacing w:before="0"/>
              <w:ind w:left="1134" w:hanging="414"/>
              <w:rPr>
                <w:rFonts w:eastAsia="AR Pゴシック体M"/>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Sin comentarios, ya que Japón no se ha adherido al RTI de 2012. (1 empresa de explotación reconocida, 1 autoridad encargada de la contabilidad)</w:t>
            </w:r>
            <w:r w:rsidRPr="005A74F1">
              <w:rPr>
                <w:rFonts w:eastAsia="AR Pゴシック体M"/>
                <w:i/>
                <w:sz w:val="21"/>
                <w:szCs w:val="21"/>
                <w:lang w:eastAsia="ja-JP"/>
              </w:rPr>
              <w:t>.</w:t>
            </w:r>
          </w:p>
        </w:tc>
      </w:tr>
      <w:tr w:rsidR="00924784" w:rsidRPr="005A74F1" w:rsidTr="005D6611">
        <w:tc>
          <w:tcPr>
            <w:tcW w:w="9918" w:type="dxa"/>
            <w:tcBorders>
              <w:top w:val="nil"/>
              <w:bottom w:val="nil"/>
            </w:tcBorders>
          </w:tcPr>
          <w:p w:rsidR="00924784" w:rsidRPr="005A74F1" w:rsidRDefault="00924784" w:rsidP="009D548C">
            <w:pPr>
              <w:widowControl w:val="0"/>
              <w:ind w:leftChars="100" w:left="240"/>
              <w:rPr>
                <w:rFonts w:eastAsia="AR Pゴシック体M"/>
                <w:sz w:val="20"/>
              </w:rPr>
            </w:pPr>
            <w:r w:rsidRPr="005A74F1">
              <w:rPr>
                <w:rFonts w:eastAsia="AR Pゴシック体M"/>
                <w:b/>
                <w:sz w:val="21"/>
                <w:szCs w:val="21"/>
              </w:rPr>
              <w:t>P3) ¿Se ha topado con algún obstáculo como consecuencia de la aplicación del RTI de 2012?</w:t>
            </w:r>
            <w:r w:rsidR="00E178F5" w:rsidRPr="005A74F1">
              <w:rPr>
                <w:rFonts w:eastAsia="AR Pゴシック体M"/>
                <w:sz w:val="18"/>
                <w:szCs w:val="18"/>
              </w:rPr>
              <w:br/>
            </w:r>
            <w:r w:rsidRPr="005A74F1">
              <w:rPr>
                <w:rFonts w:eastAsia="AR Pゴシック体M"/>
                <w:sz w:val="20"/>
              </w:rPr>
              <w:t>(Pregunta relacionada con el punto 1 del mandato</w:t>
            </w:r>
            <w:r w:rsidR="00E178F5" w:rsidRPr="005A74F1">
              <w:rPr>
                <w:rFonts w:eastAsia="AR Pゴシック体M"/>
                <w:sz w:val="20"/>
              </w:rPr>
              <w:t xml:space="preserve"> del Grupo de Expertos</w:t>
            </w:r>
            <w:r w:rsidRPr="005A74F1">
              <w:rPr>
                <w:rFonts w:eastAsia="AR Pゴシック体M"/>
                <w:sz w:val="20"/>
              </w:rPr>
              <w:t>)</w:t>
            </w:r>
          </w:p>
          <w:p w:rsidR="00924784" w:rsidRPr="005A74F1" w:rsidRDefault="00924784" w:rsidP="009D548C">
            <w:pPr>
              <w:widowControl w:val="0"/>
              <w:spacing w:line="192" w:lineRule="auto"/>
              <w:ind w:leftChars="100" w:left="240"/>
              <w:rPr>
                <w:rFonts w:eastAsia="AR Pゴシック体M"/>
                <w:i/>
                <w:sz w:val="21"/>
                <w:szCs w:val="21"/>
              </w:rPr>
            </w:pPr>
            <w:r w:rsidRPr="005A74F1">
              <w:rPr>
                <w:rFonts w:eastAsia="AR Pゴシック体M"/>
                <w:sz w:val="21"/>
                <w:szCs w:val="21"/>
              </w:rPr>
              <w:tab/>
            </w:r>
            <w:r w:rsidRPr="005A74F1">
              <w:rPr>
                <w:rFonts w:eastAsia="AR Pゴシック体M"/>
                <w:i/>
                <w:sz w:val="21"/>
                <w:szCs w:val="21"/>
                <w:lang w:eastAsia="ja-JP"/>
              </w:rPr>
              <w:t>Sí: 0</w:t>
            </w:r>
          </w:p>
          <w:p w:rsidR="00924784" w:rsidRPr="005A74F1" w:rsidRDefault="00924784" w:rsidP="009D548C">
            <w:pPr>
              <w:widowControl w:val="0"/>
              <w:spacing w:line="120" w:lineRule="auto"/>
              <w:ind w:leftChars="100" w:left="240"/>
              <w:rPr>
                <w:rFonts w:eastAsia="AR Pゴシック体M"/>
                <w:b/>
                <w:i/>
                <w:sz w:val="21"/>
                <w:szCs w:val="21"/>
              </w:rPr>
            </w:pPr>
            <w:r w:rsidRPr="005A74F1">
              <w:rPr>
                <w:rFonts w:eastAsia="AR Pゴシック体M"/>
                <w:i/>
                <w:sz w:val="21"/>
                <w:szCs w:val="21"/>
              </w:rPr>
              <w:tab/>
            </w:r>
            <w:r w:rsidRPr="005A74F1">
              <w:rPr>
                <w:rFonts w:eastAsia="AR Pゴシック体M"/>
                <w:b/>
                <w:i/>
                <w:sz w:val="21"/>
                <w:szCs w:val="21"/>
              </w:rPr>
              <w:t>No: 12</w:t>
            </w:r>
          </w:p>
          <w:p w:rsidR="00924784" w:rsidRPr="005A74F1" w:rsidRDefault="00FA68EF" w:rsidP="003C313A">
            <w:pPr>
              <w:widowControl w:val="0"/>
              <w:tabs>
                <w:tab w:val="clear" w:pos="1134"/>
                <w:tab w:val="left" w:pos="1163"/>
              </w:tabs>
              <w:ind w:left="1163" w:hanging="806"/>
              <w:rPr>
                <w:rFonts w:eastAsia="AR Pゴシック体M"/>
                <w:sz w:val="21"/>
                <w:szCs w:val="21"/>
              </w:rPr>
            </w:pPr>
            <w:r w:rsidRPr="005A74F1">
              <w:rPr>
                <w:rFonts w:eastAsia="AR Pゴシック体M"/>
                <w:b/>
                <w:sz w:val="21"/>
                <w:szCs w:val="21"/>
              </w:rPr>
              <w:t>3.1</w:t>
            </w:r>
            <w:r w:rsidRPr="005A74F1">
              <w:rPr>
                <w:rFonts w:eastAsia="AR Pゴシック体M"/>
                <w:b/>
                <w:sz w:val="21"/>
                <w:szCs w:val="21"/>
              </w:rPr>
              <w:tab/>
            </w:r>
            <w:r w:rsidR="00924784" w:rsidRPr="005A74F1">
              <w:rPr>
                <w:rFonts w:eastAsia="AR Pゴシック体M"/>
                <w:b/>
                <w:sz w:val="21"/>
                <w:szCs w:val="21"/>
              </w:rPr>
              <w:t xml:space="preserve">En caso afirmativo, sírvase describir los obstáculos </w:t>
            </w:r>
            <w:r w:rsidRPr="005A74F1">
              <w:rPr>
                <w:rFonts w:eastAsia="AR Pゴシック体M"/>
                <w:b/>
                <w:sz w:val="21"/>
                <w:szCs w:val="21"/>
              </w:rPr>
              <w:br/>
            </w:r>
            <w:r w:rsidR="00924784" w:rsidRPr="005A74F1">
              <w:rPr>
                <w:rFonts w:eastAsia="AR Pゴシック体M"/>
                <w:b/>
                <w:sz w:val="21"/>
                <w:szCs w:val="21"/>
              </w:rPr>
              <w:t>y las disposiciones específicas en cuestión</w:t>
            </w:r>
            <w:r w:rsidR="00924784" w:rsidRPr="005A74F1">
              <w:rPr>
                <w:rFonts w:eastAsia="AR Pゴシック体M"/>
                <w:sz w:val="21"/>
                <w:szCs w:val="21"/>
              </w:rPr>
              <w:t>.</w:t>
            </w:r>
            <w:r w:rsidR="00924784"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00924784" w:rsidRPr="005A74F1">
              <w:rPr>
                <w:rFonts w:eastAsia="AR Pゴシック体M"/>
                <w:i/>
                <w:sz w:val="21"/>
                <w:szCs w:val="21"/>
              </w:rPr>
              <w:t>N/A</w:t>
            </w:r>
          </w:p>
          <w:p w:rsidR="00924784" w:rsidRPr="005A74F1" w:rsidRDefault="00FA68EF" w:rsidP="003C313A">
            <w:pPr>
              <w:widowControl w:val="0"/>
              <w:tabs>
                <w:tab w:val="clear" w:pos="1134"/>
                <w:tab w:val="left" w:pos="1163"/>
              </w:tabs>
              <w:ind w:left="1163" w:hanging="806"/>
              <w:rPr>
                <w:rFonts w:eastAsia="AR Pゴシック体M"/>
                <w:b/>
                <w:sz w:val="21"/>
                <w:szCs w:val="21"/>
              </w:rPr>
            </w:pPr>
            <w:r w:rsidRPr="005A74F1">
              <w:rPr>
                <w:rFonts w:eastAsia="AR Pゴシック体M"/>
                <w:b/>
                <w:sz w:val="21"/>
                <w:szCs w:val="21"/>
              </w:rPr>
              <w:t>3.2</w:t>
            </w:r>
            <w:r w:rsidRPr="005A74F1">
              <w:rPr>
                <w:rFonts w:eastAsia="AR Pゴシック体M"/>
                <w:b/>
                <w:sz w:val="21"/>
                <w:szCs w:val="21"/>
              </w:rPr>
              <w:tab/>
            </w:r>
            <w:r w:rsidR="00924784" w:rsidRPr="005A74F1">
              <w:rPr>
                <w:rFonts w:eastAsia="AR Pゴシック体M"/>
                <w:b/>
                <w:sz w:val="21"/>
                <w:szCs w:val="21"/>
              </w:rPr>
              <w:t>En caso negativo, sírvase explicar por qué cree que no ha habido obstáculos.</w:t>
            </w:r>
          </w:p>
          <w:p w:rsidR="00924784" w:rsidRPr="005A74F1" w:rsidRDefault="00FA68EF" w:rsidP="00FA68EF">
            <w:pPr>
              <w:widowControl w:val="0"/>
              <w:tabs>
                <w:tab w:val="clear" w:pos="567"/>
                <w:tab w:val="left" w:pos="1163"/>
              </w:tabs>
              <w:spacing w:before="40"/>
              <w:ind w:left="1134" w:hanging="414"/>
              <w:rPr>
                <w:rFonts w:eastAsia="AR Pゴシック体M"/>
                <w:i/>
                <w:sz w:val="21"/>
                <w:szCs w:val="21"/>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Porque</w:t>
            </w:r>
            <w:r w:rsidR="00924784" w:rsidRPr="005A74F1">
              <w:rPr>
                <w:rFonts w:eastAsia="AR Pゴシック体M"/>
                <w:i/>
                <w:sz w:val="21"/>
                <w:szCs w:val="21"/>
              </w:rPr>
              <w:t xml:space="preserve"> no recurrimos al RTI (de 1988 ni de 2012), sino que los acuerdos comerciales cumplen la función esencial (5 operadores)</w:t>
            </w:r>
            <w:r w:rsidRPr="005A74F1">
              <w:rPr>
                <w:rFonts w:eastAsia="AR Pゴシック体M"/>
                <w:i/>
                <w:sz w:val="21"/>
                <w:szCs w:val="21"/>
              </w:rPr>
              <w:t>.</w:t>
            </w:r>
          </w:p>
          <w:p w:rsidR="00924784" w:rsidRPr="005A74F1" w:rsidRDefault="00EA31E7" w:rsidP="00EA31E7">
            <w:pPr>
              <w:widowControl w:val="0"/>
              <w:tabs>
                <w:tab w:val="clear" w:pos="567"/>
                <w:tab w:val="left" w:pos="1163"/>
              </w:tabs>
              <w:spacing w:before="40"/>
              <w:ind w:left="1134" w:hanging="414"/>
              <w:rPr>
                <w:rFonts w:eastAsia="AR Pゴシック体M"/>
                <w:b/>
                <w:sz w:val="21"/>
                <w:szCs w:val="21"/>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Según parece, tras la entrada en vigor del RTI de 2012 en 2015, los países signatarios del mismo tampoco se han referido al RTI de 2012 (1 empresa de explotación reconocida)</w:t>
            </w:r>
            <w:r w:rsidRPr="005A74F1">
              <w:rPr>
                <w:rFonts w:eastAsia="AR Pゴシック体M"/>
                <w:i/>
                <w:sz w:val="21"/>
                <w:szCs w:val="21"/>
                <w:lang w:eastAsia="ja-JP"/>
              </w:rPr>
              <w:t>.</w:t>
            </w:r>
          </w:p>
        </w:tc>
      </w:tr>
      <w:tr w:rsidR="00924784" w:rsidRPr="005A74F1" w:rsidTr="005D6611">
        <w:tc>
          <w:tcPr>
            <w:tcW w:w="9918" w:type="dxa"/>
            <w:tcBorders>
              <w:top w:val="nil"/>
              <w:bottom w:val="nil"/>
            </w:tcBorders>
          </w:tcPr>
          <w:p w:rsidR="00924784" w:rsidRPr="005A74F1" w:rsidRDefault="00924784" w:rsidP="009D548C">
            <w:pPr>
              <w:widowControl w:val="0"/>
              <w:ind w:leftChars="100" w:left="240"/>
              <w:rPr>
                <w:rFonts w:eastAsia="AR Pゴシック体M"/>
                <w:sz w:val="20"/>
              </w:rPr>
            </w:pPr>
            <w:r w:rsidRPr="005A74F1">
              <w:rPr>
                <w:rFonts w:eastAsia="AR Pゴシック体M"/>
                <w:b/>
                <w:sz w:val="21"/>
                <w:szCs w:val="21"/>
                <w:lang w:eastAsia="ja-JP"/>
              </w:rPr>
              <w:lastRenderedPageBreak/>
              <w:t>P4) ¿</w:t>
            </w:r>
            <w:r w:rsidRPr="005A74F1">
              <w:rPr>
                <w:rFonts w:eastAsia="AR Pゴシック体M"/>
                <w:b/>
                <w:sz w:val="21"/>
                <w:szCs w:val="21"/>
              </w:rPr>
              <w:t>Ha experimentado o prevé alguna (posible) situación conflictiva entre las obligaciones dimanantes de la aplicación del RTI de 2012 y las dimanantes del RTI de 1988?</w:t>
            </w:r>
            <w:r w:rsidR="003F10E3" w:rsidRPr="005A74F1">
              <w:rPr>
                <w:rFonts w:eastAsia="AR Pゴシック体M"/>
                <w:b/>
                <w:sz w:val="21"/>
                <w:szCs w:val="21"/>
              </w:rPr>
              <w:br/>
            </w:r>
            <w:r w:rsidRPr="005A74F1">
              <w:rPr>
                <w:rFonts w:eastAsia="AR Pゴシック体M"/>
                <w:sz w:val="20"/>
              </w:rPr>
              <w:t>(Pregunta relacionada con el punto 2c del mandato</w:t>
            </w:r>
            <w:r w:rsidR="003F10E3" w:rsidRPr="005A74F1">
              <w:rPr>
                <w:rFonts w:eastAsia="AR Pゴシック体M"/>
                <w:sz w:val="20"/>
              </w:rPr>
              <w:t xml:space="preserve"> del Grupo de Expertos</w:t>
            </w:r>
            <w:r w:rsidRPr="005A74F1">
              <w:rPr>
                <w:rFonts w:eastAsia="AR Pゴシック体M"/>
                <w:sz w:val="20"/>
              </w:rPr>
              <w:t>)</w:t>
            </w:r>
          </w:p>
          <w:p w:rsidR="00924784" w:rsidRPr="005A74F1" w:rsidRDefault="00924784" w:rsidP="009D548C">
            <w:pPr>
              <w:widowControl w:val="0"/>
              <w:spacing w:line="192" w:lineRule="auto"/>
              <w:ind w:leftChars="100" w:left="240"/>
              <w:rPr>
                <w:rFonts w:eastAsia="AR Pゴシック体M"/>
                <w:i/>
                <w:sz w:val="21"/>
                <w:szCs w:val="21"/>
              </w:rPr>
            </w:pPr>
            <w:r w:rsidRPr="005A74F1">
              <w:rPr>
                <w:rFonts w:eastAsia="AR Pゴシック体M"/>
                <w:i/>
                <w:sz w:val="21"/>
                <w:szCs w:val="21"/>
              </w:rPr>
              <w:tab/>
            </w:r>
            <w:r w:rsidRPr="005A74F1">
              <w:rPr>
                <w:rFonts w:eastAsia="AR Pゴシック体M"/>
                <w:i/>
                <w:sz w:val="21"/>
                <w:szCs w:val="21"/>
                <w:lang w:eastAsia="ja-JP"/>
              </w:rPr>
              <w:t>Sí: 0</w:t>
            </w:r>
          </w:p>
          <w:p w:rsidR="00924784" w:rsidRPr="005A74F1" w:rsidRDefault="00924784" w:rsidP="009D548C">
            <w:pPr>
              <w:widowControl w:val="0"/>
              <w:spacing w:line="120" w:lineRule="auto"/>
              <w:ind w:leftChars="100" w:left="240"/>
              <w:rPr>
                <w:rFonts w:eastAsia="AR Pゴシック体M"/>
                <w:b/>
                <w:i/>
                <w:sz w:val="21"/>
                <w:szCs w:val="21"/>
              </w:rPr>
            </w:pPr>
            <w:r w:rsidRPr="005A74F1">
              <w:rPr>
                <w:rFonts w:eastAsia="AR Pゴシック体M"/>
                <w:i/>
                <w:sz w:val="21"/>
                <w:szCs w:val="21"/>
              </w:rPr>
              <w:tab/>
            </w:r>
            <w:r w:rsidRPr="005A74F1">
              <w:rPr>
                <w:rFonts w:eastAsia="AR Pゴシック体M"/>
                <w:b/>
                <w:i/>
                <w:sz w:val="21"/>
                <w:szCs w:val="21"/>
              </w:rPr>
              <w:t>No: 12</w:t>
            </w:r>
          </w:p>
          <w:p w:rsidR="00924784" w:rsidRPr="005A74F1" w:rsidRDefault="003F10E3" w:rsidP="003F10E3">
            <w:pPr>
              <w:widowControl w:val="0"/>
              <w:tabs>
                <w:tab w:val="clear" w:pos="1134"/>
                <w:tab w:val="left" w:pos="1163"/>
              </w:tabs>
              <w:ind w:left="1163" w:hanging="806"/>
              <w:rPr>
                <w:rFonts w:eastAsia="AR Pゴシック体M"/>
                <w:sz w:val="21"/>
                <w:szCs w:val="21"/>
              </w:rPr>
            </w:pPr>
            <w:r w:rsidRPr="005A74F1">
              <w:rPr>
                <w:rFonts w:eastAsia="AR Pゴシック体M"/>
                <w:b/>
                <w:sz w:val="21"/>
                <w:szCs w:val="21"/>
              </w:rPr>
              <w:t>4.1</w:t>
            </w:r>
            <w:r w:rsidRPr="005A74F1">
              <w:rPr>
                <w:rFonts w:eastAsia="AR Pゴシック体M"/>
                <w:b/>
                <w:sz w:val="21"/>
                <w:szCs w:val="21"/>
              </w:rPr>
              <w:tab/>
            </w:r>
            <w:r w:rsidR="00924784" w:rsidRPr="005A74F1">
              <w:rPr>
                <w:rFonts w:eastAsia="AR Pゴシック体M"/>
                <w:b/>
                <w:sz w:val="21"/>
                <w:szCs w:val="21"/>
              </w:rPr>
              <w:t xml:space="preserve">En caso afirmativo, sírvase describir los problemas y </w:t>
            </w:r>
            <w:r w:rsidRPr="005A74F1">
              <w:rPr>
                <w:rFonts w:eastAsia="AR Pゴシック体M"/>
                <w:b/>
                <w:sz w:val="21"/>
                <w:szCs w:val="21"/>
              </w:rPr>
              <w:br/>
            </w:r>
            <w:r w:rsidR="00924784" w:rsidRPr="005A74F1">
              <w:rPr>
                <w:rFonts w:eastAsia="AR Pゴシック体M"/>
                <w:b/>
                <w:sz w:val="21"/>
                <w:szCs w:val="21"/>
              </w:rPr>
              <w:t>las disposiciones específicas en cuestión.</w:t>
            </w:r>
            <w:r w:rsidR="00924784"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Pr="005A74F1">
              <w:rPr>
                <w:rFonts w:eastAsia="AR Pゴシック体M"/>
                <w:sz w:val="21"/>
                <w:szCs w:val="21"/>
              </w:rPr>
              <w:tab/>
            </w:r>
            <w:r w:rsidR="00924784" w:rsidRPr="005A74F1">
              <w:rPr>
                <w:rFonts w:eastAsia="AR Pゴシック体M"/>
                <w:i/>
                <w:sz w:val="21"/>
                <w:szCs w:val="21"/>
              </w:rPr>
              <w:t>N/A</w:t>
            </w:r>
          </w:p>
          <w:p w:rsidR="00924784" w:rsidRPr="005A74F1" w:rsidRDefault="003F10E3" w:rsidP="003F10E3">
            <w:pPr>
              <w:widowControl w:val="0"/>
              <w:tabs>
                <w:tab w:val="clear" w:pos="1134"/>
                <w:tab w:val="left" w:pos="1163"/>
              </w:tabs>
              <w:ind w:left="1163" w:hanging="806"/>
              <w:rPr>
                <w:rFonts w:eastAsia="AR Pゴシック体M"/>
                <w:b/>
                <w:sz w:val="21"/>
                <w:szCs w:val="21"/>
              </w:rPr>
            </w:pPr>
            <w:r w:rsidRPr="005A74F1">
              <w:rPr>
                <w:rFonts w:eastAsia="AR Pゴシック体M"/>
                <w:b/>
                <w:sz w:val="21"/>
                <w:szCs w:val="21"/>
              </w:rPr>
              <w:t>4.2</w:t>
            </w:r>
            <w:r w:rsidRPr="005A74F1">
              <w:rPr>
                <w:rFonts w:eastAsia="AR Pゴシック体M"/>
                <w:b/>
                <w:sz w:val="21"/>
                <w:szCs w:val="21"/>
              </w:rPr>
              <w:tab/>
            </w:r>
            <w:r w:rsidR="00924784" w:rsidRPr="005A74F1">
              <w:rPr>
                <w:rFonts w:eastAsia="AR Pゴシック体M"/>
                <w:b/>
                <w:sz w:val="21"/>
                <w:szCs w:val="21"/>
              </w:rPr>
              <w:t>En caso negativo, sírvase explicar por qué cree que no ha habido o no se prevén conflictos.</w:t>
            </w:r>
          </w:p>
          <w:p w:rsidR="00924784" w:rsidRPr="005A74F1" w:rsidRDefault="001809A9" w:rsidP="001809A9">
            <w:pPr>
              <w:widowControl w:val="0"/>
              <w:tabs>
                <w:tab w:val="clear" w:pos="567"/>
                <w:tab w:val="left" w:pos="1163"/>
              </w:tabs>
              <w:spacing w:before="40"/>
              <w:ind w:left="1134" w:hanging="414"/>
              <w:rPr>
                <w:rFonts w:eastAsia="AR Pゴシック体M"/>
                <w:i/>
                <w:sz w:val="21"/>
                <w:szCs w:val="21"/>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rPr>
              <w:t>Porque no utilizamos el RTI (7 operadores)</w:t>
            </w:r>
            <w:r w:rsidRPr="005A74F1">
              <w:rPr>
                <w:rFonts w:eastAsia="AR Pゴシック体M"/>
                <w:i/>
                <w:sz w:val="21"/>
                <w:szCs w:val="21"/>
              </w:rPr>
              <w:t>.</w:t>
            </w:r>
          </w:p>
          <w:p w:rsidR="00924784" w:rsidRPr="005A74F1" w:rsidRDefault="001809A9" w:rsidP="001809A9">
            <w:pPr>
              <w:widowControl w:val="0"/>
              <w:tabs>
                <w:tab w:val="clear" w:pos="567"/>
                <w:tab w:val="left" w:pos="1163"/>
              </w:tabs>
              <w:spacing w:before="40"/>
              <w:ind w:left="1134" w:hanging="414"/>
              <w:rPr>
                <w:rFonts w:eastAsia="AR Pゴシック体M"/>
                <w:b/>
                <w:sz w:val="21"/>
                <w:szCs w:val="21"/>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rPr>
              <w:t xml:space="preserve">Porque la definición de </w:t>
            </w:r>
            <w:r w:rsidRPr="005A74F1">
              <w:rPr>
                <w:rFonts w:eastAsia="AR Pゴシック体M"/>
                <w:i/>
                <w:sz w:val="21"/>
                <w:szCs w:val="21"/>
              </w:rPr>
              <w:t>"</w:t>
            </w:r>
            <w:r w:rsidR="00924784" w:rsidRPr="005A74F1">
              <w:rPr>
                <w:rFonts w:eastAsia="AR Pゴシック体M"/>
                <w:i/>
                <w:sz w:val="21"/>
                <w:szCs w:val="21"/>
                <w:lang w:eastAsia="ja-JP"/>
              </w:rPr>
              <w:t>autoridad encargada de la contabilidad</w:t>
            </w:r>
            <w:r w:rsidRPr="005A74F1">
              <w:rPr>
                <w:rFonts w:eastAsia="AR Pゴシック体M"/>
                <w:i/>
                <w:sz w:val="21"/>
                <w:szCs w:val="21"/>
                <w:lang w:eastAsia="ja-JP"/>
              </w:rPr>
              <w:t>"</w:t>
            </w:r>
            <w:r w:rsidR="00924784" w:rsidRPr="005A74F1">
              <w:rPr>
                <w:rFonts w:eastAsia="AR Pゴシック体M"/>
                <w:i/>
                <w:sz w:val="21"/>
                <w:szCs w:val="21"/>
              </w:rPr>
              <w:t xml:space="preserve"> que figura en el Apéndice 2 se ha mantenido prácticamente sin cambios (2 </w:t>
            </w:r>
            <w:r w:rsidR="00924784" w:rsidRPr="005A74F1">
              <w:rPr>
                <w:rFonts w:eastAsia="AR Pゴシック体M"/>
                <w:i/>
                <w:sz w:val="21"/>
                <w:szCs w:val="21"/>
                <w:lang w:eastAsia="ja-JP"/>
              </w:rPr>
              <w:t>autoridades encargadas de la contabilidad</w:t>
            </w:r>
            <w:r w:rsidR="00924784" w:rsidRPr="005A74F1">
              <w:rPr>
                <w:rFonts w:eastAsia="AR Pゴシック体M"/>
                <w:i/>
                <w:sz w:val="21"/>
                <w:szCs w:val="21"/>
              </w:rPr>
              <w:t>)</w:t>
            </w:r>
            <w:r w:rsidRPr="005A74F1">
              <w:rPr>
                <w:rFonts w:eastAsia="AR Pゴシック体M"/>
                <w:i/>
                <w:sz w:val="21"/>
                <w:szCs w:val="21"/>
              </w:rPr>
              <w:t>.</w:t>
            </w:r>
          </w:p>
        </w:tc>
      </w:tr>
      <w:tr w:rsidR="00924784" w:rsidRPr="005A74F1" w:rsidTr="005D6611">
        <w:tc>
          <w:tcPr>
            <w:tcW w:w="9918" w:type="dxa"/>
            <w:tcBorders>
              <w:top w:val="nil"/>
              <w:bottom w:val="nil"/>
            </w:tcBorders>
          </w:tcPr>
          <w:p w:rsidR="00924784" w:rsidRPr="005A74F1" w:rsidRDefault="00924784" w:rsidP="009D548C">
            <w:pPr>
              <w:widowControl w:val="0"/>
              <w:ind w:leftChars="100" w:left="240"/>
              <w:rPr>
                <w:rFonts w:eastAsia="AR Pゴシック体M"/>
                <w:sz w:val="20"/>
              </w:rPr>
            </w:pPr>
            <w:r w:rsidRPr="005A74F1">
              <w:rPr>
                <w:rFonts w:eastAsia="AR Pゴシック体M"/>
                <w:b/>
                <w:sz w:val="21"/>
                <w:szCs w:val="21"/>
              </w:rPr>
              <w:t>P5) ¿Cree que el RTI de 2012 puede contribuir en gran medida a la rápida evolución del entorno de las telecomunicaciones internacionales, teniendo en cuenta la tecnología, los servicios y las obligaciones jurídicas multilaterales e internacionales vigentes, así como los cambios en el alcance de los regímenes reglamentarios nacionales?</w:t>
            </w:r>
            <w:r w:rsidR="008F6151" w:rsidRPr="005A74F1">
              <w:rPr>
                <w:rFonts w:eastAsia="AR Pゴシック体M"/>
                <w:sz w:val="21"/>
                <w:szCs w:val="21"/>
              </w:rPr>
              <w:br/>
            </w:r>
            <w:r w:rsidRPr="005A74F1">
              <w:rPr>
                <w:rFonts w:eastAsia="AR Pゴシック体M"/>
                <w:sz w:val="20"/>
              </w:rPr>
              <w:t>(Pregunta relacionada con el punto 2a del mandato</w:t>
            </w:r>
            <w:r w:rsidR="008F6151" w:rsidRPr="005A74F1">
              <w:rPr>
                <w:rFonts w:eastAsia="AR Pゴシック体M"/>
                <w:sz w:val="20"/>
              </w:rPr>
              <w:t xml:space="preserve"> del Grupo de Expertos</w:t>
            </w:r>
            <w:r w:rsidRPr="005A74F1">
              <w:rPr>
                <w:rFonts w:eastAsia="AR Pゴシック体M"/>
                <w:sz w:val="20"/>
              </w:rPr>
              <w:t>)</w:t>
            </w:r>
          </w:p>
          <w:p w:rsidR="00924784" w:rsidRPr="005A74F1" w:rsidRDefault="00924784" w:rsidP="009D548C">
            <w:pPr>
              <w:widowControl w:val="0"/>
              <w:spacing w:before="0" w:line="120" w:lineRule="auto"/>
              <w:ind w:leftChars="100" w:left="240"/>
              <w:rPr>
                <w:rFonts w:eastAsia="AR Pゴシック体M"/>
                <w:sz w:val="10"/>
                <w:szCs w:val="10"/>
              </w:rPr>
            </w:pPr>
          </w:p>
          <w:p w:rsidR="00924784" w:rsidRPr="005A74F1" w:rsidRDefault="00975168" w:rsidP="00975168">
            <w:pPr>
              <w:widowControl w:val="0"/>
              <w:tabs>
                <w:tab w:val="clear" w:pos="567"/>
                <w:tab w:val="left" w:pos="1163"/>
              </w:tabs>
              <w:spacing w:before="40"/>
              <w:ind w:left="1134" w:hanging="414"/>
              <w:rPr>
                <w:rFonts w:eastAsia="AR Pゴシック体M"/>
                <w:b/>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eastAsia="AR Pゴシック体M"/>
                <w:i/>
                <w:sz w:val="21"/>
                <w:szCs w:val="21"/>
                <w:lang w:eastAsia="ja-JP"/>
              </w:rPr>
              <w:t xml:space="preserve">El RTI </w:t>
            </w:r>
            <w:r w:rsidR="00924784" w:rsidRPr="005A74F1">
              <w:rPr>
                <w:rFonts w:eastAsia="AR Pゴシック体M"/>
                <w:i/>
                <w:sz w:val="21"/>
                <w:szCs w:val="21"/>
              </w:rPr>
              <w:t>ha</w:t>
            </w:r>
            <w:r w:rsidR="00924784" w:rsidRPr="005A74F1">
              <w:rPr>
                <w:rFonts w:eastAsia="AR Pゴシック体M"/>
                <w:i/>
                <w:sz w:val="21"/>
                <w:szCs w:val="21"/>
                <w:lang w:eastAsia="ja-JP"/>
              </w:rPr>
              <w:t xml:space="preserve"> dejado de ser pertinente para nuestro negocio, que se basa en acuerdos comerciales</w:t>
            </w:r>
            <w:r w:rsidRPr="005A74F1">
              <w:rPr>
                <w:rFonts w:eastAsia="AR Pゴシック体M"/>
                <w:i/>
                <w:sz w:val="21"/>
                <w:szCs w:val="21"/>
                <w:lang w:eastAsia="ja-JP"/>
              </w:rPr>
              <w:t xml:space="preserve"> (7 </w:t>
            </w:r>
            <w:r w:rsidR="00924784" w:rsidRPr="005A74F1">
              <w:rPr>
                <w:rFonts w:eastAsia="AR Pゴシック体M"/>
                <w:i/>
                <w:sz w:val="21"/>
                <w:szCs w:val="21"/>
                <w:lang w:eastAsia="ja-JP"/>
              </w:rPr>
              <w:t>operadores)</w:t>
            </w:r>
            <w:r w:rsidRPr="005A74F1">
              <w:rPr>
                <w:rFonts w:eastAsia="AR Pゴシック体M"/>
                <w:i/>
                <w:sz w:val="21"/>
                <w:szCs w:val="21"/>
                <w:lang w:eastAsia="ja-JP"/>
              </w:rPr>
              <w:t>.</w:t>
            </w:r>
          </w:p>
        </w:tc>
      </w:tr>
      <w:tr w:rsidR="00924784" w:rsidRPr="005A74F1" w:rsidTr="005D6611">
        <w:tc>
          <w:tcPr>
            <w:tcW w:w="9918" w:type="dxa"/>
            <w:tcBorders>
              <w:top w:val="nil"/>
            </w:tcBorders>
          </w:tcPr>
          <w:p w:rsidR="00924784" w:rsidRPr="005A74F1" w:rsidRDefault="00924784" w:rsidP="009D548C">
            <w:pPr>
              <w:widowControl w:val="0"/>
              <w:ind w:leftChars="50" w:left="120" w:firstLineChars="50" w:firstLine="105"/>
              <w:rPr>
                <w:rFonts w:eastAsia="AR Pゴシック体M"/>
                <w:b/>
                <w:sz w:val="21"/>
                <w:szCs w:val="21"/>
              </w:rPr>
            </w:pPr>
            <w:r w:rsidRPr="005A74F1">
              <w:rPr>
                <w:rFonts w:eastAsia="AR Pゴシック体M"/>
                <w:b/>
                <w:sz w:val="21"/>
                <w:szCs w:val="21"/>
              </w:rPr>
              <w:t>P6) Observaciones</w:t>
            </w:r>
          </w:p>
          <w:p w:rsidR="00924784" w:rsidRPr="005A74F1" w:rsidRDefault="006626A2" w:rsidP="006626A2">
            <w:pPr>
              <w:widowControl w:val="0"/>
              <w:tabs>
                <w:tab w:val="clear" w:pos="567"/>
                <w:tab w:val="left" w:pos="1163"/>
              </w:tabs>
              <w:spacing w:before="40"/>
              <w:ind w:left="1134" w:hanging="414"/>
              <w:rPr>
                <w:rFonts w:asciiTheme="minorHAnsi" w:eastAsia="AR Pゴシック体M" w:hAnsiTheme="minorHAnsi"/>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No </w:t>
            </w:r>
            <w:r w:rsidR="00924784" w:rsidRPr="005A74F1">
              <w:rPr>
                <w:rFonts w:eastAsia="AR Pゴシック体M"/>
                <w:i/>
                <w:sz w:val="21"/>
                <w:szCs w:val="21"/>
                <w:lang w:eastAsia="ja-JP"/>
              </w:rPr>
              <w:t>consideramos</w:t>
            </w:r>
            <w:r w:rsidR="00924784" w:rsidRPr="005A74F1">
              <w:rPr>
                <w:rFonts w:asciiTheme="minorHAnsi" w:eastAsia="AR Pゴシック体M" w:hAnsiTheme="minorHAnsi"/>
                <w:i/>
                <w:sz w:val="21"/>
                <w:szCs w:val="21"/>
                <w:lang w:eastAsia="ja-JP"/>
              </w:rPr>
              <w:t xml:space="preserve"> necesario revisar el RTI de</w:t>
            </w:r>
            <w:r w:rsidRPr="005A74F1">
              <w:rPr>
                <w:rFonts w:asciiTheme="minorHAnsi" w:eastAsia="AR Pゴシック体M" w:hAnsiTheme="minorHAnsi"/>
                <w:i/>
                <w:sz w:val="21"/>
                <w:szCs w:val="21"/>
                <w:lang w:eastAsia="ja-JP"/>
              </w:rPr>
              <w:t xml:space="preserve"> 2012</w:t>
            </w:r>
            <w:r w:rsidR="00924784" w:rsidRPr="005A74F1">
              <w:rPr>
                <w:rFonts w:asciiTheme="minorHAnsi" w:eastAsia="AR Pゴシック体M" w:hAnsiTheme="minorHAnsi"/>
                <w:i/>
                <w:sz w:val="21"/>
                <w:szCs w:val="21"/>
                <w:lang w:eastAsia="ja-JP"/>
              </w:rPr>
              <w:t xml:space="preserve"> (1 </w:t>
            </w:r>
            <w:r w:rsidR="00924784" w:rsidRPr="005A74F1">
              <w:rPr>
                <w:rFonts w:eastAsia="AR Pゴシック体M"/>
                <w:i/>
                <w:sz w:val="21"/>
                <w:szCs w:val="21"/>
                <w:lang w:eastAsia="ja-JP"/>
              </w:rPr>
              <w:t>autoridad encargada de la contabilidad</w:t>
            </w:r>
            <w:r w:rsidR="00924784" w:rsidRPr="005A74F1">
              <w:rPr>
                <w:rFonts w:asciiTheme="minorHAnsi" w:eastAsia="AR Pゴシック体M" w:hAnsiTheme="minorHAnsi"/>
                <w:i/>
                <w:sz w:val="21"/>
                <w:szCs w:val="21"/>
                <w:lang w:eastAsia="ja-JP"/>
              </w:rPr>
              <w:t>)</w:t>
            </w:r>
            <w:r w:rsidRPr="005A74F1">
              <w:rPr>
                <w:rFonts w:asciiTheme="minorHAnsi" w:eastAsia="AR Pゴシック体M" w:hAnsiTheme="minorHAnsi"/>
                <w:i/>
                <w:sz w:val="21"/>
                <w:szCs w:val="21"/>
                <w:lang w:eastAsia="ja-JP"/>
              </w:rPr>
              <w:t>.</w:t>
            </w:r>
          </w:p>
          <w:p w:rsidR="00924784" w:rsidRPr="005A74F1" w:rsidRDefault="006626A2" w:rsidP="006626A2">
            <w:pPr>
              <w:widowControl w:val="0"/>
              <w:tabs>
                <w:tab w:val="clear" w:pos="567"/>
                <w:tab w:val="left" w:pos="1163"/>
              </w:tabs>
              <w:spacing w:before="40"/>
              <w:ind w:left="1134" w:hanging="414"/>
              <w:rPr>
                <w:rFonts w:asciiTheme="minorHAnsi" w:eastAsia="AR Pゴシック体M" w:hAnsiTheme="minorHAnsi"/>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Nos </w:t>
            </w:r>
            <w:r w:rsidR="00924784" w:rsidRPr="005A74F1">
              <w:rPr>
                <w:rFonts w:eastAsia="AR Pゴシック体M"/>
                <w:i/>
                <w:sz w:val="21"/>
                <w:szCs w:val="21"/>
                <w:lang w:eastAsia="ja-JP"/>
              </w:rPr>
              <w:t>preocupa</w:t>
            </w:r>
            <w:r w:rsidR="00924784" w:rsidRPr="005A74F1">
              <w:rPr>
                <w:rFonts w:asciiTheme="minorHAnsi" w:eastAsia="AR Pゴシック体M" w:hAnsiTheme="minorHAnsi"/>
                <w:i/>
                <w:sz w:val="21"/>
                <w:szCs w:val="21"/>
                <w:lang w:eastAsia="ja-JP"/>
              </w:rPr>
              <w:t xml:space="preserve"> seriamente la inseguridad que podría causar la revisión del RTI, ya que no podemos prever qué efectos tendría un nuevo RTI para nuestro negocio (2 </w:t>
            </w:r>
            <w:r w:rsidR="00924784" w:rsidRPr="005A74F1">
              <w:rPr>
                <w:rFonts w:eastAsia="AR Pゴシック体M"/>
                <w:i/>
                <w:sz w:val="21"/>
                <w:szCs w:val="21"/>
                <w:lang w:eastAsia="ja-JP"/>
              </w:rPr>
              <w:t>empresas de explotación reconocidas</w:t>
            </w:r>
            <w:r w:rsidR="00924784" w:rsidRPr="005A74F1">
              <w:rPr>
                <w:rFonts w:asciiTheme="minorHAnsi" w:eastAsia="AR Pゴシック体M" w:hAnsiTheme="minorHAnsi"/>
                <w:i/>
                <w:sz w:val="21"/>
                <w:szCs w:val="21"/>
                <w:lang w:eastAsia="ja-JP"/>
              </w:rPr>
              <w:t>)</w:t>
            </w:r>
            <w:r w:rsidRPr="005A74F1">
              <w:rPr>
                <w:rFonts w:asciiTheme="minorHAnsi" w:eastAsia="AR Pゴシック体M" w:hAnsiTheme="minorHAnsi"/>
                <w:i/>
                <w:sz w:val="21"/>
                <w:szCs w:val="21"/>
                <w:lang w:eastAsia="ja-JP"/>
              </w:rPr>
              <w:t>.</w:t>
            </w:r>
          </w:p>
          <w:p w:rsidR="00924784" w:rsidRPr="005A74F1" w:rsidRDefault="006626A2" w:rsidP="006626A2">
            <w:pPr>
              <w:widowControl w:val="0"/>
              <w:tabs>
                <w:tab w:val="clear" w:pos="567"/>
                <w:tab w:val="left" w:pos="1163"/>
              </w:tabs>
              <w:spacing w:before="40"/>
              <w:ind w:left="1134" w:hanging="414"/>
              <w:rPr>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La </w:t>
            </w:r>
            <w:r w:rsidR="00924784" w:rsidRPr="005A74F1">
              <w:rPr>
                <w:rFonts w:eastAsia="AR Pゴシック体M"/>
                <w:i/>
                <w:sz w:val="21"/>
                <w:szCs w:val="21"/>
                <w:lang w:eastAsia="ja-JP"/>
              </w:rPr>
              <w:t>flexibilidad</w:t>
            </w:r>
            <w:r w:rsidR="00924784" w:rsidRPr="005A74F1">
              <w:rPr>
                <w:rFonts w:asciiTheme="minorHAnsi" w:eastAsia="AR Pゴシック体M" w:hAnsiTheme="minorHAnsi"/>
                <w:i/>
                <w:sz w:val="21"/>
                <w:szCs w:val="21"/>
                <w:lang w:eastAsia="ja-JP"/>
              </w:rPr>
              <w:t xml:space="preserve"> es</w:t>
            </w:r>
            <w:r w:rsidR="00924784" w:rsidRPr="005A74F1">
              <w:rPr>
                <w:rFonts w:asciiTheme="minorHAnsi" w:hAnsiTheme="minorHAnsi"/>
                <w:i/>
                <w:sz w:val="21"/>
                <w:szCs w:val="21"/>
                <w:lang w:eastAsia="ja-JP"/>
              </w:rPr>
              <w:t xml:space="preserve"> </w:t>
            </w:r>
            <w:r w:rsidR="00924784" w:rsidRPr="005A74F1">
              <w:rPr>
                <w:rFonts w:asciiTheme="minorHAnsi" w:hAnsiTheme="minorHAnsi"/>
                <w:i/>
                <w:sz w:val="21"/>
                <w:szCs w:val="21"/>
              </w:rPr>
              <w:t>indispensable</w:t>
            </w:r>
            <w:r w:rsidR="00924784" w:rsidRPr="005A74F1">
              <w:rPr>
                <w:rFonts w:asciiTheme="minorHAnsi" w:hAnsiTheme="minorHAnsi"/>
                <w:i/>
                <w:sz w:val="21"/>
                <w:szCs w:val="21"/>
                <w:lang w:eastAsia="ja-JP"/>
              </w:rPr>
              <w:t xml:space="preserve"> para crear empresas competitivas y promover la innovación en este mercado de las comunicaciones internacionales que cambia con rapidez (3 </w:t>
            </w:r>
            <w:r w:rsidR="00924784" w:rsidRPr="005A74F1">
              <w:rPr>
                <w:rFonts w:eastAsia="AR Pゴシック体M"/>
                <w:i/>
                <w:sz w:val="21"/>
                <w:szCs w:val="21"/>
                <w:lang w:eastAsia="ja-JP"/>
              </w:rPr>
              <w:t>empresas de explotación reconocidas</w:t>
            </w:r>
            <w:r w:rsidR="00924784" w:rsidRPr="005A74F1">
              <w:rPr>
                <w:rFonts w:asciiTheme="minorHAnsi" w:hAnsiTheme="minorHAnsi"/>
                <w:i/>
                <w:sz w:val="21"/>
                <w:szCs w:val="21"/>
                <w:lang w:eastAsia="ja-JP"/>
              </w:rPr>
              <w:t>)</w:t>
            </w:r>
            <w:r w:rsidRPr="005A74F1">
              <w:rPr>
                <w:rFonts w:asciiTheme="minorHAnsi" w:hAnsiTheme="minorHAnsi"/>
                <w:i/>
                <w:sz w:val="21"/>
                <w:szCs w:val="21"/>
                <w:lang w:eastAsia="ja-JP"/>
              </w:rPr>
              <w:t>.</w:t>
            </w:r>
          </w:p>
          <w:p w:rsidR="00924784" w:rsidRPr="005A74F1" w:rsidRDefault="006626A2" w:rsidP="006626A2">
            <w:pPr>
              <w:widowControl w:val="0"/>
              <w:tabs>
                <w:tab w:val="clear" w:pos="567"/>
                <w:tab w:val="left" w:pos="1163"/>
              </w:tabs>
              <w:spacing w:before="40"/>
              <w:ind w:left="1134" w:hanging="414"/>
              <w:rPr>
                <w:rFonts w:asciiTheme="minorHAnsi" w:hAnsiTheme="minorHAnsi"/>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No </w:t>
            </w:r>
            <w:r w:rsidR="00924784" w:rsidRPr="005A74F1">
              <w:rPr>
                <w:rFonts w:eastAsia="AR Pゴシック体M"/>
                <w:i/>
                <w:sz w:val="21"/>
                <w:szCs w:val="21"/>
                <w:lang w:eastAsia="ja-JP"/>
              </w:rPr>
              <w:t>deberían</w:t>
            </w:r>
            <w:r w:rsidR="00924784" w:rsidRPr="005A74F1">
              <w:rPr>
                <w:rFonts w:asciiTheme="minorHAnsi" w:eastAsia="AR Pゴシック体M" w:hAnsiTheme="minorHAnsi"/>
                <w:i/>
                <w:sz w:val="21"/>
                <w:szCs w:val="21"/>
                <w:lang w:eastAsia="ja-JP"/>
              </w:rPr>
              <w:t xml:space="preserve"> fijarse reglas detalladas en forma de tratado</w:t>
            </w:r>
            <w:r w:rsidR="00924784" w:rsidRPr="005A74F1">
              <w:rPr>
                <w:rFonts w:asciiTheme="minorHAnsi" w:hAnsiTheme="minorHAnsi"/>
                <w:i/>
                <w:sz w:val="21"/>
                <w:szCs w:val="21"/>
                <w:lang w:eastAsia="ja-JP"/>
              </w:rPr>
              <w:t xml:space="preserve"> (2 </w:t>
            </w:r>
            <w:r w:rsidR="00924784" w:rsidRPr="005A74F1">
              <w:rPr>
                <w:rFonts w:eastAsia="AR Pゴシック体M"/>
                <w:i/>
                <w:sz w:val="21"/>
                <w:szCs w:val="21"/>
                <w:lang w:eastAsia="ja-JP"/>
              </w:rPr>
              <w:t>empresas de explotación reconocidas</w:t>
            </w:r>
            <w:r w:rsidR="00924784" w:rsidRPr="005A74F1">
              <w:rPr>
                <w:rFonts w:asciiTheme="minorHAnsi" w:hAnsiTheme="minorHAnsi"/>
                <w:i/>
                <w:sz w:val="21"/>
                <w:szCs w:val="21"/>
                <w:lang w:eastAsia="ja-JP"/>
              </w:rPr>
              <w:t>)</w:t>
            </w:r>
            <w:r w:rsidRPr="005A74F1">
              <w:rPr>
                <w:rFonts w:asciiTheme="minorHAnsi" w:hAnsiTheme="minorHAnsi"/>
                <w:i/>
                <w:sz w:val="21"/>
                <w:szCs w:val="21"/>
                <w:lang w:eastAsia="ja-JP"/>
              </w:rPr>
              <w:t>.</w:t>
            </w:r>
          </w:p>
          <w:p w:rsidR="00924784" w:rsidRPr="005A74F1" w:rsidRDefault="006626A2" w:rsidP="006626A2">
            <w:pPr>
              <w:widowControl w:val="0"/>
              <w:tabs>
                <w:tab w:val="clear" w:pos="567"/>
                <w:tab w:val="left" w:pos="1163"/>
              </w:tabs>
              <w:spacing w:before="40"/>
              <w:ind w:left="1134" w:hanging="414"/>
              <w:rPr>
                <w:rFonts w:asciiTheme="minorHAnsi" w:eastAsia="AR Pゴシック体M" w:hAnsiTheme="minorHAnsi"/>
                <w:i/>
                <w:sz w:val="21"/>
                <w:szCs w:val="21"/>
                <w:lang w:eastAsia="ja-JP"/>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El </w:t>
            </w:r>
            <w:r w:rsidR="00924784" w:rsidRPr="005A74F1">
              <w:rPr>
                <w:rFonts w:eastAsia="AR Pゴシック体M"/>
                <w:i/>
                <w:sz w:val="21"/>
                <w:szCs w:val="21"/>
                <w:lang w:eastAsia="ja-JP"/>
              </w:rPr>
              <w:t>establecimiento</w:t>
            </w:r>
            <w:r w:rsidR="00924784" w:rsidRPr="005A74F1">
              <w:rPr>
                <w:rFonts w:asciiTheme="minorHAnsi" w:eastAsia="AR Pゴシック体M" w:hAnsiTheme="minorHAnsi"/>
                <w:i/>
                <w:sz w:val="21"/>
                <w:szCs w:val="21"/>
                <w:lang w:eastAsia="ja-JP"/>
              </w:rPr>
              <w:t xml:space="preserve"> de más limitaciones en las actividades comerciales no es conveniente para el desarrollo de diversas actividades empresariales (1 </w:t>
            </w:r>
            <w:r w:rsidR="00924784" w:rsidRPr="005A74F1">
              <w:rPr>
                <w:rFonts w:eastAsia="AR Pゴシック体M"/>
                <w:i/>
                <w:sz w:val="21"/>
                <w:szCs w:val="21"/>
                <w:lang w:eastAsia="ja-JP"/>
              </w:rPr>
              <w:t>empresa de explotación reconocida</w:t>
            </w:r>
            <w:r w:rsidR="00924784" w:rsidRPr="005A74F1">
              <w:rPr>
                <w:rFonts w:asciiTheme="minorHAnsi" w:eastAsia="AR Pゴシック体M" w:hAnsiTheme="minorHAnsi"/>
                <w:i/>
                <w:sz w:val="21"/>
                <w:szCs w:val="21"/>
                <w:lang w:eastAsia="ja-JP"/>
              </w:rPr>
              <w:t>)</w:t>
            </w:r>
            <w:r w:rsidRPr="005A74F1">
              <w:rPr>
                <w:rFonts w:asciiTheme="minorHAnsi" w:eastAsia="AR Pゴシック体M" w:hAnsiTheme="minorHAnsi"/>
                <w:i/>
                <w:sz w:val="21"/>
                <w:szCs w:val="21"/>
                <w:lang w:eastAsia="ja-JP"/>
              </w:rPr>
              <w:t>.</w:t>
            </w:r>
          </w:p>
          <w:p w:rsidR="00924784" w:rsidRPr="005A74F1" w:rsidRDefault="006626A2" w:rsidP="006626A2">
            <w:pPr>
              <w:widowControl w:val="0"/>
              <w:tabs>
                <w:tab w:val="clear" w:pos="567"/>
                <w:tab w:val="left" w:pos="1163"/>
              </w:tabs>
              <w:spacing w:before="40"/>
              <w:ind w:left="1134" w:hanging="414"/>
              <w:rPr>
                <w:rFonts w:eastAsia="AR Pゴシック体M"/>
                <w:b/>
                <w:sz w:val="21"/>
                <w:szCs w:val="21"/>
              </w:rPr>
            </w:pPr>
            <w:r w:rsidRPr="005A74F1">
              <w:rPr>
                <w:rFonts w:eastAsia="AR Pゴシック体M"/>
                <w:i/>
                <w:sz w:val="21"/>
                <w:szCs w:val="21"/>
                <w:lang w:eastAsia="ja-JP"/>
              </w:rPr>
              <w:t>–</w:t>
            </w:r>
            <w:r w:rsidRPr="005A74F1">
              <w:rPr>
                <w:rFonts w:eastAsia="AR Pゴシック体M"/>
                <w:i/>
                <w:sz w:val="21"/>
                <w:szCs w:val="21"/>
                <w:lang w:eastAsia="ja-JP"/>
              </w:rPr>
              <w:tab/>
            </w:r>
            <w:r w:rsidR="00924784" w:rsidRPr="005A74F1">
              <w:rPr>
                <w:rFonts w:asciiTheme="minorHAnsi" w:eastAsia="AR Pゴシック体M" w:hAnsiTheme="minorHAnsi"/>
                <w:i/>
                <w:sz w:val="21"/>
                <w:szCs w:val="21"/>
                <w:lang w:eastAsia="ja-JP"/>
              </w:rPr>
              <w:t xml:space="preserve">El RTI no </w:t>
            </w:r>
            <w:r w:rsidR="00924784" w:rsidRPr="005A74F1">
              <w:rPr>
                <w:rFonts w:eastAsia="AR Pゴシック体M"/>
                <w:i/>
                <w:sz w:val="21"/>
                <w:szCs w:val="21"/>
                <w:lang w:eastAsia="ja-JP"/>
              </w:rPr>
              <w:t>debería</w:t>
            </w:r>
            <w:r w:rsidR="00924784" w:rsidRPr="005A74F1">
              <w:rPr>
                <w:rFonts w:asciiTheme="minorHAnsi" w:eastAsia="AR Pゴシック体M" w:hAnsiTheme="minorHAnsi"/>
                <w:i/>
                <w:sz w:val="21"/>
                <w:szCs w:val="21"/>
                <w:lang w:eastAsia="ja-JP"/>
              </w:rPr>
              <w:t xml:space="preserve"> ser un obstáculo a la flexibilidad y a los negocios de los operadores (1 </w:t>
            </w:r>
            <w:r w:rsidR="00924784" w:rsidRPr="005A74F1">
              <w:rPr>
                <w:rFonts w:eastAsia="AR Pゴシック体M"/>
                <w:i/>
                <w:sz w:val="21"/>
                <w:szCs w:val="21"/>
                <w:lang w:eastAsia="ja-JP"/>
              </w:rPr>
              <w:t>empresa de explotación reconocida</w:t>
            </w:r>
            <w:r w:rsidR="00924784" w:rsidRPr="005A74F1">
              <w:rPr>
                <w:rFonts w:asciiTheme="minorHAnsi" w:eastAsia="AR Pゴシック体M" w:hAnsiTheme="minorHAnsi"/>
                <w:i/>
                <w:sz w:val="21"/>
                <w:szCs w:val="21"/>
                <w:lang w:eastAsia="ja-JP"/>
              </w:rPr>
              <w:t>)</w:t>
            </w:r>
            <w:r w:rsidRPr="005A74F1">
              <w:rPr>
                <w:rFonts w:asciiTheme="minorHAnsi" w:eastAsia="AR Pゴシック体M" w:hAnsiTheme="minorHAnsi"/>
                <w:i/>
                <w:sz w:val="21"/>
                <w:szCs w:val="21"/>
                <w:lang w:eastAsia="ja-JP"/>
              </w:rPr>
              <w:t>.</w:t>
            </w:r>
          </w:p>
        </w:tc>
      </w:tr>
    </w:tbl>
    <w:p w:rsidR="00924784" w:rsidRPr="005A74F1" w:rsidRDefault="00924784" w:rsidP="00525083">
      <w:pPr>
        <w:pStyle w:val="Heading1"/>
        <w:rPr>
          <w:lang w:eastAsia="ja-JP"/>
        </w:rPr>
      </w:pPr>
      <w:r w:rsidRPr="005A74F1">
        <w:rPr>
          <w:lang w:eastAsia="ja-JP"/>
        </w:rPr>
        <w:t>3</w:t>
      </w:r>
      <w:r w:rsidRPr="005A74F1">
        <w:rPr>
          <w:lang w:eastAsia="ja-JP"/>
        </w:rPr>
        <w:tab/>
        <w:t>Opinión de Japón sobre el RTI</w:t>
      </w:r>
    </w:p>
    <w:p w:rsidR="00924784" w:rsidRPr="005A74F1" w:rsidRDefault="00924784" w:rsidP="00525083">
      <w:r w:rsidRPr="005A74F1">
        <w:t>Nuestra opinión sobre la revisión del RTI se basa en los resultados de la encuesta descrita anteriormente.</w:t>
      </w:r>
    </w:p>
    <w:p w:rsidR="00924784" w:rsidRPr="005A74F1" w:rsidRDefault="00924784" w:rsidP="00C96B93">
      <w:pPr>
        <w:pStyle w:val="Heading2"/>
      </w:pPr>
      <w:r w:rsidRPr="005A74F1">
        <w:t>3.1</w:t>
      </w:r>
      <w:r w:rsidRPr="005A74F1">
        <w:tab/>
        <w:t>Obstáculos en el marco de la aplicación del RTI de 2012</w:t>
      </w:r>
    </w:p>
    <w:p w:rsidR="00924784" w:rsidRPr="005A74F1" w:rsidRDefault="00924784" w:rsidP="00C96B93">
      <w:r w:rsidRPr="005A74F1">
        <w:t xml:space="preserve">Como se indica en la respuesta a la </w:t>
      </w:r>
      <w:r w:rsidR="00C96B93" w:rsidRPr="005A74F1">
        <w:t xml:space="preserve">Pregunta </w:t>
      </w:r>
      <w:r w:rsidRPr="005A74F1">
        <w:t>3, no se han señalado obstáculos, ni problemas, ni dificultades como consecuencia de la aplicación del RTI de 2012 en Japón. Esto se debe a que en la actualidad los operadores japoneses no utilizan el RTI, ni el de 2012 ni el de 1988, en sus actividades comerciales, sino acuerdos comerciales que cumplen la función clave del RTI en lo que se refiere a la prestación y el funcionamiento de los servicios de telecomunicaciones internacionales.</w:t>
      </w:r>
    </w:p>
    <w:p w:rsidR="00924784" w:rsidRPr="005A74F1" w:rsidRDefault="00924784" w:rsidP="00AE3296">
      <w:pPr>
        <w:pStyle w:val="Heading2"/>
      </w:pPr>
      <w:r w:rsidRPr="005A74F1">
        <w:lastRenderedPageBreak/>
        <w:t>3.2</w:t>
      </w:r>
      <w:r w:rsidRPr="005A74F1">
        <w:tab/>
        <w:t xml:space="preserve">Posible conflicto entre la aplicación del RTI de 1988 y el de </w:t>
      </w:r>
      <w:r w:rsidR="00AE3296" w:rsidRPr="005A74F1">
        <w:t>2012</w:t>
      </w:r>
    </w:p>
    <w:p w:rsidR="00924784" w:rsidRPr="005A74F1" w:rsidRDefault="00924784" w:rsidP="00AE3296">
      <w:r w:rsidRPr="005A74F1">
        <w:t xml:space="preserve">Como se indica en la respuesta a la </w:t>
      </w:r>
      <w:r w:rsidR="00AE3296" w:rsidRPr="005A74F1">
        <w:t xml:space="preserve">Pregunta </w:t>
      </w:r>
      <w:r w:rsidRPr="005A74F1">
        <w:t>4, los operadores japoneses no han experimentado ni prevén ningún conflicto entre las obligaciones dimanantes de la aplicación del RTI de 2012 y el de 1988.</w:t>
      </w:r>
    </w:p>
    <w:p w:rsidR="00924784" w:rsidRPr="005A74F1" w:rsidRDefault="00924784" w:rsidP="003F5098">
      <w:pPr>
        <w:pStyle w:val="Heading2"/>
      </w:pPr>
      <w:r w:rsidRPr="005A74F1">
        <w:t>3.3</w:t>
      </w:r>
      <w:r w:rsidRPr="005A74F1">
        <w:tab/>
        <w:t>Aplicabilidad del RTI de 2012</w:t>
      </w:r>
    </w:p>
    <w:p w:rsidR="00924784" w:rsidRPr="005A74F1" w:rsidRDefault="00924784" w:rsidP="003F5098">
      <w:r w:rsidRPr="005A74F1">
        <w:t xml:space="preserve">Como se indica en las respuestas a las </w:t>
      </w:r>
      <w:r w:rsidR="003F5098" w:rsidRPr="005A74F1">
        <w:t xml:space="preserve">Preguntas </w:t>
      </w:r>
      <w:r w:rsidRPr="005A74F1">
        <w:t xml:space="preserve">1 y 5, los operadores japoneses no recurren al RTI, sino a acuerdos comerciales. Esto significa que el RTI no es pertinente a los efectos de los servicios de telecomunicaciones internacionales que prestan actualmente los operadores japoneses. Teniendo en cuenta que en </w:t>
      </w:r>
      <w:r w:rsidR="003F5098" w:rsidRPr="005A74F1">
        <w:t>J</w:t>
      </w:r>
      <w:r w:rsidRPr="005A74F1">
        <w:t>apón prima el principio básico empresarial de la competencia, estamos convencidos de que los operadores japoneses seguirán recurriendo a acuerdos comerciales y no utilizarán el RTI en el futuro.</w:t>
      </w:r>
    </w:p>
    <w:p w:rsidR="00924784" w:rsidRPr="005A74F1" w:rsidRDefault="00924784" w:rsidP="003F5098">
      <w:pPr>
        <w:pStyle w:val="Heading2"/>
      </w:pPr>
      <w:r w:rsidRPr="005A74F1">
        <w:t>3.4</w:t>
      </w:r>
      <w:r w:rsidRPr="005A74F1">
        <w:tab/>
        <w:t>Posición de Japón sobre el RTI</w:t>
      </w:r>
    </w:p>
    <w:p w:rsidR="00924784" w:rsidRPr="005A74F1" w:rsidRDefault="00924784" w:rsidP="00CF5C16">
      <w:r w:rsidRPr="005A74F1">
        <w:t xml:space="preserve">Tal y como se describe en la introducción </w:t>
      </w:r>
      <w:r w:rsidRPr="005A74F1">
        <w:rPr>
          <w:i/>
          <w:iCs/>
        </w:rPr>
        <w:t>supra</w:t>
      </w:r>
      <w:r w:rsidRPr="005A74F1">
        <w:t xml:space="preserve">, los mercados actuales de telecomunicaciones internacionales en Japón y en los países donde los operadores japoneses hacen negocios están liberalizados y favorecen la competencia. En esos mercados competitivos, como se indica en la respuesta a la </w:t>
      </w:r>
      <w:r w:rsidR="00CF5C16" w:rsidRPr="005A74F1">
        <w:t xml:space="preserve">Pregunta </w:t>
      </w:r>
      <w:r w:rsidRPr="005A74F1">
        <w:t>1, los operadores japoneses no necesitan recurrir al RTI, ni al de 2012 ni al de 1988, sino que utilizan acuerdos comerciales que estipulan con todo detalle las disposiciones relativas a la prestación y el funcionamiento de los servicios de telecomunicaciones internacionales. Habida cuenta de ello, consideramos que el RTI ya no es interesante en el contexto actual de los mercados de telecomunicaciones competitivos en Japón ni en los países donde los operadores japoneses hacen negocios.</w:t>
      </w:r>
    </w:p>
    <w:p w:rsidR="00924784" w:rsidRPr="005A74F1" w:rsidRDefault="00924784" w:rsidP="003F5098">
      <w:r w:rsidRPr="005A74F1">
        <w:t>No obstante, también reconocemos que algunos Estados Miembros consideran que el RTI es necesario en sus mercados, tal y como se señaló durante la 1ª reunión del GE-RTI celebrada en febrero de 2017.</w:t>
      </w:r>
    </w:p>
    <w:p w:rsidR="00924784" w:rsidRPr="005A74F1" w:rsidRDefault="00924784" w:rsidP="003F5098">
      <w:r w:rsidRPr="005A74F1">
        <w:t xml:space="preserve">Además del rápido desarrollo de las tecnologías, los mercados de telecomunicaciones internacionales y los operadores que prestan estos servicios según las necesidades de los mercados también están en constante evolución. A fin de adaptarse a la rápida evolución de este entorno de las telecomunicaciones internacionales, estamos convencidos de que el RTI debería ser flexible y perdurar en el tiempo, es decir que se pudiera aplicar en el futuro, como se indica en la respuesta a la </w:t>
      </w:r>
      <w:r w:rsidR="00CF5C16" w:rsidRPr="005A74F1">
        <w:t xml:space="preserve">Pregunta </w:t>
      </w:r>
      <w:r w:rsidRPr="005A74F1">
        <w:t>6.</w:t>
      </w:r>
    </w:p>
    <w:p w:rsidR="00924784" w:rsidRPr="005A74F1" w:rsidRDefault="00924784" w:rsidP="004F67E3">
      <w:r w:rsidRPr="005A74F1">
        <w:t xml:space="preserve">Como se describe en la Resolución 4 del RTI de 2012, </w:t>
      </w:r>
      <w:r w:rsidR="004F67E3" w:rsidRPr="005A74F1">
        <w:t>"</w:t>
      </w:r>
      <w:r w:rsidRPr="005A74F1">
        <w:rPr>
          <w:i/>
          <w:iCs/>
        </w:rPr>
        <w:t>el RTI consta de principios rectores de alto nivel que no deberían requerir una modificación frecuente</w:t>
      </w:r>
      <w:r w:rsidR="004F67E3" w:rsidRPr="005A74F1">
        <w:t>"</w:t>
      </w:r>
      <w:r w:rsidRPr="005A74F1">
        <w:t xml:space="preserve">. Japón opina que el RTI debería ser un reglamento estable y constar de </w:t>
      </w:r>
      <w:r w:rsidR="004F67E3" w:rsidRPr="005A74F1">
        <w:t>"</w:t>
      </w:r>
      <w:r w:rsidRPr="005A74F1">
        <w:rPr>
          <w:i/>
          <w:iCs/>
        </w:rPr>
        <w:t>principios rectores de alto nivel</w:t>
      </w:r>
      <w:r w:rsidR="004F67E3" w:rsidRPr="005A74F1">
        <w:t>"</w:t>
      </w:r>
      <w:r w:rsidRPr="005A74F1">
        <w:t xml:space="preserve">, pero no debería incluir la información detallada que aparece </w:t>
      </w:r>
      <w:r w:rsidRPr="005A74F1">
        <w:rPr>
          <w:i/>
          <w:iCs/>
        </w:rPr>
        <w:t>infra</w:t>
      </w:r>
      <w:r w:rsidRPr="005A74F1">
        <w:t xml:space="preserve">. Esa información debería quedar excluida del RTI e incumbir a los operadores; también podría figurar en documentos no vinculantes como recomendaciones o directrices solamente cuando fuera absolutamente necesario y lo acordaran los </w:t>
      </w:r>
      <w:r w:rsidR="004F67E3" w:rsidRPr="005A74F1">
        <w:t xml:space="preserve">miembros </w:t>
      </w:r>
      <w:r w:rsidRPr="005A74F1">
        <w:t xml:space="preserve">de la UIT. Los operadores comparten las opiniones formuladas en la respuesta a la </w:t>
      </w:r>
      <w:r w:rsidR="004F67E3" w:rsidRPr="005A74F1">
        <w:t xml:space="preserve">Pregunta </w:t>
      </w:r>
      <w:r w:rsidRPr="005A74F1">
        <w:t>6.</w:t>
      </w:r>
    </w:p>
    <w:p w:rsidR="00924784" w:rsidRPr="005A74F1" w:rsidRDefault="00924784" w:rsidP="007A7053">
      <w:pPr>
        <w:pStyle w:val="enumlev1"/>
        <w:numPr>
          <w:ilvl w:val="0"/>
          <w:numId w:val="4"/>
        </w:numPr>
        <w:ind w:left="567" w:hanging="567"/>
        <w:rPr>
          <w:rFonts w:eastAsia="MS Mincho"/>
          <w:lang w:eastAsia="ja-JP"/>
        </w:rPr>
      </w:pPr>
      <w:r w:rsidRPr="005A74F1">
        <w:rPr>
          <w:rFonts w:eastAsia="MS Mincho"/>
          <w:lang w:eastAsia="ja-JP"/>
        </w:rPr>
        <w:t>Cuestiones operativas detalladas</w:t>
      </w:r>
      <w:r w:rsidR="007A7053" w:rsidRPr="005A74F1">
        <w:rPr>
          <w:rFonts w:eastAsia="MS Mincho"/>
          <w:lang w:eastAsia="ja-JP"/>
        </w:rPr>
        <w:t>.</w:t>
      </w:r>
    </w:p>
    <w:p w:rsidR="00924784" w:rsidRPr="005A74F1" w:rsidRDefault="00924784" w:rsidP="007A7053">
      <w:pPr>
        <w:pStyle w:val="enumlev1"/>
        <w:numPr>
          <w:ilvl w:val="0"/>
          <w:numId w:val="4"/>
        </w:numPr>
        <w:ind w:left="567" w:hanging="567"/>
        <w:rPr>
          <w:rFonts w:eastAsia="MS Mincho"/>
          <w:lang w:eastAsia="ja-JP"/>
        </w:rPr>
      </w:pPr>
      <w:r w:rsidRPr="005A74F1">
        <w:rPr>
          <w:rFonts w:eastAsia="MS Mincho"/>
          <w:lang w:eastAsia="ja-JP"/>
        </w:rPr>
        <w:t>Cuestiones que deban actualizarse con frecuencia</w:t>
      </w:r>
      <w:r w:rsidR="007A7053" w:rsidRPr="005A74F1">
        <w:rPr>
          <w:rFonts w:eastAsia="MS Mincho"/>
          <w:lang w:eastAsia="ja-JP"/>
        </w:rPr>
        <w:t>.</w:t>
      </w:r>
    </w:p>
    <w:p w:rsidR="00924784" w:rsidRPr="005A74F1" w:rsidRDefault="00924784" w:rsidP="007A7053">
      <w:pPr>
        <w:pStyle w:val="enumlev1"/>
        <w:numPr>
          <w:ilvl w:val="0"/>
          <w:numId w:val="4"/>
        </w:numPr>
        <w:ind w:left="567" w:hanging="567"/>
        <w:rPr>
          <w:rFonts w:eastAsia="MS Mincho"/>
          <w:lang w:eastAsia="ja-JP"/>
        </w:rPr>
      </w:pPr>
      <w:r w:rsidRPr="005A74F1">
        <w:rPr>
          <w:rFonts w:eastAsia="MS Mincho"/>
          <w:lang w:eastAsia="ja-JP"/>
        </w:rPr>
        <w:t>Cuestiones que supongan una carga indebida e innecesaria para los operadores</w:t>
      </w:r>
      <w:r w:rsidR="007A7053" w:rsidRPr="005A74F1">
        <w:rPr>
          <w:rFonts w:eastAsia="MS Mincho"/>
          <w:lang w:eastAsia="ja-JP"/>
        </w:rPr>
        <w:t>.</w:t>
      </w:r>
    </w:p>
    <w:p w:rsidR="00924784" w:rsidRPr="005A74F1" w:rsidRDefault="00924784" w:rsidP="007A7053">
      <w:pPr>
        <w:pStyle w:val="enumlev1"/>
        <w:numPr>
          <w:ilvl w:val="0"/>
          <w:numId w:val="4"/>
        </w:numPr>
        <w:ind w:left="567" w:hanging="567"/>
        <w:rPr>
          <w:rFonts w:eastAsia="MS Mincho"/>
          <w:lang w:eastAsia="ja-JP"/>
        </w:rPr>
      </w:pPr>
      <w:r w:rsidRPr="005A74F1">
        <w:rPr>
          <w:rFonts w:eastAsia="MS Mincho"/>
          <w:lang w:eastAsia="ja-JP"/>
        </w:rPr>
        <w:lastRenderedPageBreak/>
        <w:t>Cuestiones que impliquen obligaciones generales que no puedan imponerse a todos los operadores y Estados Miembros, puesto que el contexto de cada país es diferente</w:t>
      </w:r>
      <w:r w:rsidR="007A7053" w:rsidRPr="005A74F1">
        <w:rPr>
          <w:rFonts w:eastAsia="MS Mincho"/>
          <w:lang w:eastAsia="ja-JP"/>
        </w:rPr>
        <w:t>.</w:t>
      </w:r>
    </w:p>
    <w:p w:rsidR="00924784" w:rsidRPr="005A74F1" w:rsidRDefault="007A7053" w:rsidP="007A7053">
      <w:pPr>
        <w:pStyle w:val="enumlev1"/>
        <w:numPr>
          <w:ilvl w:val="0"/>
          <w:numId w:val="4"/>
        </w:numPr>
        <w:ind w:left="567" w:hanging="567"/>
        <w:rPr>
          <w:rFonts w:eastAsia="MS Mincho"/>
          <w:lang w:eastAsia="ja-JP"/>
        </w:rPr>
      </w:pPr>
      <w:r w:rsidRPr="005A74F1">
        <w:rPr>
          <w:rFonts w:eastAsia="MS Mincho"/>
          <w:lang w:eastAsia="ja-JP"/>
        </w:rPr>
        <w:t>Etc</w:t>
      </w:r>
      <w:r w:rsidR="00924784" w:rsidRPr="005A74F1">
        <w:rPr>
          <w:rFonts w:eastAsia="MS Mincho"/>
          <w:lang w:eastAsia="ja-JP"/>
        </w:rPr>
        <w:t>.</w:t>
      </w:r>
    </w:p>
    <w:p w:rsidR="00924784" w:rsidRPr="005A74F1" w:rsidRDefault="00924784" w:rsidP="003251AC">
      <w:r w:rsidRPr="005A74F1">
        <w:t xml:space="preserve">Consideramos que el RTI no debería revisarse con frecuencia. Como se indica en la respuesta a la </w:t>
      </w:r>
      <w:r w:rsidR="003251AC" w:rsidRPr="005A74F1">
        <w:t xml:space="preserve">Pregunta </w:t>
      </w:r>
      <w:r w:rsidRPr="005A74F1">
        <w:t>6, si se revisara el RTI, los operadores atravesarían un momento de gran inseguridad hasta que se alcanzara un nuevo consenso respecto del nuevo RTI y éste concluyera. Esta inseguridad afectaría directa e indirectamente a los operadores que realizan inversiones, elaboran planes empresariales a largo plazo o amplían sus operaciones, porque no podrían prever los efectos causados por un nuevo RTI aún desconocido.</w:t>
      </w:r>
    </w:p>
    <w:p w:rsidR="00924784" w:rsidRPr="005A74F1" w:rsidRDefault="00924784" w:rsidP="003251AC">
      <w:r w:rsidRPr="005A74F1">
        <w:t>Además, el RTI no debería frenar las actividades empresariales de los operadores y deberíamos eliminar toda carga reglamentaria indebida e innecesaria sobre los operadores y crear entornos propicios para la aceleración de las actividades comerciales de los operadores. Estas medidas permitirían crear nuevos servicios, mercados e innovación, y contribuir así al crecimiento económico.</w:t>
      </w:r>
    </w:p>
    <w:p w:rsidR="00924784" w:rsidRPr="005A74F1" w:rsidRDefault="00924784" w:rsidP="0037150E">
      <w:pPr>
        <w:pStyle w:val="Heading1"/>
        <w:rPr>
          <w:lang w:eastAsia="ja-JP"/>
        </w:rPr>
      </w:pPr>
      <w:r w:rsidRPr="005A74F1">
        <w:rPr>
          <w:lang w:eastAsia="ja-JP"/>
        </w:rPr>
        <w:t>4</w:t>
      </w:r>
      <w:r w:rsidRPr="005A74F1">
        <w:rPr>
          <w:lang w:eastAsia="ja-JP"/>
        </w:rPr>
        <w:tab/>
        <w:t>Conclusión</w:t>
      </w:r>
    </w:p>
    <w:p w:rsidR="00924784" w:rsidRPr="005A74F1" w:rsidRDefault="00924784" w:rsidP="0037150E">
      <w:r w:rsidRPr="005A74F1">
        <w:t xml:space="preserve">Tras la liberalización de las telecomunicaciones, los mercados de telecomunicaciones </w:t>
      </w:r>
      <w:r w:rsidR="0037150E" w:rsidRPr="005A74F1">
        <w:t>de</w:t>
      </w:r>
      <w:r w:rsidRPr="005A74F1">
        <w:t xml:space="preserve"> Japón y otros países favorecen la competencia. Los operadores japoneses no utilizan el RTI y los acuerdos comerciales desempeñan una función esencial en sus actividades comerciales. La no utilización del RTI o la existencia de dos RTI no han planteado problemas que afecten a la prestación ni al funcionamiento de los servicios de telecomunicaciones internacionales que ofrecen los operadores japoneses.</w:t>
      </w:r>
    </w:p>
    <w:p w:rsidR="00924784" w:rsidRPr="005A74F1" w:rsidRDefault="00924784" w:rsidP="0037150E">
      <w:r w:rsidRPr="005A74F1">
        <w:t>A efectos de adaptarse a la rápida evolución del entorno de las telecomunicaciones internacionales, estamos convencidos de que el RTI debería ser flexible y constar de principios rectores de alto nivel pero no incluir disposiciones detalladas; el RTI no debería revisarse con frecuencia porque los operadores se sentirían profundamente inseguros hasta que se ultimara un nuevo RTI, una inseguridad que afectaría directa o indirectamente a los operadores que realizan inversiones, elaboran planes empresariales a largo plazo o amplían sus actividades. Por lo tanto, una revisión del RTI tendría efectos adversos en el crecimiento económico mundial y en el desarrollo de las tele</w:t>
      </w:r>
      <w:r w:rsidR="0037150E" w:rsidRPr="005A74F1">
        <w:t>comunicaciones internacionales.</w:t>
      </w:r>
    </w:p>
    <w:p w:rsidR="0037150E" w:rsidRPr="005A74F1" w:rsidRDefault="0037150E" w:rsidP="0032202E">
      <w:pPr>
        <w:pStyle w:val="Reasons"/>
      </w:pPr>
    </w:p>
    <w:p w:rsidR="0037150E" w:rsidRPr="005A74F1" w:rsidRDefault="0037150E">
      <w:pPr>
        <w:jc w:val="center"/>
      </w:pPr>
      <w:r w:rsidRPr="005A74F1">
        <w:t>______________</w:t>
      </w:r>
    </w:p>
    <w:sectPr w:rsidR="0037150E" w:rsidRPr="005A74F1"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99" w:rsidRDefault="00A31699">
      <w:r>
        <w:separator/>
      </w:r>
    </w:p>
  </w:endnote>
  <w:endnote w:type="continuationSeparator" w:id="0">
    <w:p w:rsidR="00A31699" w:rsidRDefault="00A3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 Pゴシック体M">
    <w:altName w:val="MS Gothic"/>
    <w:charset w:val="80"/>
    <w:family w:val="modern"/>
    <w:pitch w:val="variable"/>
    <w:sig w:usb0="80000283" w:usb1="28C76CFA"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1A06A1" w:rsidP="00924784">
    <w:pPr>
      <w:pStyle w:val="Footer"/>
      <w:rPr>
        <w:lang w:val="en-US"/>
      </w:rPr>
    </w:pPr>
    <w:r>
      <w:fldChar w:fldCharType="begin"/>
    </w:r>
    <w:r w:rsidRPr="00B174F9">
      <w:rPr>
        <w:lang w:val="en-US"/>
      </w:rPr>
      <w:instrText xml:space="preserve"> FILENAME \p  \* MERGEFORMAT </w:instrText>
    </w:r>
    <w:r>
      <w:fldChar w:fldCharType="separate"/>
    </w:r>
    <w:r w:rsidR="007E11CB">
      <w:rPr>
        <w:lang w:val="en-US"/>
      </w:rPr>
      <w:t>C:\Users\brouard\Desktop\011S.docx</w:t>
    </w:r>
    <w:r>
      <w:fldChar w:fldCharType="end"/>
    </w:r>
    <w:r w:rsidR="00B174F9">
      <w:t xml:space="preserve"> (</w:t>
    </w:r>
    <w:r w:rsidR="00924784">
      <w:t>423139</w:t>
    </w:r>
    <w:r w:rsidR="00B174F9">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F9" w:rsidRDefault="00B174F9" w:rsidP="00B174F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99" w:rsidRDefault="00A31699">
      <w:r>
        <w:t>____________________</w:t>
      </w:r>
    </w:p>
  </w:footnote>
  <w:footnote w:type="continuationSeparator" w:id="0">
    <w:p w:rsidR="00A31699" w:rsidRDefault="00A3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F65DFF" w:rsidRDefault="000B7C15" w:rsidP="00C70A64">
    <w:pPr>
      <w:pStyle w:val="Header"/>
      <w:rPr>
        <w:sz w:val="16"/>
        <w:szCs w:val="16"/>
      </w:rPr>
    </w:pPr>
    <w:r w:rsidRPr="00F65DFF">
      <w:rPr>
        <w:sz w:val="16"/>
        <w:szCs w:val="16"/>
      </w:rPr>
      <w:fldChar w:fldCharType="begin"/>
    </w:r>
    <w:r w:rsidRPr="00F65DFF">
      <w:rPr>
        <w:sz w:val="16"/>
        <w:szCs w:val="16"/>
      </w:rPr>
      <w:instrText>PAGE</w:instrText>
    </w:r>
    <w:r w:rsidRPr="00F65DFF">
      <w:rPr>
        <w:sz w:val="16"/>
        <w:szCs w:val="16"/>
      </w:rPr>
      <w:fldChar w:fldCharType="separate"/>
    </w:r>
    <w:r w:rsidR="007E11CB">
      <w:rPr>
        <w:noProof/>
        <w:sz w:val="16"/>
        <w:szCs w:val="16"/>
      </w:rPr>
      <w:t>7</w:t>
    </w:r>
    <w:r w:rsidRPr="00F65DFF">
      <w:rPr>
        <w:noProo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0C4C"/>
    <w:multiLevelType w:val="hybridMultilevel"/>
    <w:tmpl w:val="5AFCFC3E"/>
    <w:lvl w:ilvl="0" w:tplc="8E886EDC">
      <w:start w:val="4"/>
      <w:numFmt w:val="bullet"/>
      <w:lvlText w:val="-"/>
      <w:lvlJc w:val="left"/>
      <w:pPr>
        <w:ind w:left="470" w:hanging="360"/>
      </w:pPr>
      <w:rPr>
        <w:rFonts w:ascii="Calibri" w:eastAsia="MS Mincho" w:hAnsi="Calibri"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669DD"/>
    <w:multiLevelType w:val="multilevel"/>
    <w:tmpl w:val="1B0E578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652207E1"/>
    <w:multiLevelType w:val="hybridMultilevel"/>
    <w:tmpl w:val="F6B4FA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65"/>
    <w:rsid w:val="000849A7"/>
    <w:rsid w:val="00084FF1"/>
    <w:rsid w:val="00092C7D"/>
    <w:rsid w:val="000946E5"/>
    <w:rsid w:val="000B0D00"/>
    <w:rsid w:val="000B7C15"/>
    <w:rsid w:val="000D08E8"/>
    <w:rsid w:val="000D1D0F"/>
    <w:rsid w:val="000F5290"/>
    <w:rsid w:val="0010165C"/>
    <w:rsid w:val="0014456E"/>
    <w:rsid w:val="00146BFB"/>
    <w:rsid w:val="001756C8"/>
    <w:rsid w:val="001809A9"/>
    <w:rsid w:val="001A06A1"/>
    <w:rsid w:val="001A14D7"/>
    <w:rsid w:val="001C6E3A"/>
    <w:rsid w:val="001F14A2"/>
    <w:rsid w:val="0025220D"/>
    <w:rsid w:val="002801AA"/>
    <w:rsid w:val="002823AF"/>
    <w:rsid w:val="002B1514"/>
    <w:rsid w:val="002C4676"/>
    <w:rsid w:val="002C70B0"/>
    <w:rsid w:val="002F3CC4"/>
    <w:rsid w:val="003251AC"/>
    <w:rsid w:val="00330465"/>
    <w:rsid w:val="003402FF"/>
    <w:rsid w:val="0037150E"/>
    <w:rsid w:val="00372E3D"/>
    <w:rsid w:val="00382AC0"/>
    <w:rsid w:val="003C313A"/>
    <w:rsid w:val="003F10E3"/>
    <w:rsid w:val="003F5098"/>
    <w:rsid w:val="004405FF"/>
    <w:rsid w:val="00445623"/>
    <w:rsid w:val="004D77EE"/>
    <w:rsid w:val="004F67E3"/>
    <w:rsid w:val="00513630"/>
    <w:rsid w:val="00513C96"/>
    <w:rsid w:val="00525083"/>
    <w:rsid w:val="00550CF3"/>
    <w:rsid w:val="00560125"/>
    <w:rsid w:val="00585553"/>
    <w:rsid w:val="005A74F1"/>
    <w:rsid w:val="005B34D9"/>
    <w:rsid w:val="005D0CCF"/>
    <w:rsid w:val="005D6611"/>
    <w:rsid w:val="005F410F"/>
    <w:rsid w:val="0060149A"/>
    <w:rsid w:val="00601924"/>
    <w:rsid w:val="00621C36"/>
    <w:rsid w:val="0063045B"/>
    <w:rsid w:val="006447EA"/>
    <w:rsid w:val="0064731F"/>
    <w:rsid w:val="006626A2"/>
    <w:rsid w:val="006710F6"/>
    <w:rsid w:val="00696233"/>
    <w:rsid w:val="006A01BE"/>
    <w:rsid w:val="006B4804"/>
    <w:rsid w:val="006C1B56"/>
    <w:rsid w:val="006D4761"/>
    <w:rsid w:val="00703DED"/>
    <w:rsid w:val="007216C1"/>
    <w:rsid w:val="00726872"/>
    <w:rsid w:val="0073462F"/>
    <w:rsid w:val="00753101"/>
    <w:rsid w:val="00760F1C"/>
    <w:rsid w:val="0076194C"/>
    <w:rsid w:val="007657F0"/>
    <w:rsid w:val="007A7053"/>
    <w:rsid w:val="007C3423"/>
    <w:rsid w:val="007E11CB"/>
    <w:rsid w:val="007E5DD3"/>
    <w:rsid w:val="007F350B"/>
    <w:rsid w:val="00820BE4"/>
    <w:rsid w:val="00842D30"/>
    <w:rsid w:val="008451E8"/>
    <w:rsid w:val="00881C9C"/>
    <w:rsid w:val="008F6151"/>
    <w:rsid w:val="00913B9C"/>
    <w:rsid w:val="00924784"/>
    <w:rsid w:val="0093171B"/>
    <w:rsid w:val="00956E77"/>
    <w:rsid w:val="00963408"/>
    <w:rsid w:val="009715DE"/>
    <w:rsid w:val="00975168"/>
    <w:rsid w:val="009C3500"/>
    <w:rsid w:val="009C6224"/>
    <w:rsid w:val="009D1F34"/>
    <w:rsid w:val="009D350A"/>
    <w:rsid w:val="00A31699"/>
    <w:rsid w:val="00A63114"/>
    <w:rsid w:val="00AA390C"/>
    <w:rsid w:val="00AE3296"/>
    <w:rsid w:val="00B0200A"/>
    <w:rsid w:val="00B174F9"/>
    <w:rsid w:val="00B454DB"/>
    <w:rsid w:val="00B574DB"/>
    <w:rsid w:val="00B826C2"/>
    <w:rsid w:val="00B8298E"/>
    <w:rsid w:val="00B907F5"/>
    <w:rsid w:val="00BD0723"/>
    <w:rsid w:val="00BD2518"/>
    <w:rsid w:val="00BE5FBC"/>
    <w:rsid w:val="00BF1D1C"/>
    <w:rsid w:val="00C20C59"/>
    <w:rsid w:val="00C25181"/>
    <w:rsid w:val="00C26F65"/>
    <w:rsid w:val="00C55B1F"/>
    <w:rsid w:val="00C70A64"/>
    <w:rsid w:val="00C758B9"/>
    <w:rsid w:val="00C85206"/>
    <w:rsid w:val="00C96B93"/>
    <w:rsid w:val="00CD32DC"/>
    <w:rsid w:val="00CF1A67"/>
    <w:rsid w:val="00CF5C16"/>
    <w:rsid w:val="00D00B2F"/>
    <w:rsid w:val="00D212A4"/>
    <w:rsid w:val="00D2750E"/>
    <w:rsid w:val="00D62446"/>
    <w:rsid w:val="00DA4EA2"/>
    <w:rsid w:val="00DA722A"/>
    <w:rsid w:val="00DB1B4C"/>
    <w:rsid w:val="00DC3D3E"/>
    <w:rsid w:val="00DE2C90"/>
    <w:rsid w:val="00DE3B24"/>
    <w:rsid w:val="00E02673"/>
    <w:rsid w:val="00E041DD"/>
    <w:rsid w:val="00E06947"/>
    <w:rsid w:val="00E178F5"/>
    <w:rsid w:val="00E3592D"/>
    <w:rsid w:val="00E47B3A"/>
    <w:rsid w:val="00E638EA"/>
    <w:rsid w:val="00E745BE"/>
    <w:rsid w:val="00E752AB"/>
    <w:rsid w:val="00E92DE8"/>
    <w:rsid w:val="00EA31E7"/>
    <w:rsid w:val="00EA4A79"/>
    <w:rsid w:val="00EB1212"/>
    <w:rsid w:val="00ED65AB"/>
    <w:rsid w:val="00ED722B"/>
    <w:rsid w:val="00F12850"/>
    <w:rsid w:val="00F14068"/>
    <w:rsid w:val="00F33BF4"/>
    <w:rsid w:val="00F52831"/>
    <w:rsid w:val="00F65DFF"/>
    <w:rsid w:val="00F7105E"/>
    <w:rsid w:val="00F75C25"/>
    <w:rsid w:val="00F75F57"/>
    <w:rsid w:val="00F82FEE"/>
    <w:rsid w:val="00F869A6"/>
    <w:rsid w:val="00F95601"/>
    <w:rsid w:val="00FA68EF"/>
    <w:rsid w:val="00FD76C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BBCDED-C2DB-42E9-AC1B-6367E26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C26F65"/>
    <w:pPr>
      <w:keepNext/>
      <w:overflowPunct/>
      <w:autoSpaceDE/>
      <w:autoSpaceDN/>
      <w:adjustRightInd/>
      <w:spacing w:before="560" w:after="120"/>
      <w:jc w:val="center"/>
      <w:textAlignment w:val="auto"/>
    </w:pPr>
    <w:rPr>
      <w:caps/>
      <w:lang w:val="en-GB"/>
    </w:rPr>
  </w:style>
  <w:style w:type="paragraph" w:customStyle="1" w:styleId="Normal1">
    <w:name w:val="Normal1"/>
    <w:rsid w:val="00BE5FB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ListParagraph">
    <w:name w:val="List Paragraph"/>
    <w:basedOn w:val="Normal"/>
    <w:uiPriority w:val="99"/>
    <w:qFormat/>
    <w:rsid w:val="009247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924784"/>
    <w:rPr>
      <w:rFonts w:ascii="Times New Roman" w:eastAsia="MS Mincho"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PS_C17.dotm</Template>
  <TotalTime>2</TotalTime>
  <Pages>1</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Contribution from Japan</vt:lpstr>
    </vt:vector>
  </TitlesOfParts>
  <Manager>Secretaría General - Pool</Manager>
  <Company>Unión Internacional de Telecomunicaciones (UIT)</Company>
  <LinksUpToDate>false</LinksUpToDate>
  <CharactersWithSpaces>14580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Japan</dc:title>
  <dc:subject>EG-ITRs</dc:subject>
  <dc:creator>Brouard, Ricarda</dc:creator>
  <cp:keywords>EG-ITRs</cp:keywords>
  <dc:description/>
  <cp:lastModifiedBy>Brouard, Ricarda</cp:lastModifiedBy>
  <cp:revision>4</cp:revision>
  <cp:lastPrinted>2017-09-06T10:17:00Z</cp:lastPrinted>
  <dcterms:created xsi:type="dcterms:W3CDTF">2017-09-06T10:15:00Z</dcterms:created>
  <dcterms:modified xsi:type="dcterms:W3CDTF">2017-09-06T10:17:00Z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EG-ITRs 1/9-S</vt:lpwstr>
  </property>
  <property fmtid="{D5CDD505-2E9C-101B-9397-08002B2CF9AE}" pid="3" name="Docdate">
    <vt:lpwstr>24 de enero de 2017</vt:lpwstr>
  </property>
  <property fmtid="{D5CDD505-2E9C-101B-9397-08002B2CF9AE}" pid="4" name="Docorlang">
    <vt:lpwstr>Original: inglés</vt:lpwstr>
  </property>
  <property fmtid="{D5CDD505-2E9C-101B-9397-08002B2CF9AE}" pid="5" name="Docbluepink">
    <vt:lpwstr>Grupo de Expertos sobre el Reglamento de las Telecomunicaciones Internacionales (GE-RTI)</vt:lpwstr>
  </property>
  <property fmtid="{D5CDD505-2E9C-101B-9397-08002B2CF9AE}" pid="6" name="Docdest">
    <vt:lpwstr/>
  </property>
  <property fmtid="{D5CDD505-2E9C-101B-9397-08002B2CF9AE}" pid="7" name="Docauthor">
    <vt:lpwstr>República Checa, Dinamarca, Países Bajos, Suecia y Reino Unido</vt:lpwstr>
  </property>
</Properties>
</file>