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487"/>
        <w:gridCol w:w="3544"/>
      </w:tblGrid>
      <w:tr w:rsidR="00BB3930" w:rsidTr="006506AD">
        <w:tc>
          <w:tcPr>
            <w:tcW w:w="6487" w:type="dxa"/>
            <w:vAlign w:val="center"/>
          </w:tcPr>
          <w:p w:rsidR="004B4FE7" w:rsidRDefault="004B4FE7" w:rsidP="004B4FE7">
            <w:pPr>
              <w:pStyle w:val="Normal1"/>
              <w:adjustRightInd w:val="0"/>
              <w:snapToGrid w:val="0"/>
              <w:spacing w:before="0"/>
            </w:pPr>
            <w:r>
              <w:rPr>
                <w:b/>
                <w:bCs/>
                <w:position w:val="6"/>
                <w:sz w:val="30"/>
                <w:szCs w:val="30"/>
              </w:rPr>
              <w:t xml:space="preserve">Expert Group on </w:t>
            </w:r>
            <w:r>
              <w:rPr>
                <w:b/>
                <w:bCs/>
                <w:position w:val="6"/>
                <w:sz w:val="30"/>
                <w:szCs w:val="30"/>
              </w:rPr>
              <w:br/>
              <w:t>International Telecommunication Regulations</w:t>
            </w:r>
          </w:p>
          <w:p w:rsidR="00BB3930" w:rsidRDefault="004B4FE7" w:rsidP="004B4FE7">
            <w:pPr>
              <w:pStyle w:val="Normal1"/>
              <w:adjustRightInd w:val="0"/>
              <w:snapToGrid w:val="0"/>
              <w:spacing w:before="0"/>
            </w:pPr>
            <w:r>
              <w:rPr>
                <w:b/>
              </w:rPr>
              <w:t>Second meeting – Geneva, 13-15 September 2017</w:t>
            </w:r>
          </w:p>
        </w:tc>
        <w:tc>
          <w:tcPr>
            <w:tcW w:w="3544" w:type="dxa"/>
          </w:tcPr>
          <w:p w:rsidR="00BB3930" w:rsidRDefault="00BB3930" w:rsidP="006506AD">
            <w:pPr>
              <w:pStyle w:val="Normal1"/>
              <w:spacing w:before="0"/>
            </w:pPr>
            <w:bookmarkStart w:id="0" w:name="h.30j0zll" w:colFirst="0" w:colLast="0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1760220" cy="746760"/>
                  <wp:effectExtent l="0" t="0" r="0" b="0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930" w:rsidTr="006506AD">
        <w:tc>
          <w:tcPr>
            <w:tcW w:w="6487" w:type="dxa"/>
            <w:tcBorders>
              <w:bottom w:val="single" w:sz="12" w:space="0" w:color="000000"/>
            </w:tcBorders>
          </w:tcPr>
          <w:p w:rsidR="00BB3930" w:rsidRDefault="00BB3930" w:rsidP="00B73C2C">
            <w:pPr>
              <w:pStyle w:val="Normal1"/>
              <w:spacing w:before="0"/>
            </w:pPr>
          </w:p>
        </w:tc>
        <w:tc>
          <w:tcPr>
            <w:tcW w:w="3544" w:type="dxa"/>
            <w:tcBorders>
              <w:bottom w:val="single" w:sz="12" w:space="0" w:color="000000"/>
            </w:tcBorders>
          </w:tcPr>
          <w:p w:rsidR="00BB3930" w:rsidRDefault="00BB3930" w:rsidP="006506AD">
            <w:pPr>
              <w:pStyle w:val="Normal1"/>
              <w:spacing w:before="0"/>
            </w:pPr>
          </w:p>
        </w:tc>
      </w:tr>
      <w:tr w:rsidR="00BB3930" w:rsidTr="006506AD">
        <w:tc>
          <w:tcPr>
            <w:tcW w:w="6487" w:type="dxa"/>
            <w:tcBorders>
              <w:top w:val="single" w:sz="12" w:space="0" w:color="000000"/>
            </w:tcBorders>
          </w:tcPr>
          <w:p w:rsidR="00BB3930" w:rsidRDefault="00BB3930" w:rsidP="006506AD">
            <w:pPr>
              <w:pStyle w:val="Normal1"/>
              <w:spacing w:before="0"/>
            </w:pP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:rsidR="00BB3930" w:rsidRDefault="00BB3930" w:rsidP="006506AD">
            <w:pPr>
              <w:pStyle w:val="Normal1"/>
              <w:spacing w:before="0"/>
            </w:pPr>
          </w:p>
        </w:tc>
      </w:tr>
      <w:tr w:rsidR="00BB3930" w:rsidTr="006506AD">
        <w:trPr>
          <w:trHeight w:val="20"/>
        </w:trPr>
        <w:tc>
          <w:tcPr>
            <w:tcW w:w="6487" w:type="dxa"/>
            <w:vMerge w:val="restart"/>
          </w:tcPr>
          <w:p w:rsidR="00BB3930" w:rsidRDefault="00BB3930" w:rsidP="006506AD">
            <w:pPr>
              <w:pStyle w:val="Normal1"/>
              <w:tabs>
                <w:tab w:val="left" w:pos="851"/>
              </w:tabs>
              <w:spacing w:before="0"/>
            </w:pPr>
          </w:p>
        </w:tc>
        <w:tc>
          <w:tcPr>
            <w:tcW w:w="3544" w:type="dxa"/>
          </w:tcPr>
          <w:p w:rsidR="00BB3930" w:rsidRDefault="004B4FE7" w:rsidP="007C7C6A">
            <w:pPr>
              <w:pStyle w:val="Normal1"/>
              <w:tabs>
                <w:tab w:val="left" w:pos="851"/>
              </w:tabs>
              <w:spacing w:before="0"/>
            </w:pPr>
            <w:bookmarkStart w:id="1" w:name="_GoBack"/>
            <w:r w:rsidRPr="005476DB">
              <w:rPr>
                <w:b/>
              </w:rPr>
              <w:t xml:space="preserve">Document </w:t>
            </w: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E</w:t>
            </w:r>
            <w:bookmarkEnd w:id="1"/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G-ITRs-2</w:t>
            </w:r>
            <w:r w:rsidRPr="000F2E67">
              <w:rPr>
                <w:rFonts w:asciiTheme="minorHAnsi" w:hAnsiTheme="minorHAnsi" w:cs="Times New Roman Bold"/>
                <w:b/>
                <w:spacing w:val="-4"/>
                <w:lang w:val="de-CH"/>
              </w:rPr>
              <w:t>/</w:t>
            </w: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9</w:t>
            </w:r>
            <w:r w:rsidRPr="000F2E67">
              <w:rPr>
                <w:rFonts w:asciiTheme="minorHAnsi" w:hAnsiTheme="minorHAnsi" w:cs="Times New Roman Bold"/>
                <w:b/>
                <w:spacing w:val="-4"/>
                <w:lang w:val="de-CH"/>
              </w:rPr>
              <w:t>-</w:t>
            </w: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E</w:t>
            </w:r>
          </w:p>
        </w:tc>
      </w:tr>
      <w:tr w:rsidR="00BB3930" w:rsidTr="006506AD">
        <w:trPr>
          <w:trHeight w:val="20"/>
        </w:trPr>
        <w:tc>
          <w:tcPr>
            <w:tcW w:w="6487" w:type="dxa"/>
            <w:vMerge/>
          </w:tcPr>
          <w:p w:rsidR="00BB3930" w:rsidRDefault="00BB3930" w:rsidP="006506AD">
            <w:pPr>
              <w:pStyle w:val="Normal1"/>
              <w:tabs>
                <w:tab w:val="left" w:pos="851"/>
              </w:tabs>
            </w:pPr>
          </w:p>
        </w:tc>
        <w:tc>
          <w:tcPr>
            <w:tcW w:w="3544" w:type="dxa"/>
          </w:tcPr>
          <w:p w:rsidR="00BB3930" w:rsidRDefault="004B4FE7" w:rsidP="004B4FE7">
            <w:pPr>
              <w:pStyle w:val="Normal1"/>
              <w:tabs>
                <w:tab w:val="left" w:pos="993"/>
              </w:tabs>
              <w:spacing w:before="0"/>
            </w:pPr>
            <w:r>
              <w:rPr>
                <w:b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</w:rPr>
              <w:t xml:space="preserve"> August 2017</w:t>
            </w:r>
          </w:p>
        </w:tc>
      </w:tr>
      <w:tr w:rsidR="00BB3930" w:rsidTr="006506AD">
        <w:trPr>
          <w:trHeight w:val="20"/>
        </w:trPr>
        <w:tc>
          <w:tcPr>
            <w:tcW w:w="6487" w:type="dxa"/>
            <w:vMerge/>
          </w:tcPr>
          <w:p w:rsidR="00BB3930" w:rsidRDefault="00BB3930" w:rsidP="006506AD">
            <w:pPr>
              <w:pStyle w:val="Normal1"/>
              <w:tabs>
                <w:tab w:val="left" w:pos="851"/>
              </w:tabs>
            </w:pPr>
          </w:p>
        </w:tc>
        <w:tc>
          <w:tcPr>
            <w:tcW w:w="3544" w:type="dxa"/>
          </w:tcPr>
          <w:p w:rsidR="00BB3930" w:rsidRDefault="002234B3" w:rsidP="006506AD">
            <w:pPr>
              <w:pStyle w:val="Normal1"/>
              <w:tabs>
                <w:tab w:val="left" w:pos="993"/>
              </w:tabs>
              <w:spacing w:before="0"/>
            </w:pPr>
            <w:r>
              <w:rPr>
                <w:b/>
              </w:rPr>
              <w:t xml:space="preserve">Original: </w:t>
            </w:r>
            <w:r w:rsidR="00BB3930">
              <w:rPr>
                <w:b/>
              </w:rPr>
              <w:t xml:space="preserve">English </w:t>
            </w:r>
          </w:p>
        </w:tc>
      </w:tr>
      <w:tr w:rsidR="00BB3930" w:rsidRPr="008928ED" w:rsidTr="006506AD">
        <w:trPr>
          <w:trHeight w:val="20"/>
        </w:trPr>
        <w:tc>
          <w:tcPr>
            <w:tcW w:w="10031" w:type="dxa"/>
            <w:gridSpan w:val="2"/>
          </w:tcPr>
          <w:p w:rsidR="00BC0D18" w:rsidRDefault="00BC0D18" w:rsidP="00BC0D18">
            <w:pPr>
              <w:pStyle w:val="Normal1"/>
              <w:spacing w:before="0"/>
              <w:jc w:val="center"/>
              <w:rPr>
                <w:rFonts w:asciiTheme="minorHAnsi" w:hAnsiTheme="minorHAnsi" w:cs="Times New Roman"/>
                <w:b/>
                <w:sz w:val="28"/>
                <w:szCs w:val="28"/>
              </w:rPr>
            </w:pPr>
          </w:p>
          <w:p w:rsidR="00BC0D18" w:rsidRDefault="00BC0D18" w:rsidP="00BC0D18">
            <w:pPr>
              <w:pStyle w:val="Normal1"/>
              <w:spacing w:before="0"/>
              <w:jc w:val="center"/>
              <w:rPr>
                <w:rFonts w:asciiTheme="minorHAnsi" w:hAnsiTheme="minorHAnsi" w:cs="Times New Roman"/>
                <w:b/>
                <w:sz w:val="28"/>
                <w:szCs w:val="28"/>
              </w:rPr>
            </w:pPr>
          </w:p>
          <w:p w:rsidR="00FF73A8" w:rsidRDefault="00F43ADC" w:rsidP="00BC0D18">
            <w:pPr>
              <w:pStyle w:val="Normal1"/>
              <w:spacing w:before="0"/>
              <w:jc w:val="center"/>
              <w:rPr>
                <w:rFonts w:asciiTheme="minorHAns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sz w:val="28"/>
                <w:szCs w:val="28"/>
              </w:rPr>
              <w:t>Sector Member Contribution</w:t>
            </w:r>
            <w:r w:rsidR="004B4FE7">
              <w:rPr>
                <w:rFonts w:asciiTheme="minorHAnsi" w:hAnsiTheme="minorHAnsi" w:cs="Times New Roman"/>
                <w:b/>
                <w:sz w:val="28"/>
                <w:szCs w:val="28"/>
              </w:rPr>
              <w:t xml:space="preserve">: </w:t>
            </w:r>
          </w:p>
          <w:p w:rsidR="00F43ADC" w:rsidRPr="001C0870" w:rsidRDefault="00E86AFD" w:rsidP="007C7C6A">
            <w:pPr>
              <w:pStyle w:val="PlainText"/>
              <w:spacing w:before="120"/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Bell Mobility </w:t>
            </w:r>
            <w:r w:rsidR="004C0111" w:rsidRPr="004C0111">
              <w:rPr>
                <w:rFonts w:asciiTheme="minorHAnsi" w:hAnsiTheme="minorHAnsi"/>
                <w:b/>
                <w:sz w:val="28"/>
                <w:szCs w:val="28"/>
              </w:rPr>
              <w:t xml:space="preserve">(Canada); KDDI (Japan); </w:t>
            </w:r>
            <w:proofErr w:type="spellStart"/>
            <w:r w:rsidR="004C0111" w:rsidRPr="004C0111">
              <w:rPr>
                <w:rFonts w:asciiTheme="minorHAnsi" w:hAnsiTheme="minorHAnsi"/>
                <w:b/>
                <w:sz w:val="28"/>
                <w:szCs w:val="28"/>
              </w:rPr>
              <w:t>Am</w:t>
            </w:r>
            <w:r w:rsidR="007C7C6A">
              <w:rPr>
                <w:rFonts w:asciiTheme="minorHAnsi" w:hAnsiTheme="minorHAnsi"/>
                <w:b/>
                <w:sz w:val="28"/>
                <w:szCs w:val="28"/>
              </w:rPr>
              <w:t>é</w:t>
            </w:r>
            <w:r w:rsidR="004C0111" w:rsidRPr="004C0111">
              <w:rPr>
                <w:rFonts w:asciiTheme="minorHAnsi" w:hAnsiTheme="minorHAnsi"/>
                <w:b/>
                <w:sz w:val="28"/>
                <w:szCs w:val="28"/>
              </w:rPr>
              <w:t>rica</w:t>
            </w:r>
            <w:proofErr w:type="spellEnd"/>
            <w:r w:rsidR="004C0111" w:rsidRPr="004C011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4C0111" w:rsidRPr="004C0111">
              <w:rPr>
                <w:rFonts w:asciiTheme="minorHAnsi" w:hAnsiTheme="minorHAnsi"/>
                <w:b/>
                <w:sz w:val="28"/>
                <w:szCs w:val="28"/>
              </w:rPr>
              <w:t>M</w:t>
            </w:r>
            <w:r w:rsidR="007C7C6A">
              <w:rPr>
                <w:rFonts w:asciiTheme="minorHAnsi" w:hAnsiTheme="minorHAnsi"/>
                <w:b/>
                <w:sz w:val="28"/>
                <w:szCs w:val="28"/>
              </w:rPr>
              <w:t>ó</w:t>
            </w:r>
            <w:r w:rsidR="004C0111" w:rsidRPr="004C0111">
              <w:rPr>
                <w:rFonts w:asciiTheme="minorHAnsi" w:hAnsiTheme="minorHAnsi"/>
                <w:b/>
                <w:sz w:val="28"/>
                <w:szCs w:val="28"/>
              </w:rPr>
              <w:t>vil</w:t>
            </w:r>
            <w:proofErr w:type="spellEnd"/>
            <w:r w:rsidR="004C0111" w:rsidRPr="004C0111">
              <w:rPr>
                <w:rFonts w:asciiTheme="minorHAnsi" w:hAnsiTheme="minorHAnsi"/>
                <w:b/>
                <w:sz w:val="28"/>
                <w:szCs w:val="28"/>
              </w:rPr>
              <w:t xml:space="preserve"> (Mexico); BT (United Kingdom); AT&amp;T, Verizon (United States of America)</w:t>
            </w:r>
          </w:p>
        </w:tc>
      </w:tr>
      <w:tr w:rsidR="00BB3930" w:rsidRPr="008928ED" w:rsidTr="006506AD">
        <w:trPr>
          <w:trHeight w:val="20"/>
        </w:trPr>
        <w:tc>
          <w:tcPr>
            <w:tcW w:w="10031" w:type="dxa"/>
            <w:gridSpan w:val="2"/>
          </w:tcPr>
          <w:p w:rsidR="00BB3930" w:rsidRPr="00870E6E" w:rsidRDefault="00870E6E" w:rsidP="001C0870">
            <w:pPr>
              <w:pStyle w:val="Title1"/>
              <w:rPr>
                <w:bCs/>
                <w:caps/>
              </w:rPr>
            </w:pPr>
            <w:r w:rsidRPr="00870E6E">
              <w:rPr>
                <w:rFonts w:eastAsia="Times New Roman" w:cs="Calibri"/>
                <w:bCs/>
                <w:szCs w:val="36"/>
              </w:rPr>
              <w:t>REVIEW OF THE 2012 INTERNATIONAL TELECOMMUNICATION REGULATIONS</w:t>
            </w:r>
          </w:p>
        </w:tc>
      </w:tr>
    </w:tbl>
    <w:p w:rsidR="00BB3930" w:rsidRPr="008928ED" w:rsidRDefault="00BB3930" w:rsidP="00BB3930">
      <w:pPr>
        <w:pStyle w:val="Normal1"/>
        <w:tabs>
          <w:tab w:val="left" w:pos="1418"/>
        </w:tabs>
        <w:spacing w:before="160"/>
        <w:rPr>
          <w:rFonts w:ascii="Times New Roman" w:hAnsi="Times New Roman" w:cs="Times New Roman"/>
          <w:b/>
          <w:sz w:val="22"/>
          <w:szCs w:val="22"/>
        </w:rPr>
      </w:pPr>
      <w:bookmarkStart w:id="2" w:name="h.erbxq0yh2qlt" w:colFirst="0" w:colLast="0"/>
      <w:bookmarkEnd w:id="2"/>
    </w:p>
    <w:p w:rsidR="00870E6E" w:rsidRPr="004B4FE7" w:rsidRDefault="002159F6" w:rsidP="00870E6E">
      <w:pPr>
        <w:tabs>
          <w:tab w:val="left" w:pos="1418"/>
        </w:tabs>
        <w:spacing w:before="160"/>
        <w:jc w:val="both"/>
        <w:rPr>
          <w:rFonts w:asciiTheme="minorHAnsi" w:eastAsia="Times New Roman" w:hAnsiTheme="minorHAnsi"/>
          <w:lang w:val="en-US"/>
        </w:rPr>
      </w:pPr>
      <w:r w:rsidRPr="004B4FE7">
        <w:rPr>
          <w:rFonts w:asciiTheme="minorHAnsi" w:eastAsia="Times New Roman" w:hAnsiTheme="minorHAnsi"/>
        </w:rPr>
        <w:t xml:space="preserve">The </w:t>
      </w:r>
      <w:r w:rsidR="00F43ADC" w:rsidRPr="004B4FE7">
        <w:rPr>
          <w:rFonts w:asciiTheme="minorHAnsi" w:eastAsia="Times New Roman" w:hAnsiTheme="minorHAnsi"/>
        </w:rPr>
        <w:t>ITU Sector M</w:t>
      </w:r>
      <w:r w:rsidRPr="004B4FE7">
        <w:rPr>
          <w:rFonts w:asciiTheme="minorHAnsi" w:eastAsia="Times New Roman" w:hAnsiTheme="minorHAnsi"/>
        </w:rPr>
        <w:t>embers noted above</w:t>
      </w:r>
      <w:r w:rsidR="00F43ADC" w:rsidRPr="004B4FE7">
        <w:rPr>
          <w:rFonts w:asciiTheme="minorHAnsi" w:eastAsia="Times New Roman" w:hAnsiTheme="minorHAnsi"/>
        </w:rPr>
        <w:t xml:space="preserve"> </w:t>
      </w:r>
      <w:r w:rsidR="00870E6E" w:rsidRPr="004B4FE7">
        <w:rPr>
          <w:rFonts w:asciiTheme="minorHAnsi" w:eastAsia="Times New Roman" w:hAnsiTheme="minorHAnsi"/>
        </w:rPr>
        <w:t xml:space="preserve">welcome the opportunity to contribute to the discussion on the review of the International Telecommunication Regulations (ITRs) </w:t>
      </w:r>
      <w:r w:rsidR="005C31F8" w:rsidRPr="004B4FE7">
        <w:rPr>
          <w:rFonts w:asciiTheme="minorHAnsi" w:eastAsia="Times New Roman" w:hAnsiTheme="minorHAnsi"/>
        </w:rPr>
        <w:t xml:space="preserve">that is being </w:t>
      </w:r>
      <w:r w:rsidR="00870E6E" w:rsidRPr="004B4FE7">
        <w:rPr>
          <w:rFonts w:asciiTheme="minorHAnsi" w:eastAsia="Times New Roman" w:hAnsiTheme="minorHAnsi"/>
        </w:rPr>
        <w:t>undertaken by the Expert Group (EG-ITRs) established by Council’s Resolution 1379.</w:t>
      </w:r>
    </w:p>
    <w:p w:rsidR="008A48E6" w:rsidRPr="004B4FE7" w:rsidRDefault="00D23CD0" w:rsidP="004B4FE7">
      <w:pPr>
        <w:rPr>
          <w:rFonts w:asciiTheme="minorHAnsi" w:hAnsiTheme="minorHAnsi"/>
        </w:rPr>
      </w:pPr>
      <w:r w:rsidRPr="004B4FE7">
        <w:rPr>
          <w:rFonts w:asciiTheme="minorHAnsi" w:hAnsiTheme="minorHAnsi"/>
        </w:rPr>
        <w:t xml:space="preserve">Based on our </w:t>
      </w:r>
      <w:r w:rsidR="000935F2" w:rsidRPr="004B4FE7">
        <w:rPr>
          <w:rFonts w:asciiTheme="minorHAnsi" w:hAnsiTheme="minorHAnsi"/>
        </w:rPr>
        <w:t xml:space="preserve">collective </w:t>
      </w:r>
      <w:r w:rsidRPr="004B4FE7">
        <w:rPr>
          <w:rFonts w:asciiTheme="minorHAnsi" w:hAnsiTheme="minorHAnsi"/>
        </w:rPr>
        <w:t xml:space="preserve">operational experience, </w:t>
      </w:r>
      <w:r w:rsidR="008A48E6" w:rsidRPr="004B4FE7">
        <w:rPr>
          <w:rFonts w:asciiTheme="minorHAnsi" w:hAnsiTheme="minorHAnsi"/>
        </w:rPr>
        <w:t>the</w:t>
      </w:r>
      <w:r w:rsidR="00C5078C" w:rsidRPr="004B4FE7">
        <w:rPr>
          <w:rFonts w:asciiTheme="minorHAnsi" w:hAnsiTheme="minorHAnsi"/>
        </w:rPr>
        <w:t xml:space="preserve"> </w:t>
      </w:r>
      <w:r w:rsidR="008A48E6" w:rsidRPr="004B4FE7">
        <w:rPr>
          <w:rFonts w:asciiTheme="minorHAnsi" w:hAnsiTheme="minorHAnsi"/>
        </w:rPr>
        <w:t xml:space="preserve">ITRs are no longer applicable </w:t>
      </w:r>
      <w:r w:rsidR="007A244C" w:rsidRPr="004B4FE7">
        <w:rPr>
          <w:rFonts w:asciiTheme="minorHAnsi" w:hAnsiTheme="minorHAnsi"/>
        </w:rPr>
        <w:t xml:space="preserve">to </w:t>
      </w:r>
      <w:r w:rsidR="008A48E6" w:rsidRPr="004B4FE7">
        <w:rPr>
          <w:rFonts w:asciiTheme="minorHAnsi" w:hAnsiTheme="minorHAnsi"/>
        </w:rPr>
        <w:t xml:space="preserve">or relevant </w:t>
      </w:r>
      <w:r w:rsidR="007A244C" w:rsidRPr="004B4FE7">
        <w:rPr>
          <w:rFonts w:asciiTheme="minorHAnsi" w:hAnsiTheme="minorHAnsi"/>
        </w:rPr>
        <w:t xml:space="preserve">in </w:t>
      </w:r>
      <w:r w:rsidR="008A48E6" w:rsidRPr="004B4FE7">
        <w:rPr>
          <w:rFonts w:asciiTheme="minorHAnsi" w:hAnsiTheme="minorHAnsi"/>
        </w:rPr>
        <w:t xml:space="preserve">today’s </w:t>
      </w:r>
      <w:r w:rsidR="005C31F8" w:rsidRPr="004B4FE7">
        <w:rPr>
          <w:rFonts w:asciiTheme="minorHAnsi" w:hAnsiTheme="minorHAnsi"/>
        </w:rPr>
        <w:t xml:space="preserve">highly competitive </w:t>
      </w:r>
      <w:r w:rsidR="008A48E6" w:rsidRPr="004B4FE7">
        <w:rPr>
          <w:rFonts w:asciiTheme="minorHAnsi" w:hAnsiTheme="minorHAnsi"/>
        </w:rPr>
        <w:t xml:space="preserve">international </w:t>
      </w:r>
      <w:r w:rsidR="000935F2" w:rsidRPr="004B4FE7">
        <w:rPr>
          <w:rFonts w:asciiTheme="minorHAnsi" w:hAnsiTheme="minorHAnsi"/>
        </w:rPr>
        <w:t>tele</w:t>
      </w:r>
      <w:r w:rsidR="008A48E6" w:rsidRPr="004B4FE7">
        <w:rPr>
          <w:rFonts w:asciiTheme="minorHAnsi" w:hAnsiTheme="minorHAnsi"/>
        </w:rPr>
        <w:t xml:space="preserve">communications </w:t>
      </w:r>
      <w:r w:rsidR="000935F2" w:rsidRPr="004B4FE7">
        <w:rPr>
          <w:rFonts w:asciiTheme="minorHAnsi" w:hAnsiTheme="minorHAnsi"/>
        </w:rPr>
        <w:t>market</w:t>
      </w:r>
      <w:r w:rsidR="008A48E6" w:rsidRPr="004B4FE7">
        <w:rPr>
          <w:rFonts w:asciiTheme="minorHAnsi" w:hAnsiTheme="minorHAnsi"/>
        </w:rPr>
        <w:t xml:space="preserve">. </w:t>
      </w:r>
      <w:r w:rsidR="000935F2" w:rsidRPr="004B4FE7">
        <w:rPr>
          <w:rFonts w:asciiTheme="minorHAnsi" w:hAnsiTheme="minorHAnsi"/>
        </w:rPr>
        <w:t xml:space="preserve">Indeed, most, if not all, international traffic exchanged by our companies globally is done so through commercially-negotiated agreements. </w:t>
      </w:r>
      <w:r w:rsidR="00C5078C" w:rsidRPr="004B4FE7">
        <w:rPr>
          <w:rFonts w:asciiTheme="minorHAnsi" w:hAnsiTheme="minorHAnsi"/>
        </w:rPr>
        <w:t>To our knowledge, t</w:t>
      </w:r>
      <w:r w:rsidR="000935F2" w:rsidRPr="004B4FE7">
        <w:rPr>
          <w:rFonts w:asciiTheme="minorHAnsi" w:hAnsiTheme="minorHAnsi"/>
        </w:rPr>
        <w:t xml:space="preserve">here are very few countries that continue to rely on </w:t>
      </w:r>
      <w:r w:rsidR="00BC0D18" w:rsidRPr="004B4FE7">
        <w:rPr>
          <w:rFonts w:asciiTheme="minorHAnsi" w:hAnsiTheme="minorHAnsi"/>
        </w:rPr>
        <w:t xml:space="preserve">the </w:t>
      </w:r>
      <w:r w:rsidR="000935F2" w:rsidRPr="004B4FE7">
        <w:rPr>
          <w:rFonts w:asciiTheme="minorHAnsi" w:hAnsiTheme="minorHAnsi"/>
        </w:rPr>
        <w:t>ITR</w:t>
      </w:r>
      <w:r w:rsidR="00C5078C" w:rsidRPr="004B4FE7">
        <w:rPr>
          <w:rFonts w:asciiTheme="minorHAnsi" w:hAnsiTheme="minorHAnsi"/>
        </w:rPr>
        <w:t xml:space="preserve">-based accounting rate </w:t>
      </w:r>
      <w:r w:rsidR="00BC0D18" w:rsidRPr="004B4FE7">
        <w:rPr>
          <w:rFonts w:asciiTheme="minorHAnsi" w:hAnsiTheme="minorHAnsi"/>
        </w:rPr>
        <w:t>regime</w:t>
      </w:r>
      <w:r w:rsidR="000935F2" w:rsidRPr="004B4FE7">
        <w:rPr>
          <w:rFonts w:asciiTheme="minorHAnsi" w:hAnsiTheme="minorHAnsi"/>
        </w:rPr>
        <w:t xml:space="preserve">, and </w:t>
      </w:r>
      <w:r w:rsidR="00BC0D18" w:rsidRPr="004B4FE7">
        <w:rPr>
          <w:rFonts w:asciiTheme="minorHAnsi" w:hAnsiTheme="minorHAnsi"/>
        </w:rPr>
        <w:t>such traffic</w:t>
      </w:r>
      <w:r w:rsidR="000935F2" w:rsidRPr="004B4FE7">
        <w:rPr>
          <w:rFonts w:asciiTheme="minorHAnsi" w:hAnsiTheme="minorHAnsi"/>
        </w:rPr>
        <w:t xml:space="preserve"> accounts </w:t>
      </w:r>
      <w:r w:rsidR="00BC0D18" w:rsidRPr="004B4FE7">
        <w:rPr>
          <w:rFonts w:asciiTheme="minorHAnsi" w:hAnsiTheme="minorHAnsi"/>
        </w:rPr>
        <w:t xml:space="preserve">only </w:t>
      </w:r>
      <w:r w:rsidR="000935F2" w:rsidRPr="004B4FE7">
        <w:rPr>
          <w:rFonts w:asciiTheme="minorHAnsi" w:hAnsiTheme="minorHAnsi"/>
        </w:rPr>
        <w:t xml:space="preserve">for </w:t>
      </w:r>
      <w:r w:rsidR="00BE3D68" w:rsidRPr="004B4FE7">
        <w:rPr>
          <w:rFonts w:asciiTheme="minorHAnsi" w:hAnsiTheme="minorHAnsi"/>
        </w:rPr>
        <w:t>less than 1%</w:t>
      </w:r>
      <w:r w:rsidR="00C96A2F" w:rsidRPr="004B4FE7">
        <w:rPr>
          <w:rFonts w:asciiTheme="minorHAnsi" w:hAnsiTheme="minorHAnsi"/>
        </w:rPr>
        <w:t xml:space="preserve"> </w:t>
      </w:r>
      <w:r w:rsidR="000935F2" w:rsidRPr="004B4FE7">
        <w:rPr>
          <w:rFonts w:asciiTheme="minorHAnsi" w:hAnsiTheme="minorHAnsi"/>
        </w:rPr>
        <w:t xml:space="preserve">of global traffic flows. </w:t>
      </w:r>
    </w:p>
    <w:p w:rsidR="00BC0D18" w:rsidRPr="004B4FE7" w:rsidRDefault="008A48E6" w:rsidP="004B4FE7">
      <w:pPr>
        <w:rPr>
          <w:rFonts w:asciiTheme="minorHAnsi" w:hAnsiTheme="minorHAnsi"/>
        </w:rPr>
      </w:pPr>
      <w:r w:rsidRPr="004B4FE7">
        <w:rPr>
          <w:rFonts w:asciiTheme="minorHAnsi" w:hAnsiTheme="minorHAnsi"/>
        </w:rPr>
        <w:t xml:space="preserve">The provisions of the ITRs, both the 1988 and 2012 versions, speak to the regulatory needs of a bygone world. </w:t>
      </w:r>
      <w:r w:rsidR="005C31F8" w:rsidRPr="004B4FE7">
        <w:rPr>
          <w:rFonts w:asciiTheme="minorHAnsi" w:hAnsiTheme="minorHAnsi"/>
        </w:rPr>
        <w:t xml:space="preserve">The </w:t>
      </w:r>
      <w:r w:rsidR="00C828A0" w:rsidRPr="004B4FE7">
        <w:rPr>
          <w:rFonts w:asciiTheme="minorHAnsi" w:hAnsiTheme="minorHAnsi"/>
        </w:rPr>
        <w:t xml:space="preserve">1988 </w:t>
      </w:r>
      <w:r w:rsidR="005C31F8" w:rsidRPr="004B4FE7">
        <w:rPr>
          <w:rFonts w:asciiTheme="minorHAnsi" w:hAnsiTheme="minorHAnsi"/>
        </w:rPr>
        <w:t xml:space="preserve">ITRs were </w:t>
      </w:r>
      <w:r w:rsidR="007A244C" w:rsidRPr="004B4FE7">
        <w:rPr>
          <w:rFonts w:asciiTheme="minorHAnsi" w:hAnsiTheme="minorHAnsi"/>
        </w:rPr>
        <w:t xml:space="preserve">developed in </w:t>
      </w:r>
      <w:r w:rsidR="005C31F8" w:rsidRPr="004B4FE7">
        <w:rPr>
          <w:rFonts w:asciiTheme="minorHAnsi" w:hAnsiTheme="minorHAnsi"/>
        </w:rPr>
        <w:t>an era of monopoly carriers that were often government-owned, and this was the bas</w:t>
      </w:r>
      <w:r w:rsidR="007A244C" w:rsidRPr="004B4FE7">
        <w:rPr>
          <w:rFonts w:asciiTheme="minorHAnsi" w:hAnsiTheme="minorHAnsi"/>
        </w:rPr>
        <w:t>i</w:t>
      </w:r>
      <w:r w:rsidR="005C31F8" w:rsidRPr="004B4FE7">
        <w:rPr>
          <w:rFonts w:asciiTheme="minorHAnsi" w:hAnsiTheme="minorHAnsi"/>
        </w:rPr>
        <w:t xml:space="preserve">s of an intergovernmental treaty. Over the past two decades, international and domestic telecommunication markets have experienced significant structural and technological transformations. </w:t>
      </w:r>
      <w:r w:rsidR="0026443C" w:rsidRPr="004B4FE7">
        <w:rPr>
          <w:rFonts w:asciiTheme="minorHAnsi" w:hAnsiTheme="minorHAnsi"/>
        </w:rPr>
        <w:t xml:space="preserve">Today, the emergence of </w:t>
      </w:r>
      <w:r w:rsidR="005C31F8" w:rsidRPr="004B4FE7">
        <w:rPr>
          <w:rFonts w:asciiTheme="minorHAnsi" w:hAnsiTheme="minorHAnsi"/>
        </w:rPr>
        <w:t xml:space="preserve">multiple competing private-sector operators in each country has resulted in a competitive landscape that </w:t>
      </w:r>
      <w:r w:rsidR="00C77A3A" w:rsidRPr="004B4FE7">
        <w:rPr>
          <w:rFonts w:asciiTheme="minorHAnsi" w:hAnsiTheme="minorHAnsi"/>
        </w:rPr>
        <w:t xml:space="preserve">does not require </w:t>
      </w:r>
      <w:r w:rsidR="005C31F8" w:rsidRPr="004B4FE7">
        <w:rPr>
          <w:rFonts w:asciiTheme="minorHAnsi" w:hAnsiTheme="minorHAnsi"/>
        </w:rPr>
        <w:t>a</w:t>
      </w:r>
      <w:r w:rsidR="00522DF8" w:rsidRPr="004B4FE7">
        <w:rPr>
          <w:rFonts w:asciiTheme="minorHAnsi" w:hAnsiTheme="minorHAnsi"/>
        </w:rPr>
        <w:t>ny</w:t>
      </w:r>
      <w:r w:rsidR="005C31F8" w:rsidRPr="004B4FE7">
        <w:rPr>
          <w:rFonts w:asciiTheme="minorHAnsi" w:hAnsiTheme="minorHAnsi"/>
        </w:rPr>
        <w:t xml:space="preserve"> </w:t>
      </w:r>
      <w:r w:rsidR="00C77A3A" w:rsidRPr="004B4FE7">
        <w:rPr>
          <w:rFonts w:asciiTheme="minorHAnsi" w:hAnsiTheme="minorHAnsi"/>
        </w:rPr>
        <w:t xml:space="preserve">treaty </w:t>
      </w:r>
      <w:r w:rsidR="005C31F8" w:rsidRPr="004B4FE7">
        <w:rPr>
          <w:rFonts w:asciiTheme="minorHAnsi" w:hAnsiTheme="minorHAnsi"/>
        </w:rPr>
        <w:t>instrument like the ITRs.</w:t>
      </w:r>
      <w:r w:rsidR="00C77A3A" w:rsidRPr="004B4FE7">
        <w:rPr>
          <w:rFonts w:asciiTheme="minorHAnsi" w:hAnsiTheme="minorHAnsi"/>
        </w:rPr>
        <w:t xml:space="preserve"> The continued successful deployment and use of telecommunication infrastructure and services worldwide is not a direct result of the ITRs, but instead has been realized through policy frameworks that support ongoing innovation, market-based competition and private sector investment.</w:t>
      </w:r>
    </w:p>
    <w:p w:rsidR="00C828A0" w:rsidRPr="004B4FE7" w:rsidRDefault="00C828A0" w:rsidP="004B4FE7">
      <w:pPr>
        <w:rPr>
          <w:rFonts w:asciiTheme="minorHAnsi" w:hAnsiTheme="minorHAnsi"/>
        </w:rPr>
      </w:pPr>
      <w:r w:rsidRPr="004B4FE7">
        <w:rPr>
          <w:rFonts w:asciiTheme="minorHAnsi" w:hAnsiTheme="minorHAnsi"/>
        </w:rPr>
        <w:t xml:space="preserve">Furthermore, in response to questions from Member States regarding the potential challenges arising from </w:t>
      </w:r>
      <w:r w:rsidR="00AA24CD" w:rsidRPr="004B4FE7">
        <w:rPr>
          <w:rFonts w:asciiTheme="minorHAnsi" w:hAnsiTheme="minorHAnsi"/>
        </w:rPr>
        <w:t xml:space="preserve">the implementation of </w:t>
      </w:r>
      <w:r w:rsidRPr="004B4FE7">
        <w:rPr>
          <w:rFonts w:asciiTheme="minorHAnsi" w:hAnsiTheme="minorHAnsi"/>
        </w:rPr>
        <w:t xml:space="preserve">the 2012 ITRs, our companies have not experienced any practical obstacles </w:t>
      </w:r>
      <w:r w:rsidR="00AA24CD" w:rsidRPr="004B4FE7">
        <w:rPr>
          <w:rFonts w:asciiTheme="minorHAnsi" w:hAnsiTheme="minorHAnsi"/>
        </w:rPr>
        <w:t>in this regard</w:t>
      </w:r>
      <w:r w:rsidRPr="004B4FE7">
        <w:rPr>
          <w:rFonts w:asciiTheme="minorHAnsi" w:hAnsiTheme="minorHAnsi"/>
        </w:rPr>
        <w:t xml:space="preserve">. We </w:t>
      </w:r>
      <w:r w:rsidR="00AA24CD" w:rsidRPr="004B4FE7">
        <w:rPr>
          <w:rFonts w:asciiTheme="minorHAnsi" w:hAnsiTheme="minorHAnsi"/>
        </w:rPr>
        <w:t xml:space="preserve">expect this is due to the fact that </w:t>
      </w:r>
      <w:r w:rsidRPr="004B4FE7">
        <w:rPr>
          <w:rFonts w:asciiTheme="minorHAnsi" w:hAnsiTheme="minorHAnsi"/>
        </w:rPr>
        <w:t>virtually all international traffic is exchange</w:t>
      </w:r>
      <w:r w:rsidR="00C77A3A" w:rsidRPr="004B4FE7">
        <w:rPr>
          <w:rFonts w:asciiTheme="minorHAnsi" w:hAnsiTheme="minorHAnsi"/>
        </w:rPr>
        <w:t>d</w:t>
      </w:r>
      <w:r w:rsidRPr="004B4FE7">
        <w:rPr>
          <w:rFonts w:asciiTheme="minorHAnsi" w:hAnsiTheme="minorHAnsi"/>
        </w:rPr>
        <w:t xml:space="preserve"> </w:t>
      </w:r>
      <w:r w:rsidR="004B4FE7">
        <w:rPr>
          <w:rFonts w:asciiTheme="minorHAnsi" w:hAnsiTheme="minorHAnsi"/>
        </w:rPr>
        <w:t>through commercial agreements.</w:t>
      </w:r>
    </w:p>
    <w:p w:rsidR="00C5078C" w:rsidRPr="004B4FE7" w:rsidRDefault="00C5078C" w:rsidP="007A244C">
      <w:pPr>
        <w:tabs>
          <w:tab w:val="left" w:pos="1418"/>
        </w:tabs>
        <w:spacing w:before="160"/>
        <w:jc w:val="both"/>
        <w:rPr>
          <w:rFonts w:asciiTheme="minorHAnsi" w:eastAsia="Times New Roman" w:hAnsiTheme="minorHAnsi"/>
        </w:rPr>
      </w:pPr>
      <w:r w:rsidRPr="004B4FE7">
        <w:rPr>
          <w:rFonts w:asciiTheme="minorHAnsi" w:eastAsia="Times New Roman" w:hAnsiTheme="minorHAnsi"/>
          <w:lang w:val="en-US"/>
        </w:rPr>
        <w:t>We appreciate the o</w:t>
      </w:r>
      <w:r w:rsidR="00D365C4" w:rsidRPr="004B4FE7">
        <w:rPr>
          <w:rFonts w:asciiTheme="minorHAnsi" w:eastAsia="Times New Roman" w:hAnsiTheme="minorHAnsi"/>
          <w:lang w:val="en-US"/>
        </w:rPr>
        <w:t>pportunity to contribute to the discussion and look forward to</w:t>
      </w:r>
      <w:r w:rsidR="00EC1DBE" w:rsidRPr="004B4FE7">
        <w:rPr>
          <w:rFonts w:asciiTheme="minorHAnsi" w:eastAsia="Times New Roman" w:hAnsiTheme="minorHAnsi"/>
          <w:lang w:val="en-US"/>
        </w:rPr>
        <w:t xml:space="preserve"> a</w:t>
      </w:r>
      <w:r w:rsidR="00D365C4" w:rsidRPr="004B4FE7">
        <w:rPr>
          <w:rFonts w:asciiTheme="minorHAnsi" w:eastAsia="Times New Roman" w:hAnsiTheme="minorHAnsi"/>
          <w:lang w:val="en-US"/>
        </w:rPr>
        <w:t xml:space="preserve"> </w:t>
      </w:r>
      <w:r w:rsidR="00DE36F9" w:rsidRPr="004B4FE7">
        <w:rPr>
          <w:rFonts w:asciiTheme="minorHAnsi" w:eastAsia="Times New Roman" w:hAnsiTheme="minorHAnsi"/>
          <w:lang w:val="en-US"/>
        </w:rPr>
        <w:t xml:space="preserve">fruitful </w:t>
      </w:r>
      <w:r w:rsidR="00EC1DBE" w:rsidRPr="004B4FE7">
        <w:rPr>
          <w:rFonts w:asciiTheme="minorHAnsi" w:eastAsia="Times New Roman" w:hAnsiTheme="minorHAnsi"/>
          <w:lang w:val="en-US"/>
        </w:rPr>
        <w:t xml:space="preserve">exchange of views at the meeting. </w:t>
      </w:r>
    </w:p>
    <w:p w:rsidR="00C828A0" w:rsidRPr="004B4FE7" w:rsidRDefault="001C0870" w:rsidP="00870E6E">
      <w:pPr>
        <w:pStyle w:val="Normal1"/>
        <w:tabs>
          <w:tab w:val="left" w:pos="1418"/>
        </w:tabs>
        <w:spacing w:before="0"/>
        <w:jc w:val="center"/>
        <w:rPr>
          <w:rFonts w:asciiTheme="minorHAnsi" w:hAnsiTheme="minorHAnsi" w:cs="Times New Roman"/>
          <w:u w:val="single"/>
        </w:rPr>
      </w:pPr>
      <w:r w:rsidRPr="004B4FE7">
        <w:rPr>
          <w:rFonts w:asciiTheme="minorHAnsi" w:hAnsiTheme="minorHAnsi" w:cs="Times New Roman"/>
          <w:u w:val="single"/>
        </w:rPr>
        <w:t>                             </w:t>
      </w:r>
    </w:p>
    <w:p w:rsidR="00C828A0" w:rsidRDefault="00C828A0" w:rsidP="00870E6E">
      <w:pPr>
        <w:pStyle w:val="Normal1"/>
        <w:tabs>
          <w:tab w:val="left" w:pos="1418"/>
        </w:tabs>
        <w:spacing w:before="0"/>
        <w:jc w:val="center"/>
        <w:rPr>
          <w:rFonts w:asciiTheme="minorHAnsi" w:hAnsiTheme="minorHAnsi" w:cs="Times New Roman"/>
          <w:sz w:val="22"/>
          <w:szCs w:val="22"/>
          <w:u w:val="single"/>
        </w:rPr>
      </w:pPr>
    </w:p>
    <w:sectPr w:rsidR="00C828A0" w:rsidSect="00870E6E">
      <w:headerReference w:type="default" r:id="rId9"/>
      <w:footerReference w:type="default" r:id="rId10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D28" w:rsidRDefault="00525D28" w:rsidP="002E7BF9">
      <w:pPr>
        <w:spacing w:before="0"/>
      </w:pPr>
      <w:r>
        <w:separator/>
      </w:r>
    </w:p>
  </w:endnote>
  <w:endnote w:type="continuationSeparator" w:id="0">
    <w:p w:rsidR="00525D28" w:rsidRDefault="00525D28" w:rsidP="002E7BF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9767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1711" w:rsidRDefault="00320BF5">
        <w:pPr>
          <w:pStyle w:val="Footer"/>
          <w:jc w:val="center"/>
        </w:pPr>
        <w:r>
          <w:fldChar w:fldCharType="begin"/>
        </w:r>
        <w:r w:rsidR="00761711">
          <w:instrText xml:space="preserve"> PAGE   \* MERGEFORMAT </w:instrText>
        </w:r>
        <w:r>
          <w:fldChar w:fldCharType="separate"/>
        </w:r>
        <w:r w:rsidR="004B4F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1711" w:rsidRDefault="00761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D28" w:rsidRDefault="00525D28" w:rsidP="002E7BF9">
      <w:pPr>
        <w:spacing w:before="0"/>
      </w:pPr>
      <w:r>
        <w:separator/>
      </w:r>
    </w:p>
  </w:footnote>
  <w:footnote w:type="continuationSeparator" w:id="0">
    <w:p w:rsidR="00525D28" w:rsidRDefault="00525D28" w:rsidP="002E7BF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2377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0870" w:rsidRDefault="00320BF5">
        <w:pPr>
          <w:pStyle w:val="Header"/>
          <w:jc w:val="center"/>
        </w:pPr>
        <w:r>
          <w:fldChar w:fldCharType="begin"/>
        </w:r>
        <w:r w:rsidR="001C0870">
          <w:instrText xml:space="preserve"> PAGE   \* MERGEFORMAT </w:instrText>
        </w:r>
        <w:r>
          <w:fldChar w:fldCharType="separate"/>
        </w:r>
        <w:r w:rsidR="004B4F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0870" w:rsidRDefault="001C0870" w:rsidP="001C08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DEF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926B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688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9EB2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940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503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449C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D6E0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C27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9EB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ED3FFD"/>
    <w:multiLevelType w:val="hybridMultilevel"/>
    <w:tmpl w:val="4142F286"/>
    <w:lvl w:ilvl="0" w:tplc="536EF888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5F4750"/>
    <w:multiLevelType w:val="hybridMultilevel"/>
    <w:tmpl w:val="AAF8A0F2"/>
    <w:lvl w:ilvl="0" w:tplc="E4926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436F1"/>
    <w:multiLevelType w:val="multilevel"/>
    <w:tmpl w:val="B49A2D4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30"/>
    <w:rsid w:val="00021676"/>
    <w:rsid w:val="000343B4"/>
    <w:rsid w:val="00046A88"/>
    <w:rsid w:val="00071A59"/>
    <w:rsid w:val="00076C2A"/>
    <w:rsid w:val="00087353"/>
    <w:rsid w:val="000935F2"/>
    <w:rsid w:val="000A351D"/>
    <w:rsid w:val="000B54EF"/>
    <w:rsid w:val="000C6904"/>
    <w:rsid w:val="000C6FBE"/>
    <w:rsid w:val="000E18D6"/>
    <w:rsid w:val="001429FC"/>
    <w:rsid w:val="00150CDC"/>
    <w:rsid w:val="001636AA"/>
    <w:rsid w:val="001712DE"/>
    <w:rsid w:val="00196100"/>
    <w:rsid w:val="001A4292"/>
    <w:rsid w:val="001B26D7"/>
    <w:rsid w:val="001B369B"/>
    <w:rsid w:val="001C0870"/>
    <w:rsid w:val="001D5BD6"/>
    <w:rsid w:val="001E78FC"/>
    <w:rsid w:val="001E7E19"/>
    <w:rsid w:val="001F1FFD"/>
    <w:rsid w:val="001F5A2F"/>
    <w:rsid w:val="001F5E63"/>
    <w:rsid w:val="002034A3"/>
    <w:rsid w:val="002108E5"/>
    <w:rsid w:val="002159F6"/>
    <w:rsid w:val="002234B3"/>
    <w:rsid w:val="00235650"/>
    <w:rsid w:val="00241D13"/>
    <w:rsid w:val="00251DFB"/>
    <w:rsid w:val="0026443C"/>
    <w:rsid w:val="00274508"/>
    <w:rsid w:val="00281B54"/>
    <w:rsid w:val="00282208"/>
    <w:rsid w:val="002A1F3C"/>
    <w:rsid w:val="002D2547"/>
    <w:rsid w:val="002D4875"/>
    <w:rsid w:val="002E5B62"/>
    <w:rsid w:val="002E7BF9"/>
    <w:rsid w:val="003021A2"/>
    <w:rsid w:val="00320BF5"/>
    <w:rsid w:val="00323341"/>
    <w:rsid w:val="003827FC"/>
    <w:rsid w:val="0039031D"/>
    <w:rsid w:val="003A5503"/>
    <w:rsid w:val="003B0B13"/>
    <w:rsid w:val="003F6823"/>
    <w:rsid w:val="00451E58"/>
    <w:rsid w:val="00466AC2"/>
    <w:rsid w:val="0047650C"/>
    <w:rsid w:val="00481076"/>
    <w:rsid w:val="004A1B89"/>
    <w:rsid w:val="004B4FE7"/>
    <w:rsid w:val="004C0111"/>
    <w:rsid w:val="004D3ACD"/>
    <w:rsid w:val="004D4367"/>
    <w:rsid w:val="004E1DA2"/>
    <w:rsid w:val="005046E5"/>
    <w:rsid w:val="005078F8"/>
    <w:rsid w:val="00522DF8"/>
    <w:rsid w:val="00525036"/>
    <w:rsid w:val="00525D28"/>
    <w:rsid w:val="00551FEB"/>
    <w:rsid w:val="00561DFC"/>
    <w:rsid w:val="0056260D"/>
    <w:rsid w:val="00570A13"/>
    <w:rsid w:val="00584A24"/>
    <w:rsid w:val="005A07F0"/>
    <w:rsid w:val="005A1120"/>
    <w:rsid w:val="005A57F4"/>
    <w:rsid w:val="005C31F8"/>
    <w:rsid w:val="005C578E"/>
    <w:rsid w:val="005E5B9D"/>
    <w:rsid w:val="00614D87"/>
    <w:rsid w:val="00641F13"/>
    <w:rsid w:val="00657A27"/>
    <w:rsid w:val="0066313C"/>
    <w:rsid w:val="00667FFC"/>
    <w:rsid w:val="006960DF"/>
    <w:rsid w:val="006D14A3"/>
    <w:rsid w:val="006D4DFB"/>
    <w:rsid w:val="006F6D44"/>
    <w:rsid w:val="00701D78"/>
    <w:rsid w:val="007172D0"/>
    <w:rsid w:val="007429A4"/>
    <w:rsid w:val="00755CA9"/>
    <w:rsid w:val="00761711"/>
    <w:rsid w:val="00796594"/>
    <w:rsid w:val="007A244C"/>
    <w:rsid w:val="007A3D80"/>
    <w:rsid w:val="007B4350"/>
    <w:rsid w:val="007C5C5F"/>
    <w:rsid w:val="007C7C6A"/>
    <w:rsid w:val="007D341B"/>
    <w:rsid w:val="007F233F"/>
    <w:rsid w:val="007F257F"/>
    <w:rsid w:val="00802B2D"/>
    <w:rsid w:val="00853220"/>
    <w:rsid w:val="00856317"/>
    <w:rsid w:val="008626FC"/>
    <w:rsid w:val="00870E45"/>
    <w:rsid w:val="00870E6E"/>
    <w:rsid w:val="008717A5"/>
    <w:rsid w:val="00893796"/>
    <w:rsid w:val="008A48E6"/>
    <w:rsid w:val="008A687C"/>
    <w:rsid w:val="008B31C4"/>
    <w:rsid w:val="008D6D21"/>
    <w:rsid w:val="008E4276"/>
    <w:rsid w:val="00922013"/>
    <w:rsid w:val="00922651"/>
    <w:rsid w:val="00933C40"/>
    <w:rsid w:val="0093678B"/>
    <w:rsid w:val="0095377E"/>
    <w:rsid w:val="00984B80"/>
    <w:rsid w:val="009B56AF"/>
    <w:rsid w:val="00A03A1F"/>
    <w:rsid w:val="00A1314E"/>
    <w:rsid w:val="00A14381"/>
    <w:rsid w:val="00A3638E"/>
    <w:rsid w:val="00A3698C"/>
    <w:rsid w:val="00A7020E"/>
    <w:rsid w:val="00A81FDB"/>
    <w:rsid w:val="00A91CB4"/>
    <w:rsid w:val="00A94885"/>
    <w:rsid w:val="00AA24CD"/>
    <w:rsid w:val="00AB1E92"/>
    <w:rsid w:val="00AB4BD2"/>
    <w:rsid w:val="00AD7001"/>
    <w:rsid w:val="00AE5D64"/>
    <w:rsid w:val="00B47273"/>
    <w:rsid w:val="00B656F2"/>
    <w:rsid w:val="00B73C2C"/>
    <w:rsid w:val="00B77345"/>
    <w:rsid w:val="00B93274"/>
    <w:rsid w:val="00B93439"/>
    <w:rsid w:val="00B937C1"/>
    <w:rsid w:val="00BA4380"/>
    <w:rsid w:val="00BB3930"/>
    <w:rsid w:val="00BC0D18"/>
    <w:rsid w:val="00BE3D68"/>
    <w:rsid w:val="00C13B20"/>
    <w:rsid w:val="00C3791A"/>
    <w:rsid w:val="00C5078C"/>
    <w:rsid w:val="00C77A3A"/>
    <w:rsid w:val="00C828A0"/>
    <w:rsid w:val="00C93610"/>
    <w:rsid w:val="00C96A2F"/>
    <w:rsid w:val="00CA3A6A"/>
    <w:rsid w:val="00CB7A02"/>
    <w:rsid w:val="00CC2994"/>
    <w:rsid w:val="00CC399F"/>
    <w:rsid w:val="00CF608F"/>
    <w:rsid w:val="00D206EA"/>
    <w:rsid w:val="00D23CD0"/>
    <w:rsid w:val="00D30227"/>
    <w:rsid w:val="00D365C4"/>
    <w:rsid w:val="00D40F3B"/>
    <w:rsid w:val="00D52B7F"/>
    <w:rsid w:val="00D673D1"/>
    <w:rsid w:val="00D86D0A"/>
    <w:rsid w:val="00D92631"/>
    <w:rsid w:val="00D94CD9"/>
    <w:rsid w:val="00DA6032"/>
    <w:rsid w:val="00DD1913"/>
    <w:rsid w:val="00DD3D0C"/>
    <w:rsid w:val="00DE36F9"/>
    <w:rsid w:val="00DF0D1C"/>
    <w:rsid w:val="00DF13EF"/>
    <w:rsid w:val="00E2264B"/>
    <w:rsid w:val="00E24FD0"/>
    <w:rsid w:val="00E32BAD"/>
    <w:rsid w:val="00E41D01"/>
    <w:rsid w:val="00E86AFD"/>
    <w:rsid w:val="00EC1DBE"/>
    <w:rsid w:val="00EC58F3"/>
    <w:rsid w:val="00EF5662"/>
    <w:rsid w:val="00F25B16"/>
    <w:rsid w:val="00F33D15"/>
    <w:rsid w:val="00F43ADC"/>
    <w:rsid w:val="00F44092"/>
    <w:rsid w:val="00F536E0"/>
    <w:rsid w:val="00F53E89"/>
    <w:rsid w:val="00F55F9D"/>
    <w:rsid w:val="00F7005E"/>
    <w:rsid w:val="00FC77F6"/>
    <w:rsid w:val="00FE7683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0EFEAC-7ADA-41F4-A7F7-7B2F8F58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30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913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B3930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3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9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930"/>
    <w:rPr>
      <w:rFonts w:ascii="Calibri" w:eastAsia="Calibri" w:hAnsi="Calibri" w:cs="Calibri"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3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30"/>
    <w:rPr>
      <w:rFonts w:ascii="Segoe UI" w:eastAsia="Calibri" w:hAnsi="Segoe UI" w:cs="Segoe UI"/>
      <w:color w:val="000000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7BF9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BF9"/>
    <w:rPr>
      <w:rFonts w:ascii="Calibri" w:eastAsia="Calibri" w:hAnsi="Calibri" w:cs="Calibri"/>
      <w:color w:val="00000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E7BF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0DF"/>
    <w:rPr>
      <w:rFonts w:ascii="Calibri" w:eastAsia="Calibri" w:hAnsi="Calibri" w:cs="Calibri"/>
      <w:b/>
      <w:bCs/>
      <w:color w:val="00000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A351D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D19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61711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61711"/>
    <w:rPr>
      <w:rFonts w:ascii="Calibri" w:eastAsia="Calibri" w:hAnsi="Calibri" w:cs="Calibri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1711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61711"/>
    <w:rPr>
      <w:rFonts w:ascii="Calibri" w:eastAsia="Calibri" w:hAnsi="Calibri" w:cs="Calibri"/>
      <w:color w:val="000000"/>
      <w:sz w:val="24"/>
      <w:szCs w:val="24"/>
      <w:lang w:val="en-GB"/>
    </w:rPr>
  </w:style>
  <w:style w:type="paragraph" w:customStyle="1" w:styleId="Title1">
    <w:name w:val="Title 1"/>
    <w:basedOn w:val="Normal1"/>
    <w:rsid w:val="001C0870"/>
    <w:pPr>
      <w:spacing w:before="240"/>
      <w:jc w:val="center"/>
    </w:pPr>
    <w:rPr>
      <w:rFonts w:asciiTheme="minorHAnsi" w:hAnsiTheme="minorHAnsi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C08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08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A48E6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4C011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  <w:rPr>
      <w:rFonts w:ascii="Consolas" w:eastAsiaTheme="minorHAnsi" w:hAnsi="Consolas" w:cstheme="minorBidi"/>
      <w:color w:val="auto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C011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4ABA5-8828-442B-9A6B-1CF670AE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Janin</cp:lastModifiedBy>
  <cp:revision>4</cp:revision>
  <cp:lastPrinted>2017-01-09T19:21:00Z</cp:lastPrinted>
  <dcterms:created xsi:type="dcterms:W3CDTF">2017-08-30T06:57:00Z</dcterms:created>
  <dcterms:modified xsi:type="dcterms:W3CDTF">2017-08-30T07:04:00Z</dcterms:modified>
</cp:coreProperties>
</file>