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horzAnchor="margin" w:tblpY="-674"/>
        <w:tblW w:w="10314" w:type="dxa"/>
        <w:tblLayout w:type="fixed"/>
        <w:tblLook w:val="0000" w:firstRow="0" w:lastRow="0" w:firstColumn="0" w:lastColumn="0" w:noHBand="0" w:noVBand="0"/>
      </w:tblPr>
      <w:tblGrid>
        <w:gridCol w:w="6521"/>
        <w:gridCol w:w="3793"/>
      </w:tblGrid>
      <w:tr w:rsidR="003A2E4F" w:rsidRPr="000659CA" w:rsidTr="004F5C39">
        <w:trPr>
          <w:cantSplit/>
        </w:trPr>
        <w:tc>
          <w:tcPr>
            <w:tcW w:w="6521" w:type="dxa"/>
          </w:tcPr>
          <w:p w:rsidR="003A2E4F" w:rsidRPr="000659CA" w:rsidRDefault="003A2E4F" w:rsidP="00763DD7">
            <w:pPr>
              <w:spacing w:before="240" w:after="48"/>
              <w:rPr>
                <w:rFonts w:asciiTheme="minorHAnsi" w:hAnsiTheme="minorHAnsi"/>
                <w:b/>
                <w:position w:val="6"/>
                <w:sz w:val="30"/>
                <w:szCs w:val="30"/>
                <w:lang w:val="fr-FR"/>
              </w:rPr>
            </w:pPr>
            <w:bookmarkStart w:id="0" w:name="dc06"/>
            <w:bookmarkEnd w:id="0"/>
            <w:r w:rsidRPr="000659CA">
              <w:rPr>
                <w:rFonts w:asciiTheme="minorHAnsi" w:hAnsiTheme="minorHAnsi"/>
                <w:b/>
                <w:position w:val="6"/>
                <w:sz w:val="30"/>
                <w:szCs w:val="30"/>
                <w:lang w:val="fr-FR"/>
              </w:rPr>
              <w:t>Groupe d</w:t>
            </w:r>
            <w:r w:rsidR="00763DD7">
              <w:rPr>
                <w:rFonts w:asciiTheme="minorHAnsi" w:hAnsiTheme="minorHAnsi"/>
                <w:b/>
                <w:position w:val="6"/>
                <w:sz w:val="30"/>
                <w:szCs w:val="30"/>
                <w:lang w:val="fr-FR"/>
              </w:rPr>
              <w:t>'</w:t>
            </w:r>
            <w:r w:rsidRPr="000659CA">
              <w:rPr>
                <w:rFonts w:asciiTheme="minorHAnsi" w:hAnsiTheme="minorHAnsi"/>
                <w:b/>
                <w:position w:val="6"/>
                <w:sz w:val="30"/>
                <w:szCs w:val="30"/>
                <w:lang w:val="fr-FR"/>
              </w:rPr>
              <w:t>experts sur</w:t>
            </w:r>
            <w:r w:rsidRPr="000659CA">
              <w:rPr>
                <w:rFonts w:asciiTheme="minorHAnsi" w:hAnsiTheme="minorHAnsi"/>
                <w:b/>
                <w:position w:val="6"/>
                <w:sz w:val="30"/>
                <w:szCs w:val="30"/>
                <w:lang w:val="fr-FR"/>
              </w:rPr>
              <w:br/>
              <w:t>le Règlement des télécommunications internationales (EG-RTI)</w:t>
            </w:r>
          </w:p>
          <w:p w:rsidR="003A2E4F" w:rsidRPr="000659CA" w:rsidRDefault="003A2E4F" w:rsidP="00763DD7">
            <w:pPr>
              <w:spacing w:after="120"/>
              <w:rPr>
                <w:rFonts w:asciiTheme="minorHAnsi" w:hAnsiTheme="minorHAnsi"/>
                <w:b/>
                <w:position w:val="6"/>
                <w:sz w:val="26"/>
                <w:szCs w:val="26"/>
                <w:lang w:val="fr-FR"/>
              </w:rPr>
            </w:pPr>
            <w:r w:rsidRPr="000659CA">
              <w:rPr>
                <w:rFonts w:asciiTheme="minorHAnsi" w:hAnsiTheme="minorHAnsi" w:cs="Times New Roman Bold"/>
                <w:b/>
                <w:sz w:val="24"/>
                <w:lang w:val="fr-FR"/>
              </w:rPr>
              <w:t xml:space="preserve">Deuxième réunion </w:t>
            </w:r>
            <w:r w:rsidR="008A1914" w:rsidRPr="00F371C6">
              <w:rPr>
                <w:b/>
                <w:bCs/>
              </w:rPr>
              <w:t>–</w:t>
            </w:r>
            <w:r w:rsidRPr="000659CA">
              <w:rPr>
                <w:rFonts w:asciiTheme="minorHAnsi" w:hAnsiTheme="minorHAnsi" w:cs="Times New Roman Bold"/>
                <w:b/>
                <w:sz w:val="24"/>
                <w:lang w:val="fr-FR"/>
              </w:rPr>
              <w:t xml:space="preserve"> Genève, 13</w:t>
            </w:r>
            <w:r w:rsidR="008A1914" w:rsidRPr="00F371C6">
              <w:rPr>
                <w:b/>
                <w:bCs/>
              </w:rPr>
              <w:t>-</w:t>
            </w:r>
            <w:r w:rsidRPr="000659CA">
              <w:rPr>
                <w:rFonts w:asciiTheme="minorHAnsi" w:hAnsiTheme="minorHAnsi" w:cs="Times New Roman Bold"/>
                <w:b/>
                <w:sz w:val="24"/>
                <w:lang w:val="fr-FR"/>
              </w:rPr>
              <w:t>15 septembre 2017</w:t>
            </w:r>
          </w:p>
        </w:tc>
        <w:tc>
          <w:tcPr>
            <w:tcW w:w="3793" w:type="dxa"/>
          </w:tcPr>
          <w:p w:rsidR="003A2E4F" w:rsidRPr="000659CA" w:rsidRDefault="008A1914" w:rsidP="00763DD7">
            <w:pPr>
              <w:spacing w:before="120"/>
              <w:rPr>
                <w:lang w:val="fr-FR"/>
              </w:rPr>
            </w:pPr>
            <w:bookmarkStart w:id="1" w:name="ditulogo"/>
            <w:bookmarkEnd w:id="1"/>
            <w:r w:rsidRPr="0005571D">
              <w:rPr>
                <w:rFonts w:cstheme="minorHAnsi"/>
                <w:b/>
                <w:bCs/>
                <w:noProof/>
                <w:lang w:val="fr-CH"/>
              </w:rPr>
              <w:drawing>
                <wp:inline distT="0" distB="0" distL="0" distR="0" wp14:anchorId="642BC54F" wp14:editId="7E3D41D6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2E4F" w:rsidRPr="000659CA" w:rsidTr="004F5C39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:rsidR="003A2E4F" w:rsidRPr="000659CA" w:rsidRDefault="003A2E4F" w:rsidP="00763DD7">
            <w:pPr>
              <w:snapToGrid w:val="0"/>
              <w:rPr>
                <w:b/>
                <w:smallCaps/>
                <w:lang w:val="fr-FR"/>
              </w:rPr>
            </w:pPr>
          </w:p>
        </w:tc>
        <w:tc>
          <w:tcPr>
            <w:tcW w:w="3793" w:type="dxa"/>
            <w:tcBorders>
              <w:top w:val="single" w:sz="12" w:space="0" w:color="auto"/>
            </w:tcBorders>
          </w:tcPr>
          <w:p w:rsidR="003A2E4F" w:rsidRPr="000659CA" w:rsidRDefault="003A2E4F" w:rsidP="00763DD7">
            <w:pPr>
              <w:snapToGrid w:val="0"/>
              <w:ind w:left="209"/>
              <w:rPr>
                <w:rFonts w:ascii="Verdana" w:hAnsi="Verdana"/>
                <w:lang w:val="fr-FR"/>
              </w:rPr>
            </w:pPr>
          </w:p>
        </w:tc>
      </w:tr>
      <w:tr w:rsidR="003A2E4F" w:rsidRPr="000659CA" w:rsidTr="004F5C39">
        <w:trPr>
          <w:cantSplit/>
          <w:trHeight w:val="23"/>
        </w:trPr>
        <w:tc>
          <w:tcPr>
            <w:tcW w:w="6521" w:type="dxa"/>
            <w:vMerge w:val="restart"/>
          </w:tcPr>
          <w:p w:rsidR="003A2E4F" w:rsidRPr="000659CA" w:rsidRDefault="003A2E4F" w:rsidP="00763DD7">
            <w:pPr>
              <w:snapToGrid w:val="0"/>
              <w:rPr>
                <w:rFonts w:asciiTheme="minorHAnsi" w:hAnsiTheme="minorHAnsi"/>
                <w:b/>
                <w:lang w:val="fr-FR"/>
              </w:rPr>
            </w:pPr>
            <w:bookmarkStart w:id="2" w:name="dmeeting" w:colFirst="0" w:colLast="0"/>
            <w:bookmarkStart w:id="3" w:name="dnum" w:colFirst="1" w:colLast="1"/>
          </w:p>
        </w:tc>
        <w:tc>
          <w:tcPr>
            <w:tcW w:w="3793" w:type="dxa"/>
          </w:tcPr>
          <w:p w:rsidR="003A2E4F" w:rsidRPr="000659CA" w:rsidRDefault="003A2E4F" w:rsidP="00763DD7">
            <w:pPr>
              <w:snapToGrid w:val="0"/>
              <w:ind w:left="57"/>
              <w:rPr>
                <w:rFonts w:asciiTheme="minorHAnsi" w:hAnsiTheme="minorHAnsi" w:cs="Times New Roman Bold"/>
                <w:b/>
                <w:spacing w:val="-4"/>
                <w:sz w:val="24"/>
                <w:lang w:val="fr-FR"/>
              </w:rPr>
            </w:pPr>
            <w:r w:rsidRPr="000659CA">
              <w:rPr>
                <w:rFonts w:asciiTheme="minorHAnsi" w:hAnsiTheme="minorHAnsi" w:cs="Times New Roman Bold"/>
                <w:b/>
                <w:spacing w:val="-4"/>
                <w:sz w:val="24"/>
                <w:lang w:val="fr-FR"/>
              </w:rPr>
              <w:t>Document EG-ITRs-2/8-F</w:t>
            </w:r>
          </w:p>
        </w:tc>
      </w:tr>
      <w:tr w:rsidR="003A2E4F" w:rsidRPr="000659CA" w:rsidTr="004F5C39">
        <w:trPr>
          <w:cantSplit/>
          <w:trHeight w:val="23"/>
        </w:trPr>
        <w:tc>
          <w:tcPr>
            <w:tcW w:w="6521" w:type="dxa"/>
            <w:vMerge/>
          </w:tcPr>
          <w:p w:rsidR="003A2E4F" w:rsidRPr="000659CA" w:rsidRDefault="003A2E4F" w:rsidP="00763DD7">
            <w:pPr>
              <w:snapToGrid w:val="0"/>
              <w:rPr>
                <w:rFonts w:asciiTheme="minorHAnsi" w:hAnsiTheme="minorHAnsi"/>
                <w:b/>
                <w:lang w:val="fr-FR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793" w:type="dxa"/>
          </w:tcPr>
          <w:p w:rsidR="003A2E4F" w:rsidRPr="000659CA" w:rsidRDefault="003A2E4F" w:rsidP="00763DD7">
            <w:pPr>
              <w:snapToGrid w:val="0"/>
              <w:ind w:left="57"/>
              <w:rPr>
                <w:rFonts w:asciiTheme="minorHAnsi" w:hAnsiTheme="minorHAnsi"/>
                <w:b/>
                <w:sz w:val="24"/>
                <w:lang w:val="fr-FR"/>
              </w:rPr>
            </w:pPr>
            <w:r w:rsidRPr="000659CA">
              <w:rPr>
                <w:rFonts w:asciiTheme="minorHAnsi" w:hAnsiTheme="minorHAnsi"/>
                <w:b/>
                <w:sz w:val="24"/>
                <w:lang w:val="fr-FR"/>
              </w:rPr>
              <w:t>28 août 2017</w:t>
            </w:r>
          </w:p>
        </w:tc>
      </w:tr>
      <w:tr w:rsidR="003A2E4F" w:rsidRPr="000659CA" w:rsidTr="004F5C39">
        <w:trPr>
          <w:cantSplit/>
          <w:trHeight w:val="80"/>
        </w:trPr>
        <w:tc>
          <w:tcPr>
            <w:tcW w:w="6521" w:type="dxa"/>
            <w:vMerge/>
          </w:tcPr>
          <w:p w:rsidR="003A2E4F" w:rsidRPr="000659CA" w:rsidRDefault="003A2E4F" w:rsidP="00763DD7">
            <w:pPr>
              <w:snapToGrid w:val="0"/>
              <w:rPr>
                <w:rFonts w:asciiTheme="minorHAnsi" w:hAnsiTheme="minorHAnsi"/>
                <w:b/>
                <w:lang w:val="fr-FR"/>
              </w:rPr>
            </w:pPr>
            <w:bookmarkStart w:id="5" w:name="dorlang" w:colFirst="1" w:colLast="1"/>
            <w:bookmarkEnd w:id="4"/>
          </w:p>
        </w:tc>
        <w:tc>
          <w:tcPr>
            <w:tcW w:w="3793" w:type="dxa"/>
          </w:tcPr>
          <w:p w:rsidR="003A2E4F" w:rsidRPr="000659CA" w:rsidRDefault="003A2E4F" w:rsidP="00763DD7">
            <w:pPr>
              <w:snapToGrid w:val="0"/>
              <w:ind w:left="57"/>
              <w:rPr>
                <w:rFonts w:asciiTheme="minorHAnsi" w:hAnsiTheme="minorHAnsi"/>
                <w:b/>
                <w:sz w:val="24"/>
                <w:lang w:val="fr-FR"/>
              </w:rPr>
            </w:pPr>
            <w:r w:rsidRPr="000659CA">
              <w:rPr>
                <w:rFonts w:asciiTheme="minorHAnsi" w:hAnsiTheme="minorHAnsi"/>
                <w:b/>
                <w:sz w:val="24"/>
                <w:lang w:val="fr-FR"/>
              </w:rPr>
              <w:t>Original: anglais</w:t>
            </w:r>
          </w:p>
        </w:tc>
      </w:tr>
    </w:tbl>
    <w:bookmarkEnd w:id="5"/>
    <w:p w:rsidR="003A2E4F" w:rsidRPr="006B4AAA" w:rsidRDefault="003A2E4F" w:rsidP="00763DD7">
      <w:pPr>
        <w:pStyle w:val="Source"/>
        <w:rPr>
          <w:rFonts w:asciiTheme="minorHAnsi" w:hAnsiTheme="minorHAnsi"/>
          <w:lang w:val="fr-FR"/>
        </w:rPr>
      </w:pPr>
      <w:r w:rsidRPr="006B4AAA">
        <w:rPr>
          <w:rFonts w:asciiTheme="minorHAnsi" w:hAnsiTheme="minorHAnsi"/>
          <w:lang w:val="fr-FR"/>
        </w:rPr>
        <w:t>Contribution de l</w:t>
      </w:r>
      <w:r w:rsidR="00763DD7" w:rsidRPr="006B4AAA">
        <w:rPr>
          <w:rFonts w:asciiTheme="minorHAnsi" w:hAnsiTheme="minorHAnsi"/>
          <w:lang w:val="fr-FR"/>
        </w:rPr>
        <w:t>'</w:t>
      </w:r>
      <w:r w:rsidRPr="006B4AAA">
        <w:rPr>
          <w:rFonts w:asciiTheme="minorHAnsi" w:hAnsiTheme="minorHAnsi"/>
          <w:lang w:val="fr-FR"/>
        </w:rPr>
        <w:t xml:space="preserve">Autriche, de la République tchèque, du Danemark, </w:t>
      </w:r>
      <w:r w:rsidR="008A1914" w:rsidRPr="006B4AAA">
        <w:rPr>
          <w:rFonts w:asciiTheme="minorHAnsi" w:hAnsiTheme="minorHAnsi"/>
          <w:lang w:val="fr-FR"/>
        </w:rPr>
        <w:br/>
      </w:r>
      <w:r w:rsidRPr="006B4AAA">
        <w:rPr>
          <w:rFonts w:asciiTheme="minorHAnsi" w:hAnsiTheme="minorHAnsi"/>
          <w:lang w:val="fr-FR"/>
        </w:rPr>
        <w:t xml:space="preserve">de la Lettonie, de la Lituanie, des Pays-Bas, de la Slovaquie, </w:t>
      </w:r>
      <w:r w:rsidR="008A1914" w:rsidRPr="006B4AAA">
        <w:rPr>
          <w:rFonts w:asciiTheme="minorHAnsi" w:hAnsiTheme="minorHAnsi"/>
          <w:lang w:val="fr-FR"/>
        </w:rPr>
        <w:br/>
      </w:r>
      <w:r w:rsidRPr="006B4AAA">
        <w:rPr>
          <w:rFonts w:asciiTheme="minorHAnsi" w:hAnsiTheme="minorHAnsi"/>
          <w:lang w:val="fr-FR"/>
        </w:rPr>
        <w:t>de la Suède et du Royaume-Uni</w:t>
      </w:r>
    </w:p>
    <w:p w:rsidR="003A2E4F" w:rsidRPr="006B4AAA" w:rsidRDefault="00763DD7" w:rsidP="00763DD7">
      <w:pPr>
        <w:pStyle w:val="Title1"/>
        <w:spacing w:after="360"/>
        <w:rPr>
          <w:rFonts w:asciiTheme="minorHAnsi" w:hAnsiTheme="minorHAnsi"/>
          <w:lang w:val="fr-FR"/>
        </w:rPr>
      </w:pPr>
      <w:r w:rsidRPr="006B4AAA">
        <w:rPr>
          <w:rFonts w:asciiTheme="minorHAnsi" w:hAnsiTheme="minorHAnsi"/>
          <w:lang w:val="fr-FR"/>
        </w:rPr>
        <w:t>EXAMEN</w:t>
      </w:r>
      <w:r w:rsidR="003A2E4F" w:rsidRPr="006B4AAA">
        <w:rPr>
          <w:rFonts w:asciiTheme="minorHAnsi" w:hAnsiTheme="minorHAnsi"/>
          <w:lang w:val="fr-FR"/>
        </w:rPr>
        <w:t xml:space="preserve"> DU RÈGLEMENT DES TÉLÉCOMMUNICATIONS INTERNATIONALES DE 2012</w:t>
      </w:r>
    </w:p>
    <w:p w:rsidR="003A2E4F" w:rsidRPr="000659CA" w:rsidRDefault="00241852" w:rsidP="00241852">
      <w:pPr>
        <w:pStyle w:val="Normal1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left="720" w:hanging="720"/>
        <w:rPr>
          <w:lang w:val="fr-FR"/>
        </w:rPr>
      </w:pPr>
      <w:r>
        <w:rPr>
          <w:lang w:val="fr-FR"/>
        </w:rPr>
        <w:t>1)</w:t>
      </w:r>
      <w:r>
        <w:rPr>
          <w:lang w:val="fr-FR"/>
        </w:rPr>
        <w:tab/>
      </w:r>
      <w:r w:rsidR="003A2E4F" w:rsidRPr="000659CA">
        <w:rPr>
          <w:lang w:val="fr-FR"/>
        </w:rPr>
        <w:t>L</w:t>
      </w:r>
      <w:r w:rsidR="00763DD7">
        <w:rPr>
          <w:lang w:val="fr-FR"/>
        </w:rPr>
        <w:t>'</w:t>
      </w:r>
      <w:r w:rsidR="003A2E4F" w:rsidRPr="000659CA">
        <w:rPr>
          <w:lang w:val="fr-FR"/>
        </w:rPr>
        <w:t>Autriche, la République tchèque,</w:t>
      </w:r>
      <w:r w:rsidR="003A2E4F">
        <w:rPr>
          <w:lang w:val="fr-FR"/>
        </w:rPr>
        <w:t xml:space="preserve"> le Danemark,</w:t>
      </w:r>
      <w:r w:rsidR="003A2E4F" w:rsidRPr="000659CA">
        <w:rPr>
          <w:lang w:val="fr-FR"/>
        </w:rPr>
        <w:t xml:space="preserve"> la Lettonie, la Lituanie, les Pays-Bas, la Slovaquie, la Suède et le Royaume-Uni saisissent l</w:t>
      </w:r>
      <w:r w:rsidR="00763DD7">
        <w:rPr>
          <w:lang w:val="fr-FR"/>
        </w:rPr>
        <w:t>'</w:t>
      </w:r>
      <w:r w:rsidR="003A2E4F" w:rsidRPr="000659CA">
        <w:rPr>
          <w:lang w:val="fr-FR"/>
        </w:rPr>
        <w:t>occasion de soumettre la présente contribution à la deuxième réunion du Groupe d</w:t>
      </w:r>
      <w:r w:rsidR="00763DD7">
        <w:rPr>
          <w:lang w:val="fr-FR"/>
        </w:rPr>
        <w:t>'</w:t>
      </w:r>
      <w:r w:rsidR="003A2E4F" w:rsidRPr="000659CA">
        <w:rPr>
          <w:lang w:val="fr-FR"/>
        </w:rPr>
        <w:t>experts sur le Règlement des télécommunications internationales (RTI). Nous avons suivi avec intérêt les débats de la première réunion</w:t>
      </w:r>
      <w:r w:rsidR="00763DD7">
        <w:rPr>
          <w:lang w:val="fr-FR"/>
        </w:rPr>
        <w:t xml:space="preserve"> </w:t>
      </w:r>
      <w:r w:rsidR="003A2E4F" w:rsidRPr="000659CA">
        <w:rPr>
          <w:lang w:val="fr-FR"/>
        </w:rPr>
        <w:t>du Groupe en février. Nous souhaitons remercier tous ceux qui ont présenté des contributions et, en particulier, le président pour les efforts qu</w:t>
      </w:r>
      <w:r w:rsidR="00763DD7">
        <w:rPr>
          <w:lang w:val="fr-FR"/>
        </w:rPr>
        <w:t>'</w:t>
      </w:r>
      <w:r w:rsidR="003A2E4F" w:rsidRPr="000659CA">
        <w:rPr>
          <w:lang w:val="fr-FR"/>
        </w:rPr>
        <w:t>il déploie pour faire avancer les travaux du Groupe.</w:t>
      </w:r>
    </w:p>
    <w:p w:rsidR="003A2E4F" w:rsidRPr="000659CA" w:rsidRDefault="00241852" w:rsidP="00241852">
      <w:pPr>
        <w:pStyle w:val="Normal1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left="720" w:hanging="720"/>
        <w:rPr>
          <w:lang w:val="fr-FR"/>
        </w:rPr>
      </w:pPr>
      <w:r>
        <w:rPr>
          <w:lang w:val="fr-FR"/>
        </w:rPr>
        <w:t>2)</w:t>
      </w:r>
      <w:r>
        <w:rPr>
          <w:lang w:val="fr-FR"/>
        </w:rPr>
        <w:tab/>
      </w:r>
      <w:r w:rsidR="003A2E4F" w:rsidRPr="000659CA">
        <w:rPr>
          <w:lang w:val="fr-FR"/>
        </w:rPr>
        <w:t>Le Groupe d</w:t>
      </w:r>
      <w:r w:rsidR="00763DD7">
        <w:rPr>
          <w:lang w:val="fr-FR"/>
        </w:rPr>
        <w:t>'</w:t>
      </w:r>
      <w:r w:rsidR="003A2E4F" w:rsidRPr="000659CA">
        <w:rPr>
          <w:lang w:val="fr-FR"/>
        </w:rPr>
        <w:t>experts n</w:t>
      </w:r>
      <w:r w:rsidR="00763DD7">
        <w:rPr>
          <w:lang w:val="fr-FR"/>
        </w:rPr>
        <w:t>'</w:t>
      </w:r>
      <w:r w:rsidR="003A2E4F" w:rsidRPr="000659CA">
        <w:rPr>
          <w:lang w:val="fr-FR"/>
        </w:rPr>
        <w:t>est pas chargé d</w:t>
      </w:r>
      <w:r w:rsidR="00763DD7">
        <w:rPr>
          <w:lang w:val="fr-FR"/>
        </w:rPr>
        <w:t>'</w:t>
      </w:r>
      <w:r w:rsidR="003A2E4F" w:rsidRPr="000659CA">
        <w:rPr>
          <w:lang w:val="fr-FR"/>
        </w:rPr>
        <w:t>élaborer un nouveau règlement ou de proposer la tenue d</w:t>
      </w:r>
      <w:r w:rsidR="00763DD7">
        <w:rPr>
          <w:lang w:val="fr-FR"/>
        </w:rPr>
        <w:t>'</w:t>
      </w:r>
      <w:r w:rsidR="003A2E4F" w:rsidRPr="000659CA">
        <w:rPr>
          <w:lang w:val="fr-FR"/>
        </w:rPr>
        <w:t>une nouvelle Conférence mondiale des télécommunications international</w:t>
      </w:r>
      <w:r w:rsidR="00763DD7">
        <w:rPr>
          <w:lang w:val="fr-FR"/>
        </w:rPr>
        <w:t>es (CMTI) mais de procéder à un</w:t>
      </w:r>
      <w:r w:rsidR="003A2E4F" w:rsidRPr="000659CA">
        <w:rPr>
          <w:lang w:val="fr-FR"/>
        </w:rPr>
        <w:t xml:space="preserve"> </w:t>
      </w:r>
      <w:r w:rsidR="00763DD7">
        <w:rPr>
          <w:lang w:val="fr-FR"/>
        </w:rPr>
        <w:t>examen</w:t>
      </w:r>
      <w:r w:rsidR="003A2E4F" w:rsidRPr="000659CA">
        <w:rPr>
          <w:lang w:val="fr-FR"/>
        </w:rPr>
        <w:t xml:space="preserve"> du RTI de 2012. Cependant, lors de la première réunion du Groupe, certains pays ont été d</w:t>
      </w:r>
      <w:r w:rsidR="00763DD7">
        <w:rPr>
          <w:lang w:val="fr-FR"/>
        </w:rPr>
        <w:t>'</w:t>
      </w:r>
      <w:r w:rsidR="003A2E4F" w:rsidRPr="000659CA">
        <w:rPr>
          <w:lang w:val="fr-FR"/>
        </w:rPr>
        <w:t>avis que nous recensions et examinions les nouvelles questions qui se posent et que nous discutions en conséquence des modifications qu</w:t>
      </w:r>
      <w:r w:rsidR="00763DD7">
        <w:rPr>
          <w:lang w:val="fr-FR"/>
        </w:rPr>
        <w:t>'</w:t>
      </w:r>
      <w:r w:rsidR="003A2E4F" w:rsidRPr="000659CA">
        <w:rPr>
          <w:lang w:val="fr-FR"/>
        </w:rPr>
        <w:t>il est possible d</w:t>
      </w:r>
      <w:r w:rsidR="00763DD7">
        <w:rPr>
          <w:lang w:val="fr-FR"/>
        </w:rPr>
        <w:t>'</w:t>
      </w:r>
      <w:r w:rsidR="003A2E4F" w:rsidRPr="000659CA">
        <w:rPr>
          <w:lang w:val="fr-FR"/>
        </w:rPr>
        <w:t>apporter au RTI de 2012.</w:t>
      </w:r>
      <w:r w:rsidR="003A2E4F" w:rsidRPr="000659CA">
        <w:rPr>
          <w:bCs/>
          <w:lang w:val="fr-FR"/>
        </w:rPr>
        <w:t xml:space="preserve"> </w:t>
      </w:r>
    </w:p>
    <w:p w:rsidR="003A2E4F" w:rsidRPr="000659CA" w:rsidRDefault="00241852" w:rsidP="00241852">
      <w:pPr>
        <w:pStyle w:val="Normal1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left="720" w:hanging="720"/>
        <w:rPr>
          <w:lang w:val="fr-FR"/>
        </w:rPr>
      </w:pPr>
      <w:r>
        <w:rPr>
          <w:bCs/>
          <w:lang w:val="fr-FR"/>
        </w:rPr>
        <w:t>3)</w:t>
      </w:r>
      <w:r>
        <w:rPr>
          <w:bCs/>
          <w:lang w:val="fr-FR"/>
        </w:rPr>
        <w:tab/>
      </w:r>
      <w:r w:rsidR="00763DD7">
        <w:rPr>
          <w:bCs/>
          <w:lang w:val="fr-FR"/>
        </w:rPr>
        <w:t>Nous sommes vivement</w:t>
      </w:r>
      <w:r w:rsidR="003A2E4F">
        <w:rPr>
          <w:bCs/>
          <w:lang w:val="fr-FR"/>
        </w:rPr>
        <w:t xml:space="preserve"> préoccupés par le</w:t>
      </w:r>
      <w:r w:rsidR="003A2E4F" w:rsidRPr="000659CA">
        <w:rPr>
          <w:bCs/>
          <w:lang w:val="fr-FR"/>
        </w:rPr>
        <w:t xml:space="preserve"> flou qui serait causé si une nouvelle CMTI était chargée de faire de telles modifications.</w:t>
      </w:r>
      <w:r w:rsidR="003A2E4F" w:rsidRPr="000659CA">
        <w:rPr>
          <w:lang w:val="fr-FR"/>
        </w:rPr>
        <w:t xml:space="preserve"> </w:t>
      </w:r>
      <w:r w:rsidR="003A2E4F">
        <w:rPr>
          <w:lang w:val="fr-FR"/>
        </w:rPr>
        <w:t>La tenue d</w:t>
      </w:r>
      <w:r w:rsidR="00763DD7">
        <w:rPr>
          <w:lang w:val="fr-FR"/>
        </w:rPr>
        <w:t>'</w:t>
      </w:r>
      <w:r w:rsidR="003A2E4F">
        <w:rPr>
          <w:lang w:val="fr-FR"/>
        </w:rPr>
        <w:t>une nouvelle C</w:t>
      </w:r>
      <w:r w:rsidR="003A2E4F" w:rsidRPr="000659CA">
        <w:rPr>
          <w:lang w:val="fr-FR"/>
        </w:rPr>
        <w:t xml:space="preserve">onférence </w:t>
      </w:r>
      <w:r w:rsidR="003A2E4F">
        <w:rPr>
          <w:lang w:val="fr-FR"/>
        </w:rPr>
        <w:t>serait l</w:t>
      </w:r>
      <w:r w:rsidR="00763DD7">
        <w:rPr>
          <w:lang w:val="fr-FR"/>
        </w:rPr>
        <w:t>'</w:t>
      </w:r>
      <w:r w:rsidR="003A2E4F">
        <w:rPr>
          <w:lang w:val="fr-FR"/>
        </w:rPr>
        <w:t>occasion</w:t>
      </w:r>
      <w:r w:rsidR="003A2E4F" w:rsidRPr="000659CA">
        <w:rPr>
          <w:lang w:val="fr-FR"/>
        </w:rPr>
        <w:t xml:space="preserve"> </w:t>
      </w:r>
      <w:r w:rsidR="003A2E4F">
        <w:rPr>
          <w:lang w:val="fr-FR"/>
        </w:rPr>
        <w:t>d</w:t>
      </w:r>
      <w:r w:rsidR="00763DD7">
        <w:rPr>
          <w:lang w:val="fr-FR"/>
        </w:rPr>
        <w:t>'</w:t>
      </w:r>
      <w:r w:rsidR="003A2E4F">
        <w:rPr>
          <w:lang w:val="fr-FR"/>
        </w:rPr>
        <w:t>exami</w:t>
      </w:r>
      <w:r w:rsidR="003A2E4F" w:rsidRPr="000659CA">
        <w:rPr>
          <w:lang w:val="fr-FR"/>
        </w:rPr>
        <w:t>n</w:t>
      </w:r>
      <w:r w:rsidR="003A2E4F">
        <w:rPr>
          <w:lang w:val="fr-FR"/>
        </w:rPr>
        <w:t>er</w:t>
      </w:r>
      <w:r w:rsidR="003A2E4F" w:rsidRPr="000659CA">
        <w:rPr>
          <w:lang w:val="fr-FR"/>
        </w:rPr>
        <w:t xml:space="preserve"> de</w:t>
      </w:r>
      <w:r w:rsidR="003A2E4F">
        <w:rPr>
          <w:lang w:val="fr-FR"/>
        </w:rPr>
        <w:t xml:space="preserve"> nouvelles</w:t>
      </w:r>
      <w:r w:rsidR="003A2E4F" w:rsidRPr="000659CA">
        <w:rPr>
          <w:lang w:val="fr-FR"/>
        </w:rPr>
        <w:t xml:space="preserve"> questions très variées et jetterait un flou tel que les opérateurs auraient des difficultés à prendre des décisions en matière d</w:t>
      </w:r>
      <w:r w:rsidR="00763DD7">
        <w:rPr>
          <w:lang w:val="fr-FR"/>
        </w:rPr>
        <w:t>'</w:t>
      </w:r>
      <w:r w:rsidR="003A2E4F" w:rsidRPr="000659CA">
        <w:rPr>
          <w:lang w:val="fr-FR"/>
        </w:rPr>
        <w:t xml:space="preserve">investissements </w:t>
      </w:r>
      <w:r w:rsidR="00763DD7">
        <w:rPr>
          <w:lang w:val="fr-FR"/>
        </w:rPr>
        <w:t xml:space="preserve">aux niveaux </w:t>
      </w:r>
      <w:r w:rsidR="003A2E4F" w:rsidRPr="000659CA">
        <w:rPr>
          <w:lang w:val="fr-FR"/>
        </w:rPr>
        <w:t xml:space="preserve">régional et mondial. </w:t>
      </w:r>
    </w:p>
    <w:p w:rsidR="003A2E4F" w:rsidRPr="000659CA" w:rsidRDefault="00241852" w:rsidP="001F1EEC">
      <w:pPr>
        <w:pStyle w:val="Normal1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left="720" w:hanging="720"/>
        <w:rPr>
          <w:lang w:val="fr-FR"/>
        </w:rPr>
      </w:pPr>
      <w:r>
        <w:rPr>
          <w:lang w:val="fr-FR"/>
        </w:rPr>
        <w:t>4)</w:t>
      </w:r>
      <w:r>
        <w:rPr>
          <w:lang w:val="fr-FR"/>
        </w:rPr>
        <w:tab/>
      </w:r>
      <w:r w:rsidR="003A2E4F" w:rsidRPr="000659CA">
        <w:rPr>
          <w:lang w:val="fr-FR"/>
        </w:rPr>
        <w:t>Nous sommes d</w:t>
      </w:r>
      <w:r w:rsidR="00763DD7">
        <w:rPr>
          <w:lang w:val="fr-FR"/>
        </w:rPr>
        <w:t>'</w:t>
      </w:r>
      <w:r w:rsidR="003A2E4F" w:rsidRPr="000659CA">
        <w:rPr>
          <w:lang w:val="fr-FR"/>
        </w:rPr>
        <w:t>avis que le RTI doit continuer d</w:t>
      </w:r>
      <w:r w:rsidR="00763DD7">
        <w:rPr>
          <w:lang w:val="fr-FR"/>
        </w:rPr>
        <w:t>'</w:t>
      </w:r>
      <w:r w:rsidR="003A2E4F" w:rsidRPr="000659CA">
        <w:rPr>
          <w:lang w:val="fr-FR"/>
        </w:rPr>
        <w:t>être axé sur les questions de télécommunications publiques</w:t>
      </w:r>
      <w:r w:rsidR="003A2E4F">
        <w:rPr>
          <w:lang w:val="fr-FR"/>
        </w:rPr>
        <w:t xml:space="preserve"> internationales</w:t>
      </w:r>
      <w:r w:rsidR="003A2E4F" w:rsidRPr="000659CA">
        <w:rPr>
          <w:lang w:val="fr-FR"/>
        </w:rPr>
        <w:t xml:space="preserve"> pertinentes et ne doit pas être étendu aux questions nationales ou aux autres services, infrastructures ou réseaux liés aux communications, y compris les questions ayant trait à l</w:t>
      </w:r>
      <w:r w:rsidR="00763DD7">
        <w:rPr>
          <w:lang w:val="fr-FR"/>
        </w:rPr>
        <w:t>'</w:t>
      </w:r>
      <w:r w:rsidR="003A2E4F" w:rsidRPr="000659CA">
        <w:rPr>
          <w:lang w:val="fr-FR"/>
        </w:rPr>
        <w:t xml:space="preserve">Internet. Nous sommes </w:t>
      </w:r>
      <w:r w:rsidR="003A2E4F">
        <w:rPr>
          <w:lang w:val="fr-FR"/>
        </w:rPr>
        <w:t xml:space="preserve">toutefois </w:t>
      </w:r>
      <w:r w:rsidR="003A2E4F" w:rsidRPr="000659CA">
        <w:rPr>
          <w:lang w:val="fr-FR"/>
        </w:rPr>
        <w:t>conscients que d</w:t>
      </w:r>
      <w:r w:rsidR="00763DD7">
        <w:rPr>
          <w:lang w:val="fr-FR"/>
        </w:rPr>
        <w:t>'</w:t>
      </w:r>
      <w:r w:rsidR="003A2E4F" w:rsidRPr="000659CA">
        <w:rPr>
          <w:lang w:val="fr-FR"/>
        </w:rPr>
        <w:t xml:space="preserve">autres pays ne partagent pas notre avis, ce qui </w:t>
      </w:r>
      <w:r w:rsidR="003A2E4F">
        <w:rPr>
          <w:lang w:val="fr-FR"/>
        </w:rPr>
        <w:t>complique</w:t>
      </w:r>
      <w:r w:rsidR="003A2E4F" w:rsidRPr="000659CA">
        <w:rPr>
          <w:lang w:val="fr-FR"/>
        </w:rPr>
        <w:t xml:space="preserve"> </w:t>
      </w:r>
      <w:r w:rsidR="00763DD7">
        <w:rPr>
          <w:lang w:val="fr-FR"/>
        </w:rPr>
        <w:t xml:space="preserve">considérablement </w:t>
      </w:r>
      <w:r w:rsidR="003A2E4F" w:rsidRPr="000659CA">
        <w:rPr>
          <w:lang w:val="fr-FR"/>
        </w:rPr>
        <w:t>la tâche consistant à parvenir à un consensus mondial, voire</w:t>
      </w:r>
      <w:r w:rsidR="003A2E4F">
        <w:rPr>
          <w:lang w:val="fr-FR"/>
        </w:rPr>
        <w:t xml:space="preserve"> la rend</w:t>
      </w:r>
      <w:r w:rsidR="003A2E4F" w:rsidRPr="000659CA">
        <w:rPr>
          <w:lang w:val="fr-FR"/>
        </w:rPr>
        <w:t xml:space="preserve"> impossible. Nous avons à c</w:t>
      </w:r>
      <w:r w:rsidR="001F1EEC">
        <w:rPr>
          <w:lang w:val="fr-FR"/>
        </w:rPr>
        <w:t>oe</w:t>
      </w:r>
      <w:r w:rsidR="003A2E4F" w:rsidRPr="000659CA">
        <w:rPr>
          <w:lang w:val="fr-FR"/>
        </w:rPr>
        <w:t xml:space="preserve">ur de renforcer le rôle </w:t>
      </w:r>
      <w:r w:rsidR="003A2E4F">
        <w:rPr>
          <w:lang w:val="fr-FR"/>
        </w:rPr>
        <w:t>que joue l</w:t>
      </w:r>
      <w:r w:rsidR="00763DD7">
        <w:rPr>
          <w:lang w:val="fr-FR"/>
        </w:rPr>
        <w:t>'</w:t>
      </w:r>
      <w:r w:rsidR="003A2E4F">
        <w:rPr>
          <w:lang w:val="fr-FR"/>
        </w:rPr>
        <w:t>UIT en tant qu</w:t>
      </w:r>
      <w:r w:rsidR="00763DD7">
        <w:rPr>
          <w:lang w:val="fr-FR"/>
        </w:rPr>
        <w:t>'</w:t>
      </w:r>
      <w:r w:rsidR="003A2E4F" w:rsidRPr="000659CA">
        <w:rPr>
          <w:lang w:val="fr-FR"/>
        </w:rPr>
        <w:t xml:space="preserve">organisation </w:t>
      </w:r>
      <w:r w:rsidR="003A2E4F">
        <w:rPr>
          <w:lang w:val="fr-FR"/>
        </w:rPr>
        <w:t>fonctionnant sur le mode du consensus</w:t>
      </w:r>
      <w:r w:rsidR="003A2E4F" w:rsidRPr="000659CA">
        <w:rPr>
          <w:lang w:val="fr-FR"/>
        </w:rPr>
        <w:t xml:space="preserve"> et nous croyons qu</w:t>
      </w:r>
      <w:r w:rsidR="00763DD7">
        <w:rPr>
          <w:lang w:val="fr-FR"/>
        </w:rPr>
        <w:t>'</w:t>
      </w:r>
      <w:r w:rsidR="003A2E4F" w:rsidRPr="000659CA">
        <w:rPr>
          <w:lang w:val="fr-FR"/>
        </w:rPr>
        <w:t>il faut éviter les divisions.</w:t>
      </w:r>
    </w:p>
    <w:p w:rsidR="003A2E4F" w:rsidRPr="000659CA" w:rsidRDefault="00241852" w:rsidP="00241852">
      <w:pPr>
        <w:pStyle w:val="Normal1"/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left="720" w:hanging="720"/>
        <w:rPr>
          <w:lang w:val="fr-FR"/>
        </w:rPr>
      </w:pPr>
      <w:r>
        <w:rPr>
          <w:lang w:val="fr-FR"/>
        </w:rPr>
        <w:lastRenderedPageBreak/>
        <w:t>5)</w:t>
      </w:r>
      <w:r>
        <w:rPr>
          <w:lang w:val="fr-FR"/>
        </w:rPr>
        <w:tab/>
      </w:r>
      <w:r w:rsidR="003A2E4F" w:rsidRPr="000659CA">
        <w:rPr>
          <w:lang w:val="fr-FR"/>
        </w:rPr>
        <w:t xml:space="preserve">A notre connaissance, </w:t>
      </w:r>
      <w:r w:rsidR="003A2E4F">
        <w:rPr>
          <w:lang w:val="fr-FR"/>
        </w:rPr>
        <w:t>aucune difficulté particulière ne résulte de</w:t>
      </w:r>
      <w:r w:rsidR="003A2E4F" w:rsidRPr="006B53BD">
        <w:rPr>
          <w:lang w:val="fr-FR"/>
        </w:rPr>
        <w:t xml:space="preserve"> </w:t>
      </w:r>
      <w:r w:rsidR="003A2E4F" w:rsidRPr="000659CA">
        <w:rPr>
          <w:lang w:val="fr-FR"/>
        </w:rPr>
        <w:t>la situation actuelle ou d</w:t>
      </w:r>
      <w:r w:rsidR="00763DD7">
        <w:rPr>
          <w:lang w:val="fr-FR"/>
        </w:rPr>
        <w:t>'</w:t>
      </w:r>
      <w:r w:rsidR="003A2E4F" w:rsidRPr="000659CA">
        <w:rPr>
          <w:lang w:val="fr-FR"/>
        </w:rPr>
        <w:t xml:space="preserve">éventuelles divergences entre </w:t>
      </w:r>
      <w:r w:rsidR="003A2E4F">
        <w:rPr>
          <w:lang w:val="fr-FR"/>
        </w:rPr>
        <w:t>le RTI de 1988 et celui de 2012</w:t>
      </w:r>
      <w:r w:rsidR="003A2E4F" w:rsidRPr="000659CA">
        <w:rPr>
          <w:lang w:val="fr-FR"/>
        </w:rPr>
        <w:t xml:space="preserve">. Même si des difficultés majeures venaient à être décelées, il importerait tout de même </w:t>
      </w:r>
      <w:r w:rsidR="003A2E4F">
        <w:rPr>
          <w:lang w:val="fr-FR"/>
        </w:rPr>
        <w:t>de tenir compte de</w:t>
      </w:r>
      <w:r w:rsidR="003A2E4F" w:rsidRPr="000659CA">
        <w:rPr>
          <w:lang w:val="fr-FR"/>
        </w:rPr>
        <w:t xml:space="preserve"> l</w:t>
      </w:r>
      <w:r w:rsidR="003A2E4F">
        <w:rPr>
          <w:lang w:val="fr-FR"/>
        </w:rPr>
        <w:t xml:space="preserve">eur </w:t>
      </w:r>
      <w:r w:rsidR="003A2E4F" w:rsidRPr="000659CA">
        <w:rPr>
          <w:lang w:val="fr-FR"/>
        </w:rPr>
        <w:t xml:space="preserve">ampleur, </w:t>
      </w:r>
      <w:r w:rsidR="00763DD7">
        <w:rPr>
          <w:lang w:val="fr-FR"/>
        </w:rPr>
        <w:t xml:space="preserve">de </w:t>
      </w:r>
      <w:r w:rsidR="003A2E4F">
        <w:rPr>
          <w:lang w:val="fr-FR"/>
        </w:rPr>
        <w:t>leur</w:t>
      </w:r>
      <w:r w:rsidR="003A2E4F" w:rsidRPr="000659CA">
        <w:rPr>
          <w:lang w:val="fr-FR"/>
        </w:rPr>
        <w:t xml:space="preserve"> portée et </w:t>
      </w:r>
      <w:r w:rsidR="00763DD7">
        <w:rPr>
          <w:lang w:val="fr-FR"/>
        </w:rPr>
        <w:t xml:space="preserve">de </w:t>
      </w:r>
      <w:r w:rsidR="003A2E4F">
        <w:rPr>
          <w:lang w:val="fr-FR"/>
        </w:rPr>
        <w:t xml:space="preserve">leurs </w:t>
      </w:r>
      <w:r w:rsidR="003A2E4F" w:rsidRPr="000659CA">
        <w:rPr>
          <w:lang w:val="fr-FR"/>
        </w:rPr>
        <w:t>conséquences sur les services transfrontaliers avant d</w:t>
      </w:r>
      <w:r w:rsidR="00763DD7">
        <w:rPr>
          <w:lang w:val="fr-FR"/>
        </w:rPr>
        <w:t>'</w:t>
      </w:r>
      <w:r w:rsidR="003A2E4F" w:rsidRPr="000659CA">
        <w:rPr>
          <w:lang w:val="fr-FR"/>
        </w:rPr>
        <w:t>examiner la nécessité de convoquer une nouvelle CMTI.</w:t>
      </w:r>
    </w:p>
    <w:p w:rsidR="003A2E4F" w:rsidRPr="000659CA" w:rsidRDefault="00241852" w:rsidP="00241852">
      <w:pPr>
        <w:pStyle w:val="Normal1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left="720" w:hanging="720"/>
        <w:rPr>
          <w:lang w:val="fr-FR"/>
        </w:rPr>
      </w:pPr>
      <w:r>
        <w:rPr>
          <w:lang w:val="fr-FR"/>
        </w:rPr>
        <w:t>6)</w:t>
      </w:r>
      <w:r>
        <w:rPr>
          <w:lang w:val="fr-FR"/>
        </w:rPr>
        <w:tab/>
      </w:r>
      <w:r w:rsidR="003A2E4F" w:rsidRPr="000659CA">
        <w:rPr>
          <w:lang w:val="fr-FR"/>
        </w:rPr>
        <w:t>Nous faisons observer en particulier que la tenue d</w:t>
      </w:r>
      <w:r w:rsidR="00763DD7">
        <w:rPr>
          <w:lang w:val="fr-FR"/>
        </w:rPr>
        <w:t>'</w:t>
      </w:r>
      <w:r w:rsidR="003A2E4F" w:rsidRPr="000659CA">
        <w:rPr>
          <w:lang w:val="fr-FR"/>
        </w:rPr>
        <w:t>une nouvelle CMTI représenterait des dépenses considérables. Nous nous associons aux autres pays qui ont signalé, notamment lors du Conseil de l</w:t>
      </w:r>
      <w:r w:rsidR="00763DD7">
        <w:rPr>
          <w:lang w:val="fr-FR"/>
        </w:rPr>
        <w:t>'</w:t>
      </w:r>
      <w:r w:rsidR="003A2E4F" w:rsidRPr="000659CA">
        <w:rPr>
          <w:lang w:val="fr-FR"/>
        </w:rPr>
        <w:t>UIT, qu</w:t>
      </w:r>
      <w:r w:rsidR="00763DD7">
        <w:rPr>
          <w:lang w:val="fr-FR"/>
        </w:rPr>
        <w:t>'</w:t>
      </w:r>
      <w:r w:rsidR="003A2E4F" w:rsidRPr="000659CA">
        <w:rPr>
          <w:lang w:val="fr-FR"/>
        </w:rPr>
        <w:t>e</w:t>
      </w:r>
      <w:r w:rsidR="003A2E4F">
        <w:rPr>
          <w:lang w:val="fr-FR"/>
        </w:rPr>
        <w:t>n plus des dépenses liées à la C</w:t>
      </w:r>
      <w:r w:rsidR="003A2E4F" w:rsidRPr="000659CA">
        <w:rPr>
          <w:lang w:val="fr-FR"/>
        </w:rPr>
        <w:t>onférence</w:t>
      </w:r>
      <w:r w:rsidR="003A2E4F">
        <w:rPr>
          <w:lang w:val="fr-FR"/>
        </w:rPr>
        <w:t xml:space="preserve"> proprement dite</w:t>
      </w:r>
      <w:r w:rsidR="003A2E4F" w:rsidRPr="000659CA">
        <w:rPr>
          <w:lang w:val="fr-FR"/>
        </w:rPr>
        <w:t>, la tenue d</w:t>
      </w:r>
      <w:r w:rsidR="00763DD7">
        <w:rPr>
          <w:lang w:val="fr-FR"/>
        </w:rPr>
        <w:t>'</w:t>
      </w:r>
      <w:r w:rsidR="003A2E4F" w:rsidRPr="000659CA">
        <w:rPr>
          <w:lang w:val="fr-FR"/>
        </w:rPr>
        <w:t>une nouvelle CMTI néc</w:t>
      </w:r>
      <w:bookmarkStart w:id="6" w:name="_GoBack"/>
      <w:bookmarkEnd w:id="6"/>
      <w:r w:rsidR="003A2E4F" w:rsidRPr="000659CA">
        <w:rPr>
          <w:lang w:val="fr-FR"/>
        </w:rPr>
        <w:t>essiterait plusieurs années de réunions préparatoires aux niveaux national, régional et international, ce qui engendrerait des frais de voyage et des dépenses de personnel importants, auxquels s</w:t>
      </w:r>
      <w:r w:rsidR="00763DD7">
        <w:rPr>
          <w:lang w:val="fr-FR"/>
        </w:rPr>
        <w:t>'</w:t>
      </w:r>
      <w:r w:rsidR="003A2E4F" w:rsidRPr="000659CA">
        <w:rPr>
          <w:lang w:val="fr-FR"/>
        </w:rPr>
        <w:t>ajouteraient des coûts d</w:t>
      </w:r>
      <w:r w:rsidR="00763DD7">
        <w:rPr>
          <w:lang w:val="fr-FR"/>
        </w:rPr>
        <w:t>'</w:t>
      </w:r>
      <w:r w:rsidR="003A2E4F" w:rsidRPr="000659CA">
        <w:rPr>
          <w:lang w:val="fr-FR"/>
        </w:rPr>
        <w:t xml:space="preserve">opportunité très élevés. </w:t>
      </w:r>
    </w:p>
    <w:p w:rsidR="003A2E4F" w:rsidRDefault="00241852" w:rsidP="00241852">
      <w:pPr>
        <w:pStyle w:val="Normal1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left="720" w:hanging="720"/>
        <w:rPr>
          <w:lang w:val="fr-FR"/>
        </w:rPr>
      </w:pPr>
      <w:r>
        <w:rPr>
          <w:lang w:val="fr-FR"/>
        </w:rPr>
        <w:t>7)</w:t>
      </w:r>
      <w:r>
        <w:rPr>
          <w:lang w:val="fr-FR"/>
        </w:rPr>
        <w:tab/>
      </w:r>
      <w:r w:rsidR="003A2E4F" w:rsidRPr="000659CA">
        <w:rPr>
          <w:lang w:val="fr-FR"/>
        </w:rPr>
        <w:t>L</w:t>
      </w:r>
      <w:r w:rsidR="00763DD7">
        <w:rPr>
          <w:lang w:val="fr-FR"/>
        </w:rPr>
        <w:t>'</w:t>
      </w:r>
      <w:r w:rsidR="003A2E4F" w:rsidRPr="000659CA">
        <w:rPr>
          <w:lang w:val="fr-FR"/>
        </w:rPr>
        <w:t>UIT et tout particulièrement ses membres vont être confrontés à de nombreux problèmes dans les années à venir pour accroître les investissements dans les infrastructures et la connectivité, améliorer l</w:t>
      </w:r>
      <w:r w:rsidR="00763DD7">
        <w:rPr>
          <w:lang w:val="fr-FR"/>
        </w:rPr>
        <w:t>'</w:t>
      </w:r>
      <w:r w:rsidR="003A2E4F" w:rsidRPr="000659CA">
        <w:rPr>
          <w:lang w:val="fr-FR"/>
        </w:rPr>
        <w:t>accessibilité économique, renforcer les capacités et les compétences et réduire la fracture numérique. Une nouvelle renégociation du RTI priverait ces grandes priorités des ressources nécessaires et de l</w:t>
      </w:r>
      <w:r w:rsidR="00763DD7">
        <w:rPr>
          <w:lang w:val="fr-FR"/>
        </w:rPr>
        <w:t>'</w:t>
      </w:r>
      <w:r w:rsidR="003A2E4F" w:rsidRPr="000659CA">
        <w:rPr>
          <w:lang w:val="fr-FR"/>
        </w:rPr>
        <w:t>attention qu</w:t>
      </w:r>
      <w:r w:rsidR="00763DD7">
        <w:rPr>
          <w:lang w:val="fr-FR"/>
        </w:rPr>
        <w:t>'</w:t>
      </w:r>
      <w:r w:rsidR="003A2E4F" w:rsidRPr="000659CA">
        <w:rPr>
          <w:lang w:val="fr-FR"/>
        </w:rPr>
        <w:t>elles méritent. C</w:t>
      </w:r>
      <w:r w:rsidR="00763DD7">
        <w:rPr>
          <w:lang w:val="fr-FR"/>
        </w:rPr>
        <w:t>'</w:t>
      </w:r>
      <w:r w:rsidR="003A2E4F" w:rsidRPr="000659CA">
        <w:rPr>
          <w:lang w:val="fr-FR"/>
        </w:rPr>
        <w:t>est pourquoi nous croyons qu</w:t>
      </w:r>
      <w:r w:rsidR="00763DD7">
        <w:rPr>
          <w:lang w:val="fr-FR"/>
        </w:rPr>
        <w:t>'</w:t>
      </w:r>
      <w:r w:rsidR="003A2E4F" w:rsidRPr="000659CA">
        <w:rPr>
          <w:lang w:val="fr-FR"/>
        </w:rPr>
        <w:t xml:space="preserve">il nous faut éviter le flou </w:t>
      </w:r>
      <w:r w:rsidR="003A2E4F">
        <w:rPr>
          <w:lang w:val="fr-FR"/>
        </w:rPr>
        <w:t>que jetterait</w:t>
      </w:r>
      <w:r w:rsidR="003A2E4F" w:rsidRPr="000659CA">
        <w:rPr>
          <w:lang w:val="fr-FR"/>
        </w:rPr>
        <w:t xml:space="preserve"> la tenue d</w:t>
      </w:r>
      <w:r w:rsidR="00763DD7">
        <w:rPr>
          <w:lang w:val="fr-FR"/>
        </w:rPr>
        <w:t>'</w:t>
      </w:r>
      <w:r w:rsidR="003A2E4F" w:rsidRPr="000659CA">
        <w:rPr>
          <w:lang w:val="fr-FR"/>
        </w:rPr>
        <w:t>une nouvelle CMTI et le risque de division parmi les membres de l</w:t>
      </w:r>
      <w:r w:rsidR="00763DD7">
        <w:rPr>
          <w:lang w:val="fr-FR"/>
        </w:rPr>
        <w:t>'</w:t>
      </w:r>
      <w:r w:rsidR="003A2E4F" w:rsidRPr="000659CA">
        <w:rPr>
          <w:lang w:val="fr-FR"/>
        </w:rPr>
        <w:t>UIT. Nous devrions plutôt nous concentrer sur l</w:t>
      </w:r>
      <w:r w:rsidR="00763DD7">
        <w:rPr>
          <w:lang w:val="fr-FR"/>
        </w:rPr>
        <w:t>'</w:t>
      </w:r>
      <w:r w:rsidR="003A2E4F" w:rsidRPr="000659CA">
        <w:rPr>
          <w:lang w:val="fr-FR"/>
        </w:rPr>
        <w:t>exécution du Programme de développement durable à l</w:t>
      </w:r>
      <w:r w:rsidR="00763DD7">
        <w:rPr>
          <w:lang w:val="fr-FR"/>
        </w:rPr>
        <w:t>'</w:t>
      </w:r>
      <w:r w:rsidR="003A2E4F" w:rsidRPr="000659CA">
        <w:rPr>
          <w:lang w:val="fr-FR"/>
        </w:rPr>
        <w:t>horizon 2030 et en faire notre priorité.</w:t>
      </w:r>
    </w:p>
    <w:p w:rsidR="001F1EEC" w:rsidRDefault="001F1EEC" w:rsidP="0032202E">
      <w:pPr>
        <w:pStyle w:val="Reasons"/>
      </w:pPr>
    </w:p>
    <w:p w:rsidR="003A2E4F" w:rsidRPr="000659CA" w:rsidRDefault="001F1EEC" w:rsidP="001F1EEC">
      <w:pPr>
        <w:jc w:val="center"/>
        <w:rPr>
          <w:rFonts w:ascii="Calibri" w:hAnsi="Calibri" w:cstheme="majorBidi"/>
          <w:sz w:val="24"/>
          <w:lang w:val="fr-FR"/>
        </w:rPr>
      </w:pPr>
      <w:r>
        <w:t>______________</w:t>
      </w:r>
    </w:p>
    <w:sectPr w:rsidR="003A2E4F" w:rsidRPr="000659CA" w:rsidSect="006B4AAA">
      <w:headerReference w:type="default" r:id="rId9"/>
      <w:footerReference w:type="even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E4F" w:rsidRDefault="003A2E4F">
      <w:r>
        <w:separator/>
      </w:r>
    </w:p>
  </w:endnote>
  <w:endnote w:type="continuationSeparator" w:id="0">
    <w:p w:rsidR="003A2E4F" w:rsidRDefault="003A2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1F8" w:rsidRDefault="00E8448E">
    <w:pPr>
      <w:pStyle w:val="Footer"/>
    </w:pPr>
    <w:fldSimple w:instr=" FILENAME \p \* MERGEFORMAT ">
      <w:r>
        <w:t>P:\FRA\SG\CONSEIL\EG-ITR\EG-ITR-2\000\008F.docx</w:t>
      </w:r>
    </w:fldSimple>
    <w:r w:rsidR="00AD41F8">
      <w:tab/>
    </w:r>
    <w:r w:rsidR="00AD41F8">
      <w:fldChar w:fldCharType="begin"/>
    </w:r>
    <w:r w:rsidR="00AD41F8">
      <w:instrText xml:space="preserve"> savedate \@ dd.MM.yy </w:instrText>
    </w:r>
    <w:r w:rsidR="00AD41F8">
      <w:fldChar w:fldCharType="separate"/>
    </w:r>
    <w:r w:rsidR="001F1EEC">
      <w:t>31.08.17</w:t>
    </w:r>
    <w:r w:rsidR="00AD41F8">
      <w:fldChar w:fldCharType="end"/>
    </w:r>
    <w:r w:rsidR="00AD41F8">
      <w:tab/>
    </w:r>
    <w:r w:rsidR="00AD41F8">
      <w:fldChar w:fldCharType="begin"/>
    </w:r>
    <w:r w:rsidR="00AD41F8">
      <w:instrText xml:space="preserve"> printdate \@ dd.MM.yy </w:instrText>
    </w:r>
    <w:r w:rsidR="00AD41F8">
      <w:fldChar w:fldCharType="separate"/>
    </w:r>
    <w:r>
      <w:t>31.08.17</w:t>
    </w:r>
    <w:r w:rsidR="00AD41F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1F8" w:rsidRPr="006B4AAA" w:rsidRDefault="00E8448E" w:rsidP="00763DD7">
    <w:pPr>
      <w:pStyle w:val="Footer"/>
      <w:rPr>
        <w:rFonts w:asciiTheme="minorHAnsi" w:hAnsiTheme="minorHAnsi"/>
      </w:rPr>
    </w:pPr>
    <w:r w:rsidRPr="006B4AAA">
      <w:rPr>
        <w:rFonts w:asciiTheme="minorHAnsi" w:hAnsiTheme="minorHAnsi"/>
      </w:rPr>
      <w:fldChar w:fldCharType="begin"/>
    </w:r>
    <w:r w:rsidRPr="006B4AAA">
      <w:rPr>
        <w:rFonts w:asciiTheme="minorHAnsi" w:hAnsiTheme="minorHAnsi"/>
      </w:rPr>
      <w:instrText xml:space="preserve"> FILENAME \p \* MERGEFORMAT </w:instrText>
    </w:r>
    <w:r w:rsidRPr="006B4AAA">
      <w:rPr>
        <w:rFonts w:asciiTheme="minorHAnsi" w:hAnsiTheme="minorHAnsi"/>
      </w:rPr>
      <w:fldChar w:fldCharType="separate"/>
    </w:r>
    <w:r>
      <w:rPr>
        <w:rFonts w:asciiTheme="minorHAnsi" w:hAnsiTheme="minorHAnsi"/>
      </w:rPr>
      <w:t>P:\FRA\SG\CONSEIL\EG-ITR\EG-ITR-2\000\008F.docx</w:t>
    </w:r>
    <w:r w:rsidRPr="006B4AAA">
      <w:rPr>
        <w:rFonts w:asciiTheme="minorHAnsi" w:hAnsiTheme="minorHAnsi"/>
      </w:rPr>
      <w:fldChar w:fldCharType="end"/>
    </w:r>
    <w:r w:rsidR="00763DD7" w:rsidRPr="006B4AAA">
      <w:rPr>
        <w:rFonts w:asciiTheme="minorHAnsi" w:hAnsiTheme="minorHAnsi"/>
      </w:rPr>
      <w:t xml:space="preserve"> (423023)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1F8" w:rsidRDefault="006A289B" w:rsidP="006B4AAA">
    <w:pPr>
      <w:pStyle w:val="Footer"/>
      <w:spacing w:after="120"/>
      <w:jc w:val="center"/>
      <w:rPr>
        <w:rFonts w:asciiTheme="minorHAnsi" w:hAnsiTheme="minorHAnsi"/>
        <w:caps w:val="0"/>
        <w:sz w:val="24"/>
      </w:rPr>
    </w:pPr>
    <w:r w:rsidRPr="006B4AAA">
      <w:rPr>
        <w:rFonts w:asciiTheme="minorHAnsi" w:hAnsiTheme="minorHAnsi"/>
        <w:caps w:val="0"/>
        <w:sz w:val="24"/>
      </w:rPr>
      <w:t>•</w:t>
    </w:r>
    <w:r>
      <w:t xml:space="preserve"> </w:t>
    </w:r>
    <w:hyperlink r:id="rId1" w:history="1">
      <w:r w:rsidR="006B4AAA" w:rsidRPr="006B4AAA">
        <w:rPr>
          <w:rStyle w:val="Hyperlink"/>
          <w:rFonts w:asciiTheme="minorHAnsi" w:hAnsiTheme="minorHAnsi"/>
          <w:caps w:val="0"/>
          <w:sz w:val="24"/>
        </w:rPr>
        <w:t>http://www.itu.int/council</w:t>
      </w:r>
    </w:hyperlink>
    <w:r w:rsidR="006B4AAA" w:rsidRPr="006B4AAA">
      <w:rPr>
        <w:rFonts w:asciiTheme="minorHAnsi" w:hAnsiTheme="minorHAnsi"/>
        <w:caps w:val="0"/>
        <w:sz w:val="24"/>
      </w:rPr>
      <w:t xml:space="preserve"> •</w:t>
    </w:r>
  </w:p>
  <w:p w:rsidR="006B4AAA" w:rsidRDefault="006B4AAA" w:rsidP="006B4AAA">
    <w:pPr>
      <w:pStyle w:val="Footer"/>
    </w:pPr>
    <w:r w:rsidRPr="006B4AAA">
      <w:rPr>
        <w:rFonts w:asciiTheme="minorHAnsi" w:hAnsiTheme="minorHAnsi"/>
      </w:rPr>
      <w:fldChar w:fldCharType="begin"/>
    </w:r>
    <w:r w:rsidRPr="006B4AAA">
      <w:rPr>
        <w:rFonts w:asciiTheme="minorHAnsi" w:hAnsiTheme="minorHAnsi"/>
      </w:rPr>
      <w:instrText xml:space="preserve"> FILENAME \p \* MERGEFORMAT </w:instrText>
    </w:r>
    <w:r w:rsidRPr="006B4AAA">
      <w:rPr>
        <w:rFonts w:asciiTheme="minorHAnsi" w:hAnsiTheme="minorHAnsi"/>
      </w:rPr>
      <w:fldChar w:fldCharType="separate"/>
    </w:r>
    <w:r w:rsidR="00E8448E">
      <w:rPr>
        <w:rFonts w:asciiTheme="minorHAnsi" w:hAnsiTheme="minorHAnsi"/>
      </w:rPr>
      <w:t>P:\FRA\SG\CONSEIL\EG-ITR\EG-ITR-2\000\008F.docx</w:t>
    </w:r>
    <w:r w:rsidRPr="006B4AAA">
      <w:rPr>
        <w:rFonts w:asciiTheme="minorHAnsi" w:hAnsiTheme="minorHAnsi"/>
      </w:rPr>
      <w:fldChar w:fldCharType="end"/>
    </w:r>
    <w:r w:rsidRPr="006B4AAA">
      <w:rPr>
        <w:rFonts w:asciiTheme="minorHAnsi" w:hAnsiTheme="minorHAnsi"/>
      </w:rPr>
      <w:t xml:space="preserve"> (423023)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E4F" w:rsidRDefault="003A2E4F">
      <w:r>
        <w:t>____________________</w:t>
      </w:r>
    </w:p>
  </w:footnote>
  <w:footnote w:type="continuationSeparator" w:id="0">
    <w:p w:rsidR="003A2E4F" w:rsidRDefault="003A2E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9801018"/>
      <w:docPartObj>
        <w:docPartGallery w:val="Page Numbers (Top of Page)"/>
        <w:docPartUnique/>
      </w:docPartObj>
    </w:sdtPr>
    <w:sdtEndPr>
      <w:rPr>
        <w:rFonts w:asciiTheme="minorHAnsi" w:hAnsiTheme="minorHAnsi"/>
        <w:noProof/>
      </w:rPr>
    </w:sdtEndPr>
    <w:sdtContent>
      <w:p w:rsidR="006B4AAA" w:rsidRPr="001F1EEC" w:rsidRDefault="006B4AAA">
        <w:pPr>
          <w:pStyle w:val="Header"/>
          <w:rPr>
            <w:rFonts w:asciiTheme="minorHAnsi" w:hAnsiTheme="minorHAnsi"/>
          </w:rPr>
        </w:pPr>
        <w:r w:rsidRPr="001F1EEC">
          <w:rPr>
            <w:rFonts w:asciiTheme="minorHAnsi" w:hAnsiTheme="minorHAnsi"/>
          </w:rPr>
          <w:fldChar w:fldCharType="begin"/>
        </w:r>
        <w:r w:rsidRPr="001F1EEC">
          <w:rPr>
            <w:rFonts w:asciiTheme="minorHAnsi" w:hAnsiTheme="minorHAnsi"/>
          </w:rPr>
          <w:instrText xml:space="preserve"> PAGE   \* MERGEFORMAT </w:instrText>
        </w:r>
        <w:r w:rsidRPr="001F1EEC">
          <w:rPr>
            <w:rFonts w:asciiTheme="minorHAnsi" w:hAnsiTheme="minorHAnsi"/>
          </w:rPr>
          <w:fldChar w:fldCharType="separate"/>
        </w:r>
        <w:r w:rsidR="001F1EEC">
          <w:rPr>
            <w:rFonts w:asciiTheme="minorHAnsi" w:hAnsiTheme="minorHAnsi"/>
            <w:noProof/>
          </w:rPr>
          <w:t>2</w:t>
        </w:r>
        <w:r w:rsidRPr="001F1EEC">
          <w:rPr>
            <w:rFonts w:asciiTheme="minorHAnsi" w:hAnsiTheme="minorHAnsi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95CF9"/>
    <w:multiLevelType w:val="hybridMultilevel"/>
    <w:tmpl w:val="1452D082"/>
    <w:lvl w:ilvl="0" w:tplc="08A28F54">
      <w:start w:val="1"/>
      <w:numFmt w:val="decimal"/>
      <w:lvlText w:val="%1."/>
      <w:lvlJc w:val="left"/>
      <w:pPr>
        <w:ind w:left="9291" w:hanging="360"/>
      </w:pPr>
    </w:lvl>
    <w:lvl w:ilvl="1" w:tplc="15FE03DA" w:tentative="1">
      <w:start w:val="1"/>
      <w:numFmt w:val="lowerLetter"/>
      <w:lvlText w:val="%2."/>
      <w:lvlJc w:val="left"/>
      <w:pPr>
        <w:ind w:left="10011" w:hanging="360"/>
      </w:pPr>
    </w:lvl>
    <w:lvl w:ilvl="2" w:tplc="1E1ED53A" w:tentative="1">
      <w:start w:val="1"/>
      <w:numFmt w:val="lowerRoman"/>
      <w:lvlText w:val="%3."/>
      <w:lvlJc w:val="right"/>
      <w:pPr>
        <w:ind w:left="10731" w:hanging="180"/>
      </w:pPr>
    </w:lvl>
    <w:lvl w:ilvl="3" w:tplc="C592F7D2" w:tentative="1">
      <w:start w:val="1"/>
      <w:numFmt w:val="decimal"/>
      <w:lvlText w:val="%4."/>
      <w:lvlJc w:val="left"/>
      <w:pPr>
        <w:ind w:left="11451" w:hanging="360"/>
      </w:pPr>
    </w:lvl>
    <w:lvl w:ilvl="4" w:tplc="BF466D30" w:tentative="1">
      <w:start w:val="1"/>
      <w:numFmt w:val="lowerLetter"/>
      <w:lvlText w:val="%5."/>
      <w:lvlJc w:val="left"/>
      <w:pPr>
        <w:ind w:left="12171" w:hanging="360"/>
      </w:pPr>
    </w:lvl>
    <w:lvl w:ilvl="5" w:tplc="3DB25840" w:tentative="1">
      <w:start w:val="1"/>
      <w:numFmt w:val="lowerRoman"/>
      <w:lvlText w:val="%6."/>
      <w:lvlJc w:val="right"/>
      <w:pPr>
        <w:ind w:left="12891" w:hanging="180"/>
      </w:pPr>
    </w:lvl>
    <w:lvl w:ilvl="6" w:tplc="0C627CD4" w:tentative="1">
      <w:start w:val="1"/>
      <w:numFmt w:val="decimal"/>
      <w:lvlText w:val="%7."/>
      <w:lvlJc w:val="left"/>
      <w:pPr>
        <w:ind w:left="13611" w:hanging="360"/>
      </w:pPr>
    </w:lvl>
    <w:lvl w:ilvl="7" w:tplc="73283CD4" w:tentative="1">
      <w:start w:val="1"/>
      <w:numFmt w:val="lowerLetter"/>
      <w:lvlText w:val="%8."/>
      <w:lvlJc w:val="left"/>
      <w:pPr>
        <w:ind w:left="14331" w:hanging="360"/>
      </w:pPr>
    </w:lvl>
    <w:lvl w:ilvl="8" w:tplc="12743470" w:tentative="1">
      <w:start w:val="1"/>
      <w:numFmt w:val="lowerRoman"/>
      <w:lvlText w:val="%9."/>
      <w:lvlJc w:val="right"/>
      <w:pPr>
        <w:ind w:left="1505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E4F"/>
    <w:rsid w:val="001F1EEC"/>
    <w:rsid w:val="00241852"/>
    <w:rsid w:val="00303CBA"/>
    <w:rsid w:val="003A2E4F"/>
    <w:rsid w:val="00417C1F"/>
    <w:rsid w:val="006A289B"/>
    <w:rsid w:val="006B4AAA"/>
    <w:rsid w:val="00763DD7"/>
    <w:rsid w:val="008A1914"/>
    <w:rsid w:val="00AD41F8"/>
    <w:rsid w:val="00B27CCE"/>
    <w:rsid w:val="00E8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1F1BC23-8998-406D-9A71-5F8884813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E4F"/>
    <w:rPr>
      <w:rFonts w:ascii="Arial" w:eastAsia="SimSun" w:hAnsi="Arial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pPr>
      <w:tabs>
        <w:tab w:val="left" w:pos="907"/>
        <w:tab w:val="right" w:pos="8789"/>
        <w:tab w:val="right" w:pos="9639"/>
      </w:tabs>
    </w:pPr>
    <w:rPr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Formal">
    <w:name w:val="Formal"/>
    <w:basedOn w:val="ASN1"/>
    <w:rPr>
      <w:b w:val="0"/>
    </w:rPr>
  </w:style>
  <w:style w:type="paragraph" w:customStyle="1" w:styleId="Equationlegend">
    <w:name w:val="Equation_legend"/>
    <w:basedOn w:val="Normal"/>
    <w:pPr>
      <w:tabs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jc w:val="center"/>
    </w:pPr>
    <w:rPr>
      <w:i/>
    </w:rPr>
  </w:style>
  <w:style w:type="paragraph" w:customStyle="1" w:styleId="Recdate">
    <w:name w:val="Rec_date"/>
    <w:basedOn w:val="Normal"/>
    <w:next w:val="Normalaftertitle"/>
    <w:pPr>
      <w:keepNext/>
      <w:keepLines/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left" w:pos="5954"/>
        <w:tab w:val="right" w:pos="9639"/>
      </w:tabs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spacing w:before="40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t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link w:val="HeaderChar"/>
    <w:uiPriority w:val="99"/>
    <w:pPr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spacing w:before="240"/>
      <w:jc w:val="center"/>
    </w:pPr>
    <w:rPr>
      <w:i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ref">
    <w:name w:val="Table_ref"/>
    <w:basedOn w:val="Normal"/>
    <w:next w:val="TabletitleBR"/>
    <w:pPr>
      <w:keepNext/>
      <w:spacing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right" w:pos="9639"/>
      </w:tabs>
    </w:pPr>
    <w:rPr>
      <w:b/>
    </w:rPr>
  </w:style>
  <w:style w:type="paragraph" w:styleId="TOC1">
    <w:name w:val="toc 1"/>
    <w:basedOn w:val="Normal"/>
    <w:pPr>
      <w:tabs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character" w:customStyle="1" w:styleId="Artref">
    <w:name w:val="Art_ref"/>
    <w:basedOn w:val="DefaultParagraphFont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customStyle="1" w:styleId="Normal1">
    <w:name w:val="Normal1"/>
    <w:rsid w:val="003A2E4F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styleId="Hyperlink">
    <w:name w:val="Hyperlink"/>
    <w:basedOn w:val="DefaultParagraphFont"/>
    <w:rsid w:val="006B4AAA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6B4AAA"/>
    <w:rPr>
      <w:rFonts w:ascii="Arial" w:eastAsia="SimSun" w:hAnsi="Arial"/>
      <w:sz w:val="18"/>
      <w:szCs w:val="24"/>
    </w:rPr>
  </w:style>
  <w:style w:type="paragraph" w:customStyle="1" w:styleId="Reasons">
    <w:name w:val="Reasons"/>
    <w:basedOn w:val="Normal"/>
    <w:qFormat/>
    <w:rsid w:val="001F1EEC"/>
    <w:rPr>
      <w:rFonts w:ascii="Times New Roman" w:eastAsia="Times New Roman" w:hAnsi="Times New Roman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ntemps\AppData\Roaming\Microsoft\Templates\POOL%20F%20-%20ITU\PF_PO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48B9E-08D0-4B4C-B6F4-30C36FBBC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PF_POOL.dotm</Template>
  <TotalTime>83</TotalTime>
  <Pages>2</Pages>
  <Words>625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Bontemps, Johann</dc:creator>
  <cp:keywords/>
  <dc:description/>
  <cp:lastModifiedBy>Royer, Veronique</cp:lastModifiedBy>
  <cp:revision>6</cp:revision>
  <cp:lastPrinted>2017-08-31T09:53:00Z</cp:lastPrinted>
  <dcterms:created xsi:type="dcterms:W3CDTF">2017-08-31T07:47:00Z</dcterms:created>
  <dcterms:modified xsi:type="dcterms:W3CDTF">2017-08-31T12:28:00Z</dcterms:modified>
</cp:coreProperties>
</file>