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C26F65" w:rsidRPr="00BE5FBC">
        <w:trPr>
          <w:cantSplit/>
        </w:trPr>
        <w:tc>
          <w:tcPr>
            <w:tcW w:w="6912" w:type="dxa"/>
          </w:tcPr>
          <w:p w:rsidR="00C26F65" w:rsidRPr="00BE5FBC" w:rsidRDefault="00C26F65" w:rsidP="00C26F65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BE5FBC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Grupo de Expertos sobre el Reglamento de las </w:t>
            </w:r>
            <w:r w:rsidRPr="00BE5FBC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C26F65" w:rsidRPr="00BE5FBC" w:rsidRDefault="00C26F65" w:rsidP="00C26F65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BE5FBC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79A9AA6" wp14:editId="712B9729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F65" w:rsidRPr="00BE5FBC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C26F65" w:rsidRPr="00BE5FBC" w:rsidRDefault="00F869A6" w:rsidP="00F869A6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Segunda</w:t>
            </w:r>
            <w:r w:rsidR="00C26F65" w:rsidRPr="00BE5FBC">
              <w:rPr>
                <w:rFonts w:eastAsia="Calibri" w:cs="Calibri"/>
                <w:b/>
                <w:color w:val="000000"/>
                <w:szCs w:val="24"/>
              </w:rPr>
              <w:t xml:space="preserve"> reunión – Ginebra, </w:t>
            </w:r>
            <w:r>
              <w:rPr>
                <w:rFonts w:eastAsia="Calibri" w:cs="Calibri"/>
                <w:b/>
                <w:color w:val="000000"/>
                <w:szCs w:val="24"/>
              </w:rPr>
              <w:t>13-15 de septiembre</w:t>
            </w:r>
            <w:r w:rsidR="00C26F65" w:rsidRPr="00BE5FBC">
              <w:rPr>
                <w:rFonts w:eastAsia="Calibri" w:cs="Calibri"/>
                <w:b/>
                <w:color w:val="000000"/>
                <w:szCs w:val="24"/>
              </w:rPr>
              <w:t xml:space="preserve"> de 2017</w:t>
            </w:r>
          </w:p>
        </w:tc>
      </w:tr>
      <w:tr w:rsidR="00C26F65" w:rsidRPr="00BE5FBC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C26F65" w:rsidRPr="00BE5FBC" w:rsidRDefault="00C26F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26F65" w:rsidRPr="00BE5FBC" w:rsidRDefault="00C26F6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26F65" w:rsidRPr="00BE5FB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BE5FBC" w:rsidRDefault="00C26F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C26F65" w:rsidRPr="00BE5FBC" w:rsidRDefault="00C26F65" w:rsidP="00B454DB">
            <w:pPr>
              <w:spacing w:before="0"/>
              <w:rPr>
                <w:b/>
                <w:bCs/>
                <w:szCs w:val="24"/>
              </w:rPr>
            </w:pPr>
            <w:r w:rsidRPr="00BE5FBC">
              <w:rPr>
                <w:b/>
              </w:rPr>
              <w:t>Documento EG-ITRs</w:t>
            </w:r>
            <w:r w:rsidR="00B174F9">
              <w:rPr>
                <w:b/>
              </w:rPr>
              <w:t>-</w:t>
            </w:r>
            <w:r w:rsidR="00F869A6">
              <w:rPr>
                <w:b/>
              </w:rPr>
              <w:t>2</w:t>
            </w:r>
            <w:r w:rsidRPr="00BE5FBC">
              <w:rPr>
                <w:b/>
              </w:rPr>
              <w:t>/</w:t>
            </w:r>
            <w:r w:rsidR="00B454DB">
              <w:rPr>
                <w:b/>
              </w:rPr>
              <w:t>7</w:t>
            </w:r>
            <w:r w:rsidRPr="00BE5FBC">
              <w:rPr>
                <w:b/>
              </w:rPr>
              <w:t>-S</w:t>
            </w:r>
          </w:p>
        </w:tc>
      </w:tr>
      <w:tr w:rsidR="00C26F65" w:rsidRPr="00BE5FB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BE5FBC" w:rsidRDefault="00C26F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C26F65" w:rsidRPr="00BE5FBC" w:rsidRDefault="00C26F65" w:rsidP="00B454DB">
            <w:pPr>
              <w:spacing w:before="0"/>
              <w:rPr>
                <w:b/>
                <w:bCs/>
                <w:szCs w:val="24"/>
              </w:rPr>
            </w:pPr>
            <w:r w:rsidRPr="00BE5FBC">
              <w:rPr>
                <w:b/>
                <w:bCs/>
                <w:szCs w:val="24"/>
              </w:rPr>
              <w:t>2</w:t>
            </w:r>
            <w:r w:rsidR="00B454DB">
              <w:rPr>
                <w:b/>
                <w:bCs/>
                <w:szCs w:val="24"/>
              </w:rPr>
              <w:t>5</w:t>
            </w:r>
            <w:r w:rsidRPr="00BE5FBC">
              <w:rPr>
                <w:b/>
                <w:bCs/>
                <w:szCs w:val="24"/>
              </w:rPr>
              <w:t xml:space="preserve"> de </w:t>
            </w:r>
            <w:r w:rsidR="00F869A6">
              <w:rPr>
                <w:b/>
                <w:bCs/>
                <w:szCs w:val="24"/>
              </w:rPr>
              <w:t>agosto</w:t>
            </w:r>
            <w:r w:rsidRPr="00BE5FBC">
              <w:rPr>
                <w:b/>
                <w:bCs/>
                <w:szCs w:val="24"/>
              </w:rPr>
              <w:t xml:space="preserve"> de 2017</w:t>
            </w:r>
          </w:p>
        </w:tc>
      </w:tr>
      <w:tr w:rsidR="00C26F65" w:rsidRPr="00BE5FB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BE5FBC" w:rsidRDefault="00C26F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C26F65" w:rsidRPr="00BE5FBC" w:rsidRDefault="00C26F65" w:rsidP="00C26F65">
            <w:pPr>
              <w:spacing w:before="0"/>
              <w:rPr>
                <w:b/>
                <w:bCs/>
                <w:szCs w:val="24"/>
              </w:rPr>
            </w:pPr>
            <w:r w:rsidRPr="00BE5FBC">
              <w:rPr>
                <w:b/>
                <w:bCs/>
                <w:szCs w:val="24"/>
              </w:rPr>
              <w:t xml:space="preserve">Original: </w:t>
            </w:r>
            <w:r w:rsidR="00B454DB" w:rsidRPr="006B5707">
              <w:rPr>
                <w:b/>
              </w:rPr>
              <w:t>inglés/ruso</w:t>
            </w:r>
          </w:p>
        </w:tc>
      </w:tr>
      <w:tr w:rsidR="00C26F65" w:rsidRPr="00BE5FBC">
        <w:trPr>
          <w:cantSplit/>
        </w:trPr>
        <w:tc>
          <w:tcPr>
            <w:tcW w:w="10173" w:type="dxa"/>
            <w:gridSpan w:val="2"/>
          </w:tcPr>
          <w:p w:rsidR="00C26F65" w:rsidRPr="00BE5FBC" w:rsidRDefault="00B454DB" w:rsidP="00F869A6">
            <w:pPr>
              <w:pStyle w:val="Source"/>
            </w:pPr>
            <w:bookmarkStart w:id="6" w:name="dsource" w:colFirst="0" w:colLast="0"/>
            <w:bookmarkEnd w:id="0"/>
            <w:bookmarkEnd w:id="5"/>
            <w:r w:rsidRPr="00B454DB">
              <w:rPr>
                <w:szCs w:val="28"/>
              </w:rPr>
              <w:t>Contribución de la Federación de Rusia</w:t>
            </w:r>
          </w:p>
        </w:tc>
      </w:tr>
      <w:tr w:rsidR="00C26F65" w:rsidRPr="00BE5FBC">
        <w:trPr>
          <w:cantSplit/>
        </w:trPr>
        <w:tc>
          <w:tcPr>
            <w:tcW w:w="10173" w:type="dxa"/>
            <w:gridSpan w:val="2"/>
          </w:tcPr>
          <w:p w:rsidR="00C26F65" w:rsidRPr="00BE5FBC" w:rsidRDefault="00B454DB" w:rsidP="00BE5FBC">
            <w:pPr>
              <w:pStyle w:val="Title1"/>
            </w:pPr>
            <w:bookmarkStart w:id="7" w:name="dtitle1" w:colFirst="0" w:colLast="0"/>
            <w:bookmarkEnd w:id="6"/>
            <w:r w:rsidRPr="00B454DB">
              <w:t>PROPUESTA SOBRE LA ESTRUCTURA DEL INFORME FINAL DEL GRUPO DE EXPERTOS SOBRE EL REGLAMENTO DE LAS TELECOMUNICACIONES INTERNACIONALES (GE-RTI)</w:t>
            </w:r>
          </w:p>
        </w:tc>
      </w:tr>
    </w:tbl>
    <w:bookmarkEnd w:id="7"/>
    <w:p w:rsidR="004405FF" w:rsidRPr="006B5707" w:rsidRDefault="004405FF" w:rsidP="004405FF">
      <w:pPr>
        <w:pStyle w:val="Headingb"/>
        <w:spacing w:before="600"/>
      </w:pPr>
      <w:r w:rsidRPr="006B5707">
        <w:t>Introducción</w:t>
      </w:r>
    </w:p>
    <w:p w:rsidR="004405FF" w:rsidRPr="006B5707" w:rsidRDefault="004405FF" w:rsidP="004405FF">
      <w:r>
        <w:t xml:space="preserve">La Resolución </w:t>
      </w:r>
      <w:r w:rsidRPr="006B5707">
        <w:t xml:space="preserve">1379 </w:t>
      </w:r>
      <w:r>
        <w:t xml:space="preserve">del Consejo de la UIT </w:t>
      </w:r>
      <w:r w:rsidRPr="006B5707">
        <w:t xml:space="preserve">(2016) </w:t>
      </w:r>
      <w:r>
        <w:t xml:space="preserve">resuelve que </w:t>
      </w:r>
      <w:r w:rsidRPr="006B5707">
        <w:t xml:space="preserve">el Grupo de Expertos sobre el Reglamento de las Telecomunicaciones Internacionales </w:t>
      </w:r>
      <w:r>
        <w:t>(</w:t>
      </w:r>
      <w:r w:rsidRPr="006B5707">
        <w:t>GE-RTI</w:t>
      </w:r>
      <w:r>
        <w:t>)</w:t>
      </w:r>
      <w:r w:rsidRPr="006B5707">
        <w:t xml:space="preserve"> prepare un Informe </w:t>
      </w:r>
      <w:r w:rsidR="00DA722A" w:rsidRPr="006B5707">
        <w:t xml:space="preserve">Final </w:t>
      </w:r>
      <w:r w:rsidRPr="006B5707">
        <w:t xml:space="preserve">para la reunión de 2018 del Consejo para su presentación a la Conferencia de Plenipotenciarios de 2018 con los comentarios del Consejo. </w:t>
      </w:r>
      <w:r>
        <w:t xml:space="preserve">El mandato del GE-RTI comprende, entre otras cosas, asuntos que han de figurar en el </w:t>
      </w:r>
      <w:r w:rsidR="00DA722A">
        <w:t xml:space="preserve">Informe Final </w:t>
      </w:r>
      <w:r>
        <w:t>del Grupo</w:t>
      </w:r>
      <w:r w:rsidRPr="006B5707">
        <w:t>.</w:t>
      </w:r>
    </w:p>
    <w:p w:rsidR="004405FF" w:rsidRPr="006B5707" w:rsidRDefault="004405FF" w:rsidP="00D00B2F">
      <w:pPr>
        <w:rPr>
          <w:rFonts w:cs="Times New Roman Bold"/>
          <w:spacing w:val="-4"/>
        </w:rPr>
      </w:pPr>
      <w:r>
        <w:t xml:space="preserve">En la reunión de </w:t>
      </w:r>
      <w:r w:rsidRPr="006B5707">
        <w:t xml:space="preserve">2017 </w:t>
      </w:r>
      <w:r>
        <w:t>del Consejo de la U</w:t>
      </w:r>
      <w:r w:rsidRPr="006B5707">
        <w:t xml:space="preserve">IT </w:t>
      </w:r>
      <w:r>
        <w:t xml:space="preserve">la Federación de Rusia, en nombre de un grupo de Estados </w:t>
      </w:r>
      <w:r w:rsidRPr="006B5707">
        <w:t>(</w:t>
      </w:r>
      <w:r>
        <w:t xml:space="preserve">República de </w:t>
      </w:r>
      <w:r w:rsidRPr="006B5707">
        <w:t xml:space="preserve">Armenia, </w:t>
      </w:r>
      <w:r>
        <w:t xml:space="preserve">República de </w:t>
      </w:r>
      <w:proofErr w:type="spellStart"/>
      <w:r w:rsidRPr="006B5707">
        <w:t>Belar</w:t>
      </w:r>
      <w:r>
        <w:t>ú</w:t>
      </w:r>
      <w:r w:rsidRPr="006B5707">
        <w:t>s</w:t>
      </w:r>
      <w:proofErr w:type="spellEnd"/>
      <w:r w:rsidRPr="006B5707">
        <w:t xml:space="preserve">, </w:t>
      </w:r>
      <w:r>
        <w:t>República Kirguisa</w:t>
      </w:r>
      <w:r w:rsidRPr="006B5707">
        <w:t xml:space="preserve">, </w:t>
      </w:r>
      <w:r>
        <w:t>Federación de Rusia</w:t>
      </w:r>
      <w:r w:rsidRPr="006B5707">
        <w:t xml:space="preserve">) </w:t>
      </w:r>
      <w:r>
        <w:t xml:space="preserve">presentó una contribución titulada </w:t>
      </w:r>
      <w:r w:rsidRPr="006B5707">
        <w:t xml:space="preserve">"Incrementar la eficiencia de las labores del </w:t>
      </w:r>
      <w:r w:rsidR="00C25181" w:rsidRPr="006B5707">
        <w:t xml:space="preserve">Grupo </w:t>
      </w:r>
      <w:r w:rsidRPr="006B5707">
        <w:t xml:space="preserve">de </w:t>
      </w:r>
      <w:r w:rsidR="00D00B2F" w:rsidRPr="006B5707">
        <w:t xml:space="preserve">Expertos </w:t>
      </w:r>
      <w:r w:rsidRPr="006B5707">
        <w:t>sobre el Reglamento de las Telecomunicaciones Internacionales (GE-RTI</w:t>
      </w:r>
      <w:r w:rsidR="00C25181">
        <w:t>)</w:t>
      </w:r>
      <w:r w:rsidRPr="006B5707">
        <w:t>" (Document</w:t>
      </w:r>
      <w:r>
        <w:t>o</w:t>
      </w:r>
      <w:r w:rsidRPr="006B5707">
        <w:t xml:space="preserve"> EG</w:t>
      </w:r>
      <w:r w:rsidRPr="006B5707">
        <w:rPr>
          <w:rFonts w:cs="Times New Roman Bold"/>
          <w:spacing w:val="-4"/>
        </w:rPr>
        <w:t xml:space="preserve">-ITRs-2/3-E) </w:t>
      </w:r>
      <w:r>
        <w:rPr>
          <w:rFonts w:cs="Times New Roman Bold"/>
          <w:spacing w:val="-4"/>
        </w:rPr>
        <w:t xml:space="preserve">con propuestas sobre el contenido del </w:t>
      </w:r>
      <w:r w:rsidR="00D00B2F">
        <w:rPr>
          <w:rFonts w:cs="Times New Roman Bold"/>
          <w:spacing w:val="-4"/>
        </w:rPr>
        <w:t>Informe Final</w:t>
      </w:r>
      <w:r w:rsidRPr="006B5707">
        <w:rPr>
          <w:rFonts w:cs="Times New Roman Bold"/>
          <w:spacing w:val="-4"/>
        </w:rPr>
        <w:t xml:space="preserve">. </w:t>
      </w:r>
      <w:r>
        <w:rPr>
          <w:rFonts w:cs="Times New Roman Bold"/>
          <w:spacing w:val="-4"/>
        </w:rPr>
        <w:t>Al examinar este asunto</w:t>
      </w:r>
      <w:r w:rsidRPr="006B5707">
        <w:rPr>
          <w:rFonts w:cs="Times New Roman Bold"/>
          <w:spacing w:val="-4"/>
        </w:rPr>
        <w:t xml:space="preserve">, </w:t>
      </w:r>
      <w:r>
        <w:rPr>
          <w:rFonts w:cs="Times New Roman Bold"/>
          <w:spacing w:val="-4"/>
        </w:rPr>
        <w:t xml:space="preserve">el Consejo de la UIT convino en que los miembros del Grupo de Expertos presentaran contribuciones al Grupo sobre la estructura del </w:t>
      </w:r>
      <w:r w:rsidR="00D00B2F">
        <w:rPr>
          <w:rFonts w:cs="Times New Roman Bold"/>
          <w:spacing w:val="-4"/>
        </w:rPr>
        <w:t>Informe Final</w:t>
      </w:r>
      <w:r w:rsidRPr="006B5707">
        <w:rPr>
          <w:rFonts w:cs="Times New Roman Bold"/>
          <w:spacing w:val="-4"/>
        </w:rPr>
        <w:t>.</w:t>
      </w:r>
      <w:bookmarkStart w:id="8" w:name="_GoBack"/>
      <w:bookmarkEnd w:id="8"/>
    </w:p>
    <w:p w:rsidR="004405FF" w:rsidRPr="004405FF" w:rsidRDefault="004405FF" w:rsidP="004405FF">
      <w:pPr>
        <w:pStyle w:val="Headingb"/>
      </w:pPr>
      <w:r>
        <w:t>Propuesta</w:t>
      </w:r>
    </w:p>
    <w:p w:rsidR="004405FF" w:rsidRPr="006B5707" w:rsidRDefault="004405FF" w:rsidP="009C6224">
      <w:r>
        <w:t xml:space="preserve">Tras las deliberaciones sobre la preparación del </w:t>
      </w:r>
      <w:r w:rsidR="00753101">
        <w:t xml:space="preserve">Informe Final </w:t>
      </w:r>
      <w:r>
        <w:t>del GE-RTI</w:t>
      </w:r>
      <w:r w:rsidRPr="006B5707">
        <w:t xml:space="preserve">, </w:t>
      </w:r>
      <w:r>
        <w:t xml:space="preserve">mantenidas en la reunión de </w:t>
      </w:r>
      <w:r w:rsidRPr="006B5707">
        <w:t xml:space="preserve">2017 </w:t>
      </w:r>
      <w:r>
        <w:t xml:space="preserve">del </w:t>
      </w:r>
      <w:r w:rsidRPr="004405FF">
        <w:rPr>
          <w:rFonts w:cs="Times New Roman Bold"/>
          <w:spacing w:val="-4"/>
        </w:rPr>
        <w:t>Consejo</w:t>
      </w:r>
      <w:r>
        <w:t xml:space="preserve"> de la UIT, habida cuenta del mandato del GE-RTI adoptado por el Consejo de la UIT en su Resolución </w:t>
      </w:r>
      <w:r w:rsidRPr="006B5707">
        <w:t>1379</w:t>
      </w:r>
      <w:r>
        <w:t xml:space="preserve"> y con el fin de aumentar la eficiencia de los trabajos del GE-RTI, presentamos la siguiente propuesta de la Federación de Rusia sobre el proyecto de estructura del </w:t>
      </w:r>
      <w:r w:rsidR="00753101">
        <w:t xml:space="preserve">Informe Final </w:t>
      </w:r>
      <w:r>
        <w:t>del GE-RTI</w:t>
      </w:r>
      <w:r w:rsidRPr="006B5707">
        <w:t>.</w:t>
      </w:r>
    </w:p>
    <w:p w:rsidR="004405FF" w:rsidRDefault="004405FF" w:rsidP="004405FF">
      <w:pPr>
        <w:spacing w:before="0"/>
        <w:jc w:val="both"/>
      </w:pPr>
      <w:r>
        <w:br w:type="page"/>
      </w:r>
    </w:p>
    <w:p w:rsidR="004405FF" w:rsidRPr="006B5707" w:rsidRDefault="004405FF" w:rsidP="00FD76C3">
      <w:pPr>
        <w:pStyle w:val="AnnexNo"/>
      </w:pPr>
      <w:r w:rsidRPr="006B5707">
        <w:lastRenderedPageBreak/>
        <w:t>A</w:t>
      </w:r>
      <w:r>
        <w:t>N</w:t>
      </w:r>
      <w:r w:rsidRPr="006B5707">
        <w:t>EX</w:t>
      </w:r>
      <w:r>
        <w:t>O</w:t>
      </w:r>
    </w:p>
    <w:p w:rsidR="004405FF" w:rsidRPr="006B5707" w:rsidRDefault="004405FF" w:rsidP="00FD76C3">
      <w:pPr>
        <w:pStyle w:val="Annextitle"/>
      </w:pPr>
      <w:r>
        <w:t>ESTRUCTURA DEL INFORME FINAL DEL G</w:t>
      </w:r>
      <w:r w:rsidRPr="006B5707">
        <w:t>E-</w:t>
      </w:r>
      <w:r>
        <w:t>RT</w:t>
      </w:r>
      <w:r w:rsidRPr="006B5707">
        <w:t>I</w:t>
      </w:r>
    </w:p>
    <w:p w:rsidR="004405FF" w:rsidRPr="000849A7" w:rsidRDefault="004405FF" w:rsidP="000849A7">
      <w:pPr>
        <w:rPr>
          <w:b/>
          <w:bCs/>
        </w:rPr>
      </w:pPr>
      <w:bookmarkStart w:id="9" w:name="_Toc489351298"/>
      <w:bookmarkStart w:id="10" w:name="_Toc489351512"/>
      <w:bookmarkStart w:id="11" w:name="_Toc489351636"/>
      <w:bookmarkStart w:id="12" w:name="_Toc489351788"/>
      <w:bookmarkStart w:id="13" w:name="_Toc489351937"/>
      <w:r w:rsidRPr="000849A7">
        <w:rPr>
          <w:b/>
          <w:bCs/>
        </w:rPr>
        <w:t>1</w:t>
      </w:r>
      <w:r w:rsidRPr="000849A7">
        <w:rPr>
          <w:b/>
          <w:bCs/>
        </w:rPr>
        <w:tab/>
        <w:t>Introducción</w:t>
      </w:r>
    </w:p>
    <w:p w:rsidR="004405FF" w:rsidRPr="000849A7" w:rsidRDefault="004405FF" w:rsidP="000849A7">
      <w:pPr>
        <w:rPr>
          <w:b/>
          <w:bCs/>
        </w:rPr>
      </w:pPr>
      <w:r w:rsidRPr="000849A7">
        <w:rPr>
          <w:b/>
          <w:bCs/>
        </w:rPr>
        <w:t>2</w:t>
      </w:r>
      <w:bookmarkEnd w:id="9"/>
      <w:bookmarkEnd w:id="10"/>
      <w:bookmarkEnd w:id="11"/>
      <w:bookmarkEnd w:id="12"/>
      <w:bookmarkEnd w:id="13"/>
      <w:r w:rsidRPr="000849A7">
        <w:rPr>
          <w:b/>
          <w:bCs/>
        </w:rPr>
        <w:tab/>
        <w:t xml:space="preserve">Examen futuro del RTI de </w:t>
      </w:r>
      <w:r w:rsidR="000849A7">
        <w:rPr>
          <w:b/>
          <w:bCs/>
        </w:rPr>
        <w:t>2012</w:t>
      </w:r>
    </w:p>
    <w:p w:rsidR="004405FF" w:rsidRPr="006B5707" w:rsidRDefault="004405FF" w:rsidP="000849A7">
      <w:bookmarkStart w:id="14" w:name="_Toc489351299"/>
      <w:bookmarkStart w:id="15" w:name="_Toc489351513"/>
      <w:bookmarkStart w:id="16" w:name="_Toc489351637"/>
      <w:bookmarkStart w:id="17" w:name="_Toc489351789"/>
      <w:bookmarkStart w:id="18" w:name="_Toc489351938"/>
      <w:r w:rsidRPr="006B5707">
        <w:t>2.1</w:t>
      </w:r>
      <w:bookmarkEnd w:id="14"/>
      <w:bookmarkEnd w:id="15"/>
      <w:bookmarkEnd w:id="16"/>
      <w:bookmarkEnd w:id="17"/>
      <w:bookmarkEnd w:id="18"/>
      <w:r w:rsidRPr="006B5707">
        <w:tab/>
      </w:r>
      <w:r>
        <w:t>Incidencia de las nuevas tendencias en las telecomunicaciones</w:t>
      </w:r>
      <w:r w:rsidRPr="006B5707">
        <w:t>/</w:t>
      </w:r>
      <w:r>
        <w:t>T</w:t>
      </w:r>
      <w:r w:rsidRPr="006B5707">
        <w:t xml:space="preserve">IC </w:t>
      </w:r>
      <w:r>
        <w:t xml:space="preserve">en el RTI de </w:t>
      </w:r>
      <w:r w:rsidR="000849A7">
        <w:t>2012</w:t>
      </w:r>
    </w:p>
    <w:p w:rsidR="004405FF" w:rsidRPr="006B5707" w:rsidRDefault="004405FF" w:rsidP="000849A7">
      <w:bookmarkStart w:id="19" w:name="_Toc489351300"/>
      <w:bookmarkStart w:id="20" w:name="_Toc489351514"/>
      <w:bookmarkStart w:id="21" w:name="_Toc489351638"/>
      <w:bookmarkStart w:id="22" w:name="_Toc489351790"/>
      <w:bookmarkStart w:id="23" w:name="_Toc489351939"/>
      <w:r w:rsidRPr="006B5707">
        <w:t>2.2</w:t>
      </w:r>
      <w:bookmarkEnd w:id="19"/>
      <w:bookmarkEnd w:id="20"/>
      <w:bookmarkEnd w:id="21"/>
      <w:bookmarkEnd w:id="22"/>
      <w:bookmarkEnd w:id="23"/>
      <w:r w:rsidRPr="006B5707">
        <w:tab/>
      </w:r>
      <w:r>
        <w:t xml:space="preserve">Disposición del RTI de </w:t>
      </w:r>
      <w:r w:rsidRPr="006B5707">
        <w:t xml:space="preserve">2012 </w:t>
      </w:r>
      <w:r>
        <w:t>que pudiera ser necesario examinar en el futuro</w:t>
      </w:r>
    </w:p>
    <w:p w:rsidR="004405FF" w:rsidRPr="000849A7" w:rsidRDefault="004405FF" w:rsidP="000849A7">
      <w:pPr>
        <w:rPr>
          <w:b/>
          <w:bCs/>
        </w:rPr>
      </w:pPr>
      <w:bookmarkStart w:id="24" w:name="_Toc489351301"/>
      <w:bookmarkStart w:id="25" w:name="_Toc489351515"/>
      <w:bookmarkStart w:id="26" w:name="_Toc489351639"/>
      <w:bookmarkStart w:id="27" w:name="_Toc489351791"/>
      <w:bookmarkStart w:id="28" w:name="_Toc489351940"/>
      <w:r w:rsidRPr="000849A7">
        <w:rPr>
          <w:b/>
          <w:bCs/>
        </w:rPr>
        <w:t>3</w:t>
      </w:r>
      <w:r w:rsidRPr="000849A7">
        <w:rPr>
          <w:b/>
          <w:bCs/>
        </w:rPr>
        <w:tab/>
        <w:t>Aplicabilidad del RTI de 2012</w:t>
      </w:r>
      <w:bookmarkEnd w:id="24"/>
      <w:bookmarkEnd w:id="25"/>
      <w:bookmarkEnd w:id="26"/>
      <w:bookmarkEnd w:id="27"/>
      <w:bookmarkEnd w:id="28"/>
    </w:p>
    <w:p w:rsidR="004405FF" w:rsidRPr="006B5707" w:rsidRDefault="004405FF" w:rsidP="00621C36">
      <w:bookmarkStart w:id="29" w:name="_Toc489351302"/>
      <w:bookmarkStart w:id="30" w:name="_Toc489351516"/>
      <w:bookmarkStart w:id="31" w:name="_Toc489351640"/>
      <w:bookmarkStart w:id="32" w:name="_Toc489351792"/>
      <w:bookmarkStart w:id="33" w:name="_Toc489351941"/>
      <w:r w:rsidRPr="006B5707">
        <w:t>3.1</w:t>
      </w:r>
      <w:bookmarkEnd w:id="29"/>
      <w:bookmarkEnd w:id="30"/>
      <w:bookmarkEnd w:id="31"/>
      <w:bookmarkEnd w:id="32"/>
      <w:bookmarkEnd w:id="33"/>
      <w:r w:rsidRPr="006B5707">
        <w:tab/>
      </w:r>
      <w:r>
        <w:t xml:space="preserve">Análisis jurídico del RTI de </w:t>
      </w:r>
      <w:r w:rsidR="001756C8">
        <w:t>2012</w:t>
      </w:r>
    </w:p>
    <w:p w:rsidR="004405FF" w:rsidRPr="006B5707" w:rsidRDefault="004405FF" w:rsidP="00621C36">
      <w:bookmarkStart w:id="34" w:name="_Toc489351303"/>
      <w:bookmarkStart w:id="35" w:name="_Toc489351517"/>
      <w:bookmarkStart w:id="36" w:name="_Toc489351641"/>
      <w:bookmarkStart w:id="37" w:name="_Toc489351793"/>
      <w:bookmarkStart w:id="38" w:name="_Toc489351942"/>
      <w:r w:rsidRPr="006B5707">
        <w:t>3.2</w:t>
      </w:r>
      <w:bookmarkEnd w:id="34"/>
      <w:bookmarkEnd w:id="35"/>
      <w:bookmarkEnd w:id="36"/>
      <w:bookmarkEnd w:id="37"/>
      <w:bookmarkEnd w:id="38"/>
      <w:r w:rsidRPr="006B5707">
        <w:tab/>
      </w:r>
      <w:r>
        <w:t xml:space="preserve">Aplicabilidad del RTI de </w:t>
      </w:r>
      <w:r w:rsidRPr="006B5707">
        <w:t xml:space="preserve">2012 </w:t>
      </w:r>
      <w:r w:rsidRPr="002F0D67">
        <w:t>en un entorno de las telecomunicaciones internacionales que evoluciona con rapidez</w:t>
      </w:r>
    </w:p>
    <w:p w:rsidR="004405FF" w:rsidRPr="006B5707" w:rsidRDefault="004405FF" w:rsidP="00621C36">
      <w:bookmarkStart w:id="39" w:name="_Toc489351304"/>
      <w:bookmarkStart w:id="40" w:name="_Toc489351518"/>
      <w:bookmarkStart w:id="41" w:name="_Toc489351642"/>
      <w:bookmarkStart w:id="42" w:name="_Toc489351794"/>
      <w:bookmarkStart w:id="43" w:name="_Toc489351943"/>
      <w:r w:rsidRPr="006B5707">
        <w:t>3.3</w:t>
      </w:r>
      <w:bookmarkEnd w:id="39"/>
      <w:bookmarkEnd w:id="40"/>
      <w:bookmarkEnd w:id="41"/>
      <w:bookmarkEnd w:id="42"/>
      <w:bookmarkEnd w:id="43"/>
      <w:r w:rsidRPr="006B5707">
        <w:tab/>
      </w:r>
      <w:r w:rsidRPr="002F0D67">
        <w:t>Estudio de los conflictos potenciales entre las obligaciones de los signatarios del RTI de 2012 y los signatarios del RTI de 1988 en lo que atañe a la aplicación de las disposiciones del RTI de 1988 y del de 2012</w:t>
      </w:r>
    </w:p>
    <w:p w:rsidR="004405FF" w:rsidRPr="000849A7" w:rsidRDefault="000849A7" w:rsidP="000849A7">
      <w:pPr>
        <w:rPr>
          <w:b/>
          <w:bCs/>
        </w:rPr>
      </w:pPr>
      <w:r>
        <w:rPr>
          <w:b/>
          <w:bCs/>
        </w:rPr>
        <w:t>4</w:t>
      </w:r>
      <w:r w:rsidR="004405FF" w:rsidRPr="000849A7">
        <w:rPr>
          <w:b/>
          <w:bCs/>
        </w:rPr>
        <w:tab/>
        <w:t>Aplicabilidad de las Resoluciones de la CMTI-12</w:t>
      </w:r>
    </w:p>
    <w:p w:rsidR="004405FF" w:rsidRPr="006B5707" w:rsidRDefault="004405FF" w:rsidP="00F14068">
      <w:pPr>
        <w:jc w:val="both"/>
      </w:pPr>
      <w:r w:rsidRPr="006B5707">
        <w:t>[4.1</w:t>
      </w:r>
      <w:r w:rsidRPr="006B5707">
        <w:tab/>
      </w:r>
      <w:r>
        <w:t>Análisis de los problemas que pueden surgir al aplicar las Resoluciones de la C</w:t>
      </w:r>
      <w:r w:rsidR="00F14068">
        <w:t>MTI</w:t>
      </w:r>
      <w:r w:rsidRPr="006B5707">
        <w:t>-12]</w:t>
      </w:r>
    </w:p>
    <w:p w:rsidR="004405FF" w:rsidRPr="000849A7" w:rsidRDefault="004405FF" w:rsidP="000849A7">
      <w:pPr>
        <w:rPr>
          <w:b/>
          <w:bCs/>
        </w:rPr>
      </w:pPr>
      <w:bookmarkStart w:id="44" w:name="_Toc489351315"/>
      <w:bookmarkStart w:id="45" w:name="_Toc489351523"/>
      <w:bookmarkStart w:id="46" w:name="_Toc489351646"/>
      <w:bookmarkStart w:id="47" w:name="_Toc489351796"/>
      <w:bookmarkStart w:id="48" w:name="_Toc489351944"/>
      <w:r w:rsidRPr="000849A7">
        <w:rPr>
          <w:b/>
          <w:bCs/>
        </w:rPr>
        <w:t>5</w:t>
      </w:r>
      <w:bookmarkEnd w:id="44"/>
      <w:bookmarkEnd w:id="45"/>
      <w:bookmarkEnd w:id="46"/>
      <w:bookmarkEnd w:id="47"/>
      <w:bookmarkEnd w:id="48"/>
      <w:r w:rsidRPr="000849A7">
        <w:rPr>
          <w:b/>
          <w:bCs/>
        </w:rPr>
        <w:tab/>
        <w:t>Conclusión</w:t>
      </w:r>
    </w:p>
    <w:p w:rsidR="00BE5FBC" w:rsidRDefault="00BE5FBC" w:rsidP="0032202E">
      <w:pPr>
        <w:pStyle w:val="Reasons"/>
      </w:pPr>
    </w:p>
    <w:p w:rsidR="00BE5FBC" w:rsidRPr="00BE5FBC" w:rsidRDefault="00BE5FBC" w:rsidP="00BE5FBC">
      <w:pPr>
        <w:jc w:val="center"/>
      </w:pPr>
      <w:r>
        <w:t>______________</w:t>
      </w:r>
    </w:p>
    <w:sectPr w:rsidR="00BE5FBC" w:rsidRPr="00BE5FBC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4A" w:rsidRDefault="008A674A">
      <w:r>
        <w:separator/>
      </w:r>
    </w:p>
  </w:endnote>
  <w:endnote w:type="continuationSeparator" w:id="0">
    <w:p w:rsidR="008A674A" w:rsidRDefault="008A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1A06A1" w:rsidP="004405FF">
    <w:pPr>
      <w:pStyle w:val="Footer"/>
      <w:rPr>
        <w:lang w:val="en-US"/>
      </w:rPr>
    </w:pPr>
    <w:r>
      <w:fldChar w:fldCharType="begin"/>
    </w:r>
    <w:r w:rsidRPr="00B174F9">
      <w:rPr>
        <w:lang w:val="en-US"/>
      </w:rPr>
      <w:instrText xml:space="preserve"> FILENAME \p  \* MERGEFORMAT </w:instrText>
    </w:r>
    <w:r>
      <w:fldChar w:fldCharType="separate"/>
    </w:r>
    <w:r w:rsidR="0028148D">
      <w:rPr>
        <w:lang w:val="en-US"/>
      </w:rPr>
      <w:t>C:\Users\brouard\Desktop\007S.docx</w:t>
    </w:r>
    <w:r>
      <w:fldChar w:fldCharType="end"/>
    </w:r>
    <w:r w:rsidR="00B174F9">
      <w:t xml:space="preserve"> (</w:t>
    </w:r>
    <w:r w:rsidR="004405FF">
      <w:t>423021</w:t>
    </w:r>
    <w:r w:rsidR="00B174F9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F9" w:rsidRDefault="00B174F9" w:rsidP="00B174F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4A" w:rsidRDefault="008A674A">
      <w:r>
        <w:t>____________________</w:t>
      </w:r>
    </w:p>
  </w:footnote>
  <w:footnote w:type="continuationSeparator" w:id="0">
    <w:p w:rsidR="008A674A" w:rsidRDefault="008A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F65DFF" w:rsidRDefault="000B7C15" w:rsidP="00C70A64">
    <w:pPr>
      <w:pStyle w:val="Header"/>
      <w:rPr>
        <w:sz w:val="16"/>
        <w:szCs w:val="16"/>
      </w:rPr>
    </w:pPr>
    <w:r w:rsidRPr="00F65DFF">
      <w:rPr>
        <w:sz w:val="16"/>
        <w:szCs w:val="16"/>
      </w:rPr>
      <w:fldChar w:fldCharType="begin"/>
    </w:r>
    <w:r w:rsidRPr="00F65DFF">
      <w:rPr>
        <w:sz w:val="16"/>
        <w:szCs w:val="16"/>
      </w:rPr>
      <w:instrText>PAGE</w:instrText>
    </w:r>
    <w:r w:rsidRPr="00F65DFF">
      <w:rPr>
        <w:sz w:val="16"/>
        <w:szCs w:val="16"/>
      </w:rPr>
      <w:fldChar w:fldCharType="separate"/>
    </w:r>
    <w:r w:rsidR="0028148D">
      <w:rPr>
        <w:noProof/>
        <w:sz w:val="16"/>
        <w:szCs w:val="16"/>
      </w:rPr>
      <w:t>2</w:t>
    </w:r>
    <w:r w:rsidRPr="00F65DFF">
      <w:rPr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65"/>
    <w:rsid w:val="000849A7"/>
    <w:rsid w:val="00084FF1"/>
    <w:rsid w:val="000B0D00"/>
    <w:rsid w:val="000B7C15"/>
    <w:rsid w:val="000D08E8"/>
    <w:rsid w:val="000D1D0F"/>
    <w:rsid w:val="000F5290"/>
    <w:rsid w:val="0010165C"/>
    <w:rsid w:val="0014456E"/>
    <w:rsid w:val="00146BFB"/>
    <w:rsid w:val="001756C8"/>
    <w:rsid w:val="001A06A1"/>
    <w:rsid w:val="001D55A9"/>
    <w:rsid w:val="001F14A2"/>
    <w:rsid w:val="0025220D"/>
    <w:rsid w:val="002801AA"/>
    <w:rsid w:val="0028148D"/>
    <w:rsid w:val="002823AF"/>
    <w:rsid w:val="002C4676"/>
    <w:rsid w:val="002C70B0"/>
    <w:rsid w:val="002F3CC4"/>
    <w:rsid w:val="004405FF"/>
    <w:rsid w:val="004D77EE"/>
    <w:rsid w:val="00513630"/>
    <w:rsid w:val="00513C96"/>
    <w:rsid w:val="00550CF3"/>
    <w:rsid w:val="00560125"/>
    <w:rsid w:val="00585553"/>
    <w:rsid w:val="005B34D9"/>
    <w:rsid w:val="005D0CCF"/>
    <w:rsid w:val="005F410F"/>
    <w:rsid w:val="0060149A"/>
    <w:rsid w:val="00601924"/>
    <w:rsid w:val="00621C36"/>
    <w:rsid w:val="0063045B"/>
    <w:rsid w:val="006447EA"/>
    <w:rsid w:val="0064731F"/>
    <w:rsid w:val="006710F6"/>
    <w:rsid w:val="006A01BE"/>
    <w:rsid w:val="006C1B56"/>
    <w:rsid w:val="006D4761"/>
    <w:rsid w:val="00703DED"/>
    <w:rsid w:val="00726872"/>
    <w:rsid w:val="0073462F"/>
    <w:rsid w:val="00753101"/>
    <w:rsid w:val="00760F1C"/>
    <w:rsid w:val="007657F0"/>
    <w:rsid w:val="007C3423"/>
    <w:rsid w:val="007E5DD3"/>
    <w:rsid w:val="007F350B"/>
    <w:rsid w:val="00820BE4"/>
    <w:rsid w:val="008451E8"/>
    <w:rsid w:val="008A674A"/>
    <w:rsid w:val="00913B9C"/>
    <w:rsid w:val="0093171B"/>
    <w:rsid w:val="00956E77"/>
    <w:rsid w:val="009C3500"/>
    <w:rsid w:val="009C6224"/>
    <w:rsid w:val="009D350A"/>
    <w:rsid w:val="00A63114"/>
    <w:rsid w:val="00AA390C"/>
    <w:rsid w:val="00B0200A"/>
    <w:rsid w:val="00B174F9"/>
    <w:rsid w:val="00B454DB"/>
    <w:rsid w:val="00B574DB"/>
    <w:rsid w:val="00B826C2"/>
    <w:rsid w:val="00B8298E"/>
    <w:rsid w:val="00BD0723"/>
    <w:rsid w:val="00BD2518"/>
    <w:rsid w:val="00BE5FBC"/>
    <w:rsid w:val="00BF1D1C"/>
    <w:rsid w:val="00C20C59"/>
    <w:rsid w:val="00C25181"/>
    <w:rsid w:val="00C26F65"/>
    <w:rsid w:val="00C55B1F"/>
    <w:rsid w:val="00C70A64"/>
    <w:rsid w:val="00C758B9"/>
    <w:rsid w:val="00CD32DC"/>
    <w:rsid w:val="00CF1A67"/>
    <w:rsid w:val="00D00B2F"/>
    <w:rsid w:val="00D212A4"/>
    <w:rsid w:val="00D2750E"/>
    <w:rsid w:val="00D62446"/>
    <w:rsid w:val="00DA4EA2"/>
    <w:rsid w:val="00DA722A"/>
    <w:rsid w:val="00DC3D3E"/>
    <w:rsid w:val="00DE2C90"/>
    <w:rsid w:val="00DE3B24"/>
    <w:rsid w:val="00E06947"/>
    <w:rsid w:val="00E3592D"/>
    <w:rsid w:val="00E745BE"/>
    <w:rsid w:val="00E92DE8"/>
    <w:rsid w:val="00EB1212"/>
    <w:rsid w:val="00ED65AB"/>
    <w:rsid w:val="00ED722B"/>
    <w:rsid w:val="00F12850"/>
    <w:rsid w:val="00F14068"/>
    <w:rsid w:val="00F33BF4"/>
    <w:rsid w:val="00F65DFF"/>
    <w:rsid w:val="00F7105E"/>
    <w:rsid w:val="00F75F57"/>
    <w:rsid w:val="00F82FEE"/>
    <w:rsid w:val="00F869A6"/>
    <w:rsid w:val="00FD76C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BBCDED-C2DB-42E9-AC1B-6367E26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C26F6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Normal1">
    <w:name w:val="Normal1"/>
    <w:rsid w:val="00BE5FB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Contribución de la Federación de Rusia</vt:lpstr>
    </vt:vector>
  </TitlesOfParts>
  <Manager>Secretaría General - Pool</Manager>
  <Company>Unión Internacional de Telecomunicaciones (UIT)</Company>
  <LinksUpToDate>false</LinksUpToDate>
  <CharactersWithSpaces>2709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</dc:title>
  <dc:subject>EG-ITRs</dc:subject>
  <dc:creator>Brouard, Ricarda</dc:creator>
  <cp:keywords>EG-ITRs</cp:keywords>
  <dc:description>Documento EG-ITRs 1/9-S  Para: _x000d_Fecha del documento: 24 de enero de 2017_x000d_Registrado por ITU51007781 a 10:26:15 el 01/02/2017</dc:description>
  <cp:lastModifiedBy>Brouard, Ricarda</cp:lastModifiedBy>
  <cp:revision>4</cp:revision>
  <cp:lastPrinted>2017-09-05T14:40:00Z</cp:lastPrinted>
  <dcterms:created xsi:type="dcterms:W3CDTF">2017-09-05T14:39:00Z</dcterms:created>
  <dcterms:modified xsi:type="dcterms:W3CDTF">2017-09-05T14:40:00Z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EG-ITRs 1/9-S</vt:lpwstr>
  </property>
  <property fmtid="{D5CDD505-2E9C-101B-9397-08002B2CF9AE}" pid="3" name="Docdate">
    <vt:lpwstr>24 de 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Grupo de Expertos sobre el Reglamento de las Telecomunicaciones Internacionales (GE-RTI)</vt:lpwstr>
  </property>
  <property fmtid="{D5CDD505-2E9C-101B-9397-08002B2CF9AE}" pid="6" name="Docdest">
    <vt:lpwstr/>
  </property>
  <property fmtid="{D5CDD505-2E9C-101B-9397-08002B2CF9AE}" pid="7" name="Docauthor">
    <vt:lpwstr>República Checa, Dinamarca, Países Bajos, Suecia y Reino Unido</vt:lpwstr>
  </property>
</Properties>
</file>