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6F3D57" w:rsidRPr="0005571D" w:rsidTr="00C823D7">
        <w:trPr>
          <w:cantSplit/>
        </w:trPr>
        <w:tc>
          <w:tcPr>
            <w:tcW w:w="6663" w:type="dxa"/>
          </w:tcPr>
          <w:p w:rsidR="006F3D57" w:rsidRPr="0005571D" w:rsidRDefault="006F3D57" w:rsidP="00124523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</w:t>
            </w:r>
            <w:r w:rsidR="00A16166" w:rsidRPr="0005571D">
              <w:rPr>
                <w:b/>
                <w:bCs/>
                <w:sz w:val="30"/>
                <w:szCs w:val="30"/>
              </w:rPr>
              <w:t xml:space="preserve">roupe d'experts sur le </w:t>
            </w:r>
            <w:r w:rsidR="00067113" w:rsidRPr="0005571D">
              <w:rPr>
                <w:b/>
                <w:bCs/>
                <w:sz w:val="30"/>
                <w:szCs w:val="30"/>
              </w:rPr>
              <w:t>R</w:t>
            </w:r>
            <w:r w:rsidR="00724E8E">
              <w:rPr>
                <w:b/>
                <w:bCs/>
                <w:sz w:val="30"/>
                <w:szCs w:val="30"/>
              </w:rPr>
              <w:t xml:space="preserve">èglement des </w:t>
            </w:r>
            <w:r w:rsidR="00A16166" w:rsidRPr="0005571D">
              <w:rPr>
                <w:b/>
                <w:bCs/>
                <w:sz w:val="30"/>
                <w:szCs w:val="30"/>
              </w:rPr>
              <w:t>télécommunications internationales</w:t>
            </w:r>
            <w:r w:rsidR="00124523">
              <w:rPr>
                <w:b/>
                <w:bCs/>
                <w:sz w:val="30"/>
                <w:szCs w:val="30"/>
              </w:rPr>
              <w:t xml:space="preserve"> (EG-RTI</w:t>
            </w:r>
            <w:r w:rsidR="00724E8E"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10" w:type="dxa"/>
          </w:tcPr>
          <w:p w:rsidR="006F3D57" w:rsidRPr="0005571D" w:rsidRDefault="006F3D57" w:rsidP="006F3D57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6F3D57" w:rsidRPr="00937360" w:rsidRDefault="009F2E26" w:rsidP="00724E8E">
            <w:pPr>
              <w:spacing w:before="160"/>
              <w:rPr>
                <w:b/>
                <w:bCs/>
                <w:szCs w:val="24"/>
              </w:rPr>
            </w:pPr>
            <w:r w:rsidRPr="00937360">
              <w:rPr>
                <w:b/>
                <w:bCs/>
                <w:szCs w:val="24"/>
              </w:rPr>
              <w:t>Deuxième</w:t>
            </w:r>
            <w:r w:rsidR="006F3D57" w:rsidRPr="00937360">
              <w:rPr>
                <w:b/>
                <w:bCs/>
                <w:szCs w:val="24"/>
              </w:rPr>
              <w:t xml:space="preserve"> réunion –</w:t>
            </w:r>
            <w:r w:rsidR="00A16166" w:rsidRPr="00937360">
              <w:rPr>
                <w:b/>
                <w:bCs/>
                <w:szCs w:val="24"/>
              </w:rPr>
              <w:t xml:space="preserve"> </w:t>
            </w:r>
            <w:r w:rsidR="006F3D57" w:rsidRPr="00937360">
              <w:rPr>
                <w:b/>
                <w:bCs/>
                <w:szCs w:val="24"/>
              </w:rPr>
              <w:t xml:space="preserve">Genève, </w:t>
            </w:r>
            <w:r w:rsidRPr="00937360">
              <w:rPr>
                <w:b/>
                <w:bCs/>
                <w:szCs w:val="24"/>
              </w:rPr>
              <w:t>13-15 septembre</w:t>
            </w:r>
            <w:r w:rsidR="006F3D57" w:rsidRPr="00937360">
              <w:rPr>
                <w:b/>
                <w:bCs/>
                <w:szCs w:val="24"/>
              </w:rPr>
              <w:t xml:space="preserve"> 2017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 w:val="restart"/>
          </w:tcPr>
          <w:p w:rsidR="006F3D57" w:rsidRPr="0005571D" w:rsidRDefault="006F3D57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510" w:type="dxa"/>
          </w:tcPr>
          <w:p w:rsidR="006F3D57" w:rsidRPr="0005571D" w:rsidRDefault="006F3D57" w:rsidP="00724E8E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 w:rsidR="00504119">
              <w:rPr>
                <w:rFonts w:eastAsia="Calibri" w:cs="Calibri"/>
                <w:b/>
                <w:color w:val="000000"/>
                <w:szCs w:val="24"/>
              </w:rPr>
              <w:t xml:space="preserve"> EG-ITR</w:t>
            </w:r>
            <w:r w:rsidR="00724E8E">
              <w:rPr>
                <w:rFonts w:eastAsia="Calibri" w:cs="Calibri"/>
                <w:b/>
                <w:color w:val="000000"/>
                <w:szCs w:val="24"/>
              </w:rPr>
              <w:t>s</w:t>
            </w:r>
            <w:r w:rsidR="00504119">
              <w:rPr>
                <w:rFonts w:eastAsia="Calibri" w:cs="Calibri"/>
                <w:b/>
                <w:color w:val="000000"/>
                <w:szCs w:val="24"/>
              </w:rPr>
              <w:t>-</w:t>
            </w:r>
            <w:r w:rsidR="009F2E26">
              <w:rPr>
                <w:rFonts w:eastAsia="Calibri" w:cs="Calibri"/>
                <w:b/>
                <w:color w:val="000000"/>
                <w:szCs w:val="24"/>
              </w:rPr>
              <w:t>2</w:t>
            </w:r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>/</w:t>
            </w:r>
            <w:r w:rsidR="00C07FD2">
              <w:rPr>
                <w:rFonts w:eastAsia="Calibri" w:cs="Calibri"/>
                <w:b/>
                <w:color w:val="000000"/>
                <w:szCs w:val="24"/>
              </w:rPr>
              <w:t>7</w:t>
            </w:r>
            <w:r w:rsidRPr="0005571D">
              <w:rPr>
                <w:b/>
                <w:bCs/>
              </w:rPr>
              <w:t>-F</w:t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10" w:type="dxa"/>
          </w:tcPr>
          <w:p w:rsidR="006F3D57" w:rsidRPr="0005571D" w:rsidRDefault="00C07FD2" w:rsidP="00C823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F2E26">
              <w:rPr>
                <w:b/>
                <w:bCs/>
              </w:rPr>
              <w:t xml:space="preserve"> août</w:t>
            </w:r>
            <w:r w:rsidR="006F3D57" w:rsidRPr="0005571D">
              <w:rPr>
                <w:b/>
                <w:bCs/>
              </w:rPr>
              <w:t xml:space="preserve"> 2017</w:t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6F3D57" w:rsidRPr="0005571D" w:rsidRDefault="006F3D57" w:rsidP="00C823D7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 w:rsidR="00C823D7">
              <w:rPr>
                <w:b/>
                <w:bCs/>
              </w:rPr>
              <w:t>anglais</w:t>
            </w:r>
            <w:r w:rsidR="00C07FD2">
              <w:rPr>
                <w:b/>
                <w:bCs/>
              </w:rPr>
              <w:t>/russe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9F2E26" w:rsidRDefault="007E44CA" w:rsidP="009F2E26">
            <w:pPr>
              <w:pStyle w:val="Source"/>
            </w:pPr>
            <w:bookmarkStart w:id="5" w:name="dsource" w:colFirst="0" w:colLast="0"/>
            <w:bookmarkEnd w:id="4"/>
            <w:r w:rsidRPr="00C433B7">
              <w:t>Contribution de la Fédération de Russie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731997" w:rsidRDefault="007E44CA" w:rsidP="000F6639">
            <w:pPr>
              <w:pStyle w:val="Title1"/>
            </w:pPr>
            <w:bookmarkStart w:id="6" w:name="dtitle1" w:colFirst="0" w:colLast="0"/>
            <w:bookmarkEnd w:id="5"/>
            <w:r>
              <w:rPr>
                <w:lang w:val="fr-CH"/>
              </w:rPr>
              <w:t>propositions relatives a la structure du rapport final du groupe d</w:t>
            </w:r>
            <w:r w:rsidR="00791979">
              <w:rPr>
                <w:lang w:val="fr-CH"/>
              </w:rPr>
              <w:t>'</w:t>
            </w:r>
            <w:r>
              <w:rPr>
                <w:lang w:val="fr-CH"/>
              </w:rPr>
              <w:t>experts sur le r</w:t>
            </w:r>
            <w:r w:rsidR="000F6639">
              <w:rPr>
                <w:lang w:val="fr-CH"/>
              </w:rPr>
              <w:t>è</w:t>
            </w:r>
            <w:r w:rsidR="00C07FD2">
              <w:rPr>
                <w:lang w:val="fr-CH"/>
              </w:rPr>
              <w:t>glement des télé</w:t>
            </w:r>
            <w:r>
              <w:rPr>
                <w:lang w:val="fr-CH"/>
              </w:rPr>
              <w:t>com</w:t>
            </w:r>
            <w:r w:rsidR="00C07FD2">
              <w:rPr>
                <w:lang w:val="fr-CH"/>
              </w:rPr>
              <w:t xml:space="preserve">munications </w:t>
            </w:r>
            <w:r w:rsidR="000F6639">
              <w:rPr>
                <w:lang w:val="fr-CH"/>
              </w:rPr>
              <w:br/>
            </w:r>
            <w:r w:rsidR="00C07FD2">
              <w:rPr>
                <w:lang w:val="fr-CH"/>
              </w:rPr>
              <w:t>internationales (EG</w:t>
            </w:r>
            <w:r w:rsidR="00C07FD2" w:rsidRPr="00C07FD2">
              <w:noBreakHyphen/>
            </w:r>
            <w:r>
              <w:rPr>
                <w:lang w:val="fr-CH"/>
              </w:rPr>
              <w:t>RTI)</w:t>
            </w:r>
          </w:p>
        </w:tc>
      </w:tr>
    </w:tbl>
    <w:p w:rsidR="007E44CA" w:rsidRPr="00095629" w:rsidRDefault="007E44CA" w:rsidP="00937360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rPr>
          <w:lang w:val="fr-CH"/>
        </w:rPr>
      </w:pPr>
      <w:bookmarkStart w:id="7" w:name="lt_pId009"/>
      <w:bookmarkStart w:id="8" w:name="lt_pId012"/>
      <w:bookmarkEnd w:id="6"/>
      <w:r w:rsidRPr="00095629">
        <w:rPr>
          <w:lang w:val="fr-CH"/>
        </w:rPr>
        <w:t>Introduction</w:t>
      </w:r>
      <w:bookmarkEnd w:id="7"/>
    </w:p>
    <w:p w:rsidR="007E44CA" w:rsidRPr="00F73EEF" w:rsidRDefault="007E44CA" w:rsidP="009373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F73EEF">
        <w:rPr>
          <w:lang w:val="fr-CH"/>
        </w:rPr>
        <w:t>Dans sa Résolution 1379 (2016), le Conseil de l</w:t>
      </w:r>
      <w:r w:rsidR="00791979">
        <w:rPr>
          <w:lang w:val="fr-CH"/>
        </w:rPr>
        <w:t>'</w:t>
      </w:r>
      <w:r w:rsidRPr="00F73EEF">
        <w:rPr>
          <w:lang w:val="fr-CH"/>
        </w:rPr>
        <w:t xml:space="preserve">UIT </w:t>
      </w:r>
      <w:r w:rsidR="00871903">
        <w:rPr>
          <w:lang w:val="fr-CH"/>
        </w:rPr>
        <w:t>a décidé</w:t>
      </w:r>
      <w:r>
        <w:rPr>
          <w:lang w:val="fr-CH"/>
        </w:rPr>
        <w:t xml:space="preserve"> </w:t>
      </w:r>
      <w:r w:rsidR="00871903">
        <w:rPr>
          <w:lang w:val="fr-CH"/>
        </w:rPr>
        <w:t>que le G</w:t>
      </w:r>
      <w:r w:rsidRPr="00F73EEF">
        <w:rPr>
          <w:lang w:val="fr-CH"/>
        </w:rPr>
        <w:t xml:space="preserve">roupe </w:t>
      </w:r>
      <w:r>
        <w:rPr>
          <w:lang w:val="fr-CH"/>
        </w:rPr>
        <w:t>d</w:t>
      </w:r>
      <w:r w:rsidR="00791979">
        <w:rPr>
          <w:lang w:val="fr-CH"/>
        </w:rPr>
        <w:t>'</w:t>
      </w:r>
      <w:r>
        <w:rPr>
          <w:lang w:val="fr-CH"/>
        </w:rPr>
        <w:t>experts sur le Règlement des télécommunications internationales (</w:t>
      </w:r>
      <w:r w:rsidRPr="00F73EEF">
        <w:rPr>
          <w:lang w:val="fr-CH"/>
        </w:rPr>
        <w:t>EG-RTI</w:t>
      </w:r>
      <w:r>
        <w:rPr>
          <w:lang w:val="fr-CH"/>
        </w:rPr>
        <w:t>)</w:t>
      </w:r>
      <w:r w:rsidRPr="00F73EEF">
        <w:rPr>
          <w:lang w:val="fr-CH"/>
        </w:rPr>
        <w:t xml:space="preserve"> </w:t>
      </w:r>
      <w:r>
        <w:rPr>
          <w:lang w:val="fr-CH"/>
        </w:rPr>
        <w:t>présentera</w:t>
      </w:r>
      <w:r w:rsidR="00871903">
        <w:rPr>
          <w:lang w:val="fr-CH"/>
        </w:rPr>
        <w:t>it</w:t>
      </w:r>
      <w:r>
        <w:rPr>
          <w:lang w:val="fr-CH"/>
        </w:rPr>
        <w:t xml:space="preserve"> </w:t>
      </w:r>
      <w:r w:rsidRPr="00F73EEF">
        <w:rPr>
          <w:lang w:val="fr-CH"/>
        </w:rPr>
        <w:t>un rapport final au Conseil à sa session de 2018, afin que celui-ci le soumette à la Conférence de plénipotentiaires de 2018, assorti de ses observations.</w:t>
      </w:r>
      <w:r>
        <w:rPr>
          <w:lang w:val="fr-CH"/>
        </w:rPr>
        <w:t xml:space="preserve"> </w:t>
      </w:r>
      <w:bookmarkStart w:id="9" w:name="lt_pId011"/>
      <w:r>
        <w:rPr>
          <w:lang w:val="fr-CH"/>
        </w:rPr>
        <w:t xml:space="preserve">Le </w:t>
      </w:r>
      <w:r w:rsidR="00871903">
        <w:rPr>
          <w:lang w:val="fr-CH"/>
        </w:rPr>
        <w:t>mandat du G</w:t>
      </w:r>
      <w:r w:rsidRPr="00F73EEF">
        <w:rPr>
          <w:lang w:val="fr-CH"/>
        </w:rPr>
        <w:t>roupe EG-</w:t>
      </w:r>
      <w:r>
        <w:rPr>
          <w:lang w:val="fr-CH"/>
        </w:rPr>
        <w:t xml:space="preserve">RTI </w:t>
      </w:r>
      <w:r w:rsidR="00871903">
        <w:rPr>
          <w:lang w:val="fr-CH"/>
        </w:rPr>
        <w:t>recense</w:t>
      </w:r>
      <w:r>
        <w:rPr>
          <w:lang w:val="fr-CH"/>
        </w:rPr>
        <w:t xml:space="preserve"> notamment l</w:t>
      </w:r>
      <w:r w:rsidRPr="00F73EEF">
        <w:rPr>
          <w:lang w:val="fr-CH"/>
        </w:rPr>
        <w:t xml:space="preserve">es questions devant figurer dans le rapport final du groupe. </w:t>
      </w:r>
      <w:bookmarkEnd w:id="9"/>
    </w:p>
    <w:p w:rsidR="007E44CA" w:rsidRPr="00D14A3C" w:rsidRDefault="007E44CA" w:rsidP="009373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cs="Times New Roman Bold"/>
          <w:spacing w:val="-4"/>
          <w:lang w:val="fr-CH"/>
        </w:rPr>
      </w:pPr>
      <w:r w:rsidRPr="003B3DDB">
        <w:rPr>
          <w:lang w:val="fr-CH"/>
        </w:rPr>
        <w:t>A la session de 2017 du Conseil de l</w:t>
      </w:r>
      <w:r w:rsidR="00791979">
        <w:rPr>
          <w:lang w:val="fr-CH"/>
        </w:rPr>
        <w:t>'</w:t>
      </w:r>
      <w:r w:rsidRPr="003B3DDB">
        <w:rPr>
          <w:lang w:val="fr-CH"/>
        </w:rPr>
        <w:t>UIT, la Fédération de Russie</w:t>
      </w:r>
      <w:r>
        <w:rPr>
          <w:lang w:val="fr-CH"/>
        </w:rPr>
        <w:t xml:space="preserve"> a soumis</w:t>
      </w:r>
      <w:r w:rsidRPr="003B3DDB">
        <w:rPr>
          <w:lang w:val="fr-CH"/>
        </w:rPr>
        <w:t>, au nom d</w:t>
      </w:r>
      <w:r w:rsidR="00871903">
        <w:rPr>
          <w:lang w:val="fr-CH"/>
        </w:rPr>
        <w:t>'un</w:t>
      </w:r>
      <w:r w:rsidRPr="003B3DDB">
        <w:rPr>
          <w:lang w:val="fr-CH"/>
        </w:rPr>
        <w:t xml:space="preserve"> groupe d</w:t>
      </w:r>
      <w:r w:rsidR="00871903">
        <w:rPr>
          <w:lang w:val="fr-CH"/>
        </w:rPr>
        <w:t>'</w:t>
      </w:r>
      <w:r w:rsidRPr="003B3DDB">
        <w:rPr>
          <w:lang w:val="fr-CH"/>
        </w:rPr>
        <w:t>Etats (République d</w:t>
      </w:r>
      <w:r w:rsidR="00791979">
        <w:rPr>
          <w:lang w:val="fr-CH"/>
        </w:rPr>
        <w:t>'</w:t>
      </w:r>
      <w:r w:rsidRPr="003B3DDB">
        <w:rPr>
          <w:lang w:val="fr-CH"/>
        </w:rPr>
        <w:t xml:space="preserve">Arménie, </w:t>
      </w:r>
      <w:r>
        <w:rPr>
          <w:lang w:val="fr-CH"/>
        </w:rPr>
        <w:t>République de Bélarus</w:t>
      </w:r>
      <w:r w:rsidRPr="003B3DDB">
        <w:rPr>
          <w:lang w:val="fr-CH"/>
        </w:rPr>
        <w:t xml:space="preserve">, </w:t>
      </w:r>
      <w:r>
        <w:rPr>
          <w:lang w:val="fr-CH"/>
        </w:rPr>
        <w:t>République Kirghize et</w:t>
      </w:r>
      <w:r w:rsidRPr="003B3DDB">
        <w:rPr>
          <w:lang w:val="fr-CH"/>
        </w:rPr>
        <w:t xml:space="preserve"> </w:t>
      </w:r>
      <w:r>
        <w:rPr>
          <w:lang w:val="fr-CH"/>
        </w:rPr>
        <w:t>Fédération de Russie</w:t>
      </w:r>
      <w:r w:rsidRPr="003B3DDB">
        <w:rPr>
          <w:lang w:val="fr-CH"/>
        </w:rPr>
        <w:t>)</w:t>
      </w:r>
      <w:r>
        <w:rPr>
          <w:lang w:val="fr-CH"/>
        </w:rPr>
        <w:t>,</w:t>
      </w:r>
      <w:r w:rsidRPr="003B3DDB">
        <w:rPr>
          <w:lang w:val="fr-CH"/>
        </w:rPr>
        <w:t xml:space="preserve"> </w:t>
      </w:r>
      <w:r>
        <w:rPr>
          <w:lang w:val="fr-CH"/>
        </w:rPr>
        <w:t>une contribution intitulée</w:t>
      </w:r>
      <w:r w:rsidRPr="003B3DDB">
        <w:rPr>
          <w:lang w:val="fr-CH"/>
        </w:rPr>
        <w:t xml:space="preserve"> "</w:t>
      </w:r>
      <w:r>
        <w:rPr>
          <w:lang w:val="fr-CH"/>
        </w:rPr>
        <w:t>Renforcer l</w:t>
      </w:r>
      <w:r w:rsidR="00791979">
        <w:rPr>
          <w:lang w:val="fr-CH"/>
        </w:rPr>
        <w:t>'</w:t>
      </w:r>
      <w:r>
        <w:rPr>
          <w:lang w:val="fr-CH"/>
        </w:rPr>
        <w:t>efficacité des travaux du groupe d</w:t>
      </w:r>
      <w:r w:rsidR="00791979">
        <w:rPr>
          <w:lang w:val="fr-CH"/>
        </w:rPr>
        <w:t>'</w:t>
      </w:r>
      <w:r>
        <w:rPr>
          <w:lang w:val="fr-CH"/>
        </w:rPr>
        <w:t>experts sur le Règlement des télécommunicat</w:t>
      </w:r>
      <w:bookmarkStart w:id="10" w:name="_GoBack"/>
      <w:bookmarkEnd w:id="10"/>
      <w:r>
        <w:rPr>
          <w:lang w:val="fr-CH"/>
        </w:rPr>
        <w:t>ions internationales (EG-RTI)</w:t>
      </w:r>
      <w:r w:rsidRPr="003B3DDB">
        <w:rPr>
          <w:lang w:val="fr-CH"/>
        </w:rPr>
        <w:t>" (Document EG</w:t>
      </w:r>
      <w:r w:rsidRPr="008729EC">
        <w:rPr>
          <w:rFonts w:cs="Times New Roman Bold"/>
          <w:spacing w:val="-4"/>
          <w:lang w:val="de-CH"/>
        </w:rPr>
        <w:t>-ITRs-2/3-</w:t>
      </w:r>
      <w:r>
        <w:rPr>
          <w:rFonts w:cs="Times New Roman Bold"/>
          <w:spacing w:val="-4"/>
          <w:lang w:val="de-CH"/>
        </w:rPr>
        <w:t>F</w:t>
      </w:r>
      <w:r>
        <w:rPr>
          <w:rFonts w:cs="Times New Roman Bold"/>
          <w:spacing w:val="-4"/>
          <w:lang w:val="fr-CH"/>
        </w:rPr>
        <w:t xml:space="preserve">), </w:t>
      </w:r>
      <w:r w:rsidR="00871903">
        <w:rPr>
          <w:rFonts w:cs="Times New Roman Bold"/>
          <w:spacing w:val="-4"/>
          <w:lang w:val="fr-CH"/>
        </w:rPr>
        <w:t>assortie d'une</w:t>
      </w:r>
      <w:r>
        <w:rPr>
          <w:rFonts w:cs="Times New Roman Bold"/>
          <w:spacing w:val="-4"/>
          <w:lang w:val="fr-CH"/>
        </w:rPr>
        <w:t xml:space="preserve"> proposition relative </w:t>
      </w:r>
      <w:r w:rsidR="00871903">
        <w:rPr>
          <w:rFonts w:cs="Times New Roman Bold"/>
          <w:spacing w:val="-4"/>
          <w:lang w:val="fr-CH"/>
        </w:rPr>
        <w:t>au contenu</w:t>
      </w:r>
      <w:r>
        <w:rPr>
          <w:rFonts w:cs="Times New Roman Bold"/>
          <w:spacing w:val="-4"/>
          <w:lang w:val="fr-CH"/>
        </w:rPr>
        <w:t xml:space="preserve"> du </w:t>
      </w:r>
      <w:r w:rsidR="00871903">
        <w:rPr>
          <w:rFonts w:cs="Times New Roman Bold"/>
          <w:spacing w:val="-4"/>
          <w:lang w:val="fr-CH"/>
        </w:rPr>
        <w:t>R</w:t>
      </w:r>
      <w:r>
        <w:rPr>
          <w:rFonts w:cs="Times New Roman Bold"/>
          <w:spacing w:val="-4"/>
          <w:lang w:val="fr-CH"/>
        </w:rPr>
        <w:t>apport final du groupe EG-RTI</w:t>
      </w:r>
      <w:r w:rsidRPr="003B3DDB">
        <w:rPr>
          <w:rFonts w:cs="Times New Roman Bold"/>
          <w:spacing w:val="-4"/>
          <w:lang w:val="fr-CH"/>
        </w:rPr>
        <w:t>.</w:t>
      </w:r>
      <w:bookmarkEnd w:id="8"/>
      <w:r w:rsidRPr="003B3DDB">
        <w:rPr>
          <w:rFonts w:cs="Times New Roman Bold"/>
          <w:spacing w:val="-4"/>
          <w:lang w:val="fr-CH"/>
        </w:rPr>
        <w:t xml:space="preserve"> </w:t>
      </w:r>
      <w:bookmarkStart w:id="11" w:name="lt_pId013"/>
      <w:r>
        <w:rPr>
          <w:rFonts w:cs="Times New Roman Bold"/>
          <w:spacing w:val="-4"/>
          <w:lang w:val="fr-CH"/>
        </w:rPr>
        <w:t>Lors des discussions sur ce point</w:t>
      </w:r>
      <w:r w:rsidR="00871903">
        <w:rPr>
          <w:rFonts w:cs="Times New Roman Bold"/>
          <w:spacing w:val="-4"/>
          <w:lang w:val="fr-CH"/>
        </w:rPr>
        <w:t>, le Conseil de l</w:t>
      </w:r>
      <w:r w:rsidR="00791979">
        <w:rPr>
          <w:rFonts w:cs="Times New Roman Bold"/>
          <w:spacing w:val="-4"/>
          <w:lang w:val="fr-CH"/>
        </w:rPr>
        <w:t>'</w:t>
      </w:r>
      <w:r w:rsidR="00871903">
        <w:rPr>
          <w:rFonts w:cs="Times New Roman Bold"/>
          <w:spacing w:val="-4"/>
          <w:lang w:val="fr-CH"/>
        </w:rPr>
        <w:t>UIT a convenu que les membres du G</w:t>
      </w:r>
      <w:r>
        <w:rPr>
          <w:rFonts w:cs="Times New Roman Bold"/>
          <w:spacing w:val="-4"/>
          <w:lang w:val="fr-CH"/>
        </w:rPr>
        <w:t>roupe d</w:t>
      </w:r>
      <w:r w:rsidR="00791979">
        <w:rPr>
          <w:rFonts w:cs="Times New Roman Bold"/>
          <w:spacing w:val="-4"/>
          <w:lang w:val="fr-CH"/>
        </w:rPr>
        <w:t>'</w:t>
      </w:r>
      <w:r>
        <w:rPr>
          <w:rFonts w:cs="Times New Roman Bold"/>
          <w:spacing w:val="-4"/>
          <w:lang w:val="fr-CH"/>
        </w:rPr>
        <w:t>experts soumettraient au groupe leurs contributions</w:t>
      </w:r>
      <w:r w:rsidRPr="00D14A3C">
        <w:rPr>
          <w:rFonts w:cs="Times New Roman Bold"/>
          <w:spacing w:val="-4"/>
          <w:lang w:val="fr-CH"/>
        </w:rPr>
        <w:t xml:space="preserve"> </w:t>
      </w:r>
      <w:r>
        <w:rPr>
          <w:rFonts w:cs="Times New Roman Bold"/>
          <w:spacing w:val="-4"/>
          <w:lang w:val="fr-CH"/>
        </w:rPr>
        <w:t xml:space="preserve">concernant la structure </w:t>
      </w:r>
      <w:r w:rsidR="00871903">
        <w:rPr>
          <w:rFonts w:cs="Times New Roman Bold"/>
          <w:spacing w:val="-4"/>
          <w:lang w:val="fr-CH"/>
        </w:rPr>
        <w:t xml:space="preserve">du </w:t>
      </w:r>
      <w:r w:rsidR="00A82B86">
        <w:rPr>
          <w:rFonts w:cs="Times New Roman Bold"/>
          <w:spacing w:val="-4"/>
          <w:lang w:val="fr-CH"/>
        </w:rPr>
        <w:t>r</w:t>
      </w:r>
      <w:r>
        <w:rPr>
          <w:rFonts w:cs="Times New Roman Bold"/>
          <w:spacing w:val="-4"/>
          <w:lang w:val="fr-CH"/>
        </w:rPr>
        <w:t>apport final.</w:t>
      </w:r>
      <w:bookmarkEnd w:id="11"/>
    </w:p>
    <w:p w:rsidR="007E44CA" w:rsidRPr="00095629" w:rsidRDefault="007E44CA" w:rsidP="00937360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rPr>
          <w:lang w:val="fr-CH"/>
        </w:rPr>
      </w:pPr>
      <w:bookmarkStart w:id="12" w:name="lt_pId014"/>
      <w:r w:rsidRPr="00095629">
        <w:rPr>
          <w:lang w:val="fr-CH"/>
        </w:rPr>
        <w:t>Propos</w:t>
      </w:r>
      <w:bookmarkEnd w:id="12"/>
      <w:r w:rsidRPr="00095629">
        <w:rPr>
          <w:lang w:val="fr-CH"/>
        </w:rPr>
        <w:t>itions</w:t>
      </w:r>
    </w:p>
    <w:p w:rsidR="007E44CA" w:rsidRPr="004B4B42" w:rsidRDefault="007E44CA" w:rsidP="009373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bookmarkStart w:id="13" w:name="lt_pId015"/>
      <w:r w:rsidRPr="004B4B42">
        <w:rPr>
          <w:lang w:val="fr-CH"/>
        </w:rPr>
        <w:t xml:space="preserve">A la suite des discussions </w:t>
      </w:r>
      <w:r>
        <w:rPr>
          <w:lang w:val="fr-CH"/>
        </w:rPr>
        <w:t>portant sur l</w:t>
      </w:r>
      <w:r w:rsidR="00791979">
        <w:rPr>
          <w:lang w:val="fr-CH"/>
        </w:rPr>
        <w:t>'</w:t>
      </w:r>
      <w:r>
        <w:rPr>
          <w:lang w:val="fr-CH"/>
        </w:rPr>
        <w:t>élaboration</w:t>
      </w:r>
      <w:r w:rsidRPr="004B4B42">
        <w:rPr>
          <w:lang w:val="fr-CH"/>
        </w:rPr>
        <w:t xml:space="preserve"> du </w:t>
      </w:r>
      <w:r w:rsidR="00871903">
        <w:rPr>
          <w:lang w:val="fr-CH"/>
        </w:rPr>
        <w:t>R</w:t>
      </w:r>
      <w:r w:rsidRPr="004B4B42">
        <w:rPr>
          <w:lang w:val="fr-CH"/>
        </w:rPr>
        <w:t xml:space="preserve">apport final du </w:t>
      </w:r>
      <w:r w:rsidR="00871903">
        <w:rPr>
          <w:lang w:val="fr-CH"/>
        </w:rPr>
        <w:t>G</w:t>
      </w:r>
      <w:r w:rsidRPr="004B4B42">
        <w:rPr>
          <w:lang w:val="fr-CH"/>
        </w:rPr>
        <w:t>roupe EG-RTI, qui se sont tenues à la session de 2017 du Conseil de l</w:t>
      </w:r>
      <w:r w:rsidR="00791979">
        <w:rPr>
          <w:lang w:val="fr-CH"/>
        </w:rPr>
        <w:t>'</w:t>
      </w:r>
      <w:r w:rsidRPr="004B4B42">
        <w:rPr>
          <w:lang w:val="fr-CH"/>
        </w:rPr>
        <w:t xml:space="preserve">UIT, sur la base du mandat du </w:t>
      </w:r>
      <w:r w:rsidR="00871903">
        <w:rPr>
          <w:lang w:val="fr-CH"/>
        </w:rPr>
        <w:t>G</w:t>
      </w:r>
      <w:r w:rsidRPr="004B4B42">
        <w:rPr>
          <w:lang w:val="fr-CH"/>
        </w:rPr>
        <w:t xml:space="preserve">roupe EG-RTI </w:t>
      </w:r>
      <w:r>
        <w:rPr>
          <w:lang w:val="fr-CH"/>
        </w:rPr>
        <w:t>adopté par le Conseil de l</w:t>
      </w:r>
      <w:r w:rsidR="00791979">
        <w:rPr>
          <w:lang w:val="fr-CH"/>
        </w:rPr>
        <w:t>'</w:t>
      </w:r>
      <w:r>
        <w:rPr>
          <w:lang w:val="fr-CH"/>
        </w:rPr>
        <w:t xml:space="preserve">UIT </w:t>
      </w:r>
      <w:r w:rsidR="00871903">
        <w:rPr>
          <w:lang w:val="fr-CH"/>
        </w:rPr>
        <w:t>dans</w:t>
      </w:r>
      <w:r>
        <w:rPr>
          <w:lang w:val="fr-CH"/>
        </w:rPr>
        <w:t xml:space="preserve"> sa </w:t>
      </w:r>
      <w:r w:rsidR="00871903">
        <w:rPr>
          <w:lang w:val="fr-CH"/>
        </w:rPr>
        <w:t>R</w:t>
      </w:r>
      <w:r>
        <w:rPr>
          <w:lang w:val="fr-CH"/>
        </w:rPr>
        <w:t>ésolution 1379 et dans le but de renforcer l</w:t>
      </w:r>
      <w:r w:rsidR="00791979">
        <w:rPr>
          <w:lang w:val="fr-CH"/>
        </w:rPr>
        <w:t>'</w:t>
      </w:r>
      <w:r>
        <w:rPr>
          <w:lang w:val="fr-CH"/>
        </w:rPr>
        <w:t xml:space="preserve">efficacité des travaux du </w:t>
      </w:r>
      <w:r w:rsidR="00871903">
        <w:rPr>
          <w:lang w:val="fr-CH"/>
        </w:rPr>
        <w:t>G</w:t>
      </w:r>
      <w:r>
        <w:rPr>
          <w:lang w:val="fr-CH"/>
        </w:rPr>
        <w:t xml:space="preserve">roupe EG-RTI, nous soumettons </w:t>
      </w:r>
      <w:r w:rsidR="00871903">
        <w:rPr>
          <w:lang w:val="fr-CH"/>
        </w:rPr>
        <w:t>l</w:t>
      </w:r>
      <w:r>
        <w:rPr>
          <w:lang w:val="fr-CH"/>
        </w:rPr>
        <w:t>es propositions de la Fédération de Russie relatives au</w:t>
      </w:r>
      <w:r w:rsidR="00871903">
        <w:rPr>
          <w:lang w:val="fr-CH"/>
        </w:rPr>
        <w:t xml:space="preserve"> projet de structure du R</w:t>
      </w:r>
      <w:r>
        <w:rPr>
          <w:lang w:val="fr-CH"/>
        </w:rPr>
        <w:t xml:space="preserve">apport final du </w:t>
      </w:r>
      <w:r w:rsidR="00871903">
        <w:rPr>
          <w:lang w:val="fr-CH"/>
        </w:rPr>
        <w:t>G</w:t>
      </w:r>
      <w:r>
        <w:rPr>
          <w:lang w:val="fr-CH"/>
        </w:rPr>
        <w:t>roupe EG-RTI.</w:t>
      </w:r>
      <w:bookmarkEnd w:id="13"/>
    </w:p>
    <w:p w:rsidR="00504119" w:rsidRPr="00504119" w:rsidRDefault="007E44CA" w:rsidP="007E44CA">
      <w:pPr>
        <w:spacing w:before="600" w:line="720" w:lineRule="auto"/>
        <w:rPr>
          <w:lang w:val="fr-CH"/>
        </w:rPr>
      </w:pPr>
      <w:r w:rsidRPr="004B4B42">
        <w:rPr>
          <w:lang w:val="fr-CH"/>
        </w:rPr>
        <w:br w:type="page"/>
      </w:r>
    </w:p>
    <w:p w:rsidR="007E44CA" w:rsidRPr="00CF554C" w:rsidRDefault="007E44CA" w:rsidP="00CF554C">
      <w:pPr>
        <w:pStyle w:val="AnnexNo"/>
        <w:rPr>
          <w:lang w:val="fr-CH"/>
        </w:rPr>
      </w:pPr>
      <w:bookmarkStart w:id="14" w:name="lt_pId016"/>
      <w:r w:rsidRPr="00CF554C">
        <w:rPr>
          <w:lang w:val="fr-CH"/>
        </w:rPr>
        <w:lastRenderedPageBreak/>
        <w:t>ANNEX</w:t>
      </w:r>
      <w:bookmarkEnd w:id="14"/>
      <w:r w:rsidRPr="00CF554C">
        <w:rPr>
          <w:lang w:val="fr-CH"/>
        </w:rPr>
        <w:t>E</w:t>
      </w:r>
    </w:p>
    <w:p w:rsidR="007E44CA" w:rsidRDefault="007E44CA" w:rsidP="00937360">
      <w:pPr>
        <w:pStyle w:val="Annextitle"/>
        <w:spacing w:before="480"/>
      </w:pPr>
      <w:bookmarkStart w:id="15" w:name="lt_pId017"/>
      <w:r w:rsidRPr="00CF554C">
        <w:t xml:space="preserve">STRUCTURE </w:t>
      </w:r>
      <w:bookmarkEnd w:id="15"/>
      <w:r w:rsidRPr="00CF554C">
        <w:t>DU RAPPORT FINAL DU GROUPE EG-RTI</w:t>
      </w:r>
    </w:p>
    <w:p w:rsidR="007E44CA" w:rsidRPr="00095629" w:rsidRDefault="007E44CA" w:rsidP="00CF554C">
      <w:pPr>
        <w:pStyle w:val="Headingb"/>
        <w:rPr>
          <w:lang w:val="fr-CH"/>
        </w:rPr>
      </w:pPr>
      <w:bookmarkStart w:id="16" w:name="_Toc489351298"/>
      <w:bookmarkStart w:id="17" w:name="_Toc489351512"/>
      <w:bookmarkStart w:id="18" w:name="_Toc489351636"/>
      <w:bookmarkStart w:id="19" w:name="_Toc489351788"/>
      <w:bookmarkStart w:id="20" w:name="_Toc489351937"/>
      <w:r w:rsidRPr="00095629">
        <w:rPr>
          <w:lang w:val="fr-CH"/>
        </w:rPr>
        <w:t>1</w:t>
      </w:r>
      <w:r w:rsidRPr="00095629">
        <w:rPr>
          <w:lang w:val="fr-CH"/>
        </w:rPr>
        <w:tab/>
      </w:r>
      <w:bookmarkStart w:id="21" w:name="lt_pId019"/>
      <w:r w:rsidRPr="00095629">
        <w:rPr>
          <w:lang w:val="fr-CH"/>
        </w:rPr>
        <w:t>Introduction</w:t>
      </w:r>
      <w:bookmarkEnd w:id="21"/>
    </w:p>
    <w:p w:rsidR="007E44CA" w:rsidRPr="00FE2364" w:rsidRDefault="007E44CA" w:rsidP="00CF554C">
      <w:pPr>
        <w:pStyle w:val="Headingb"/>
        <w:rPr>
          <w:lang w:val="fr-CH"/>
        </w:rPr>
      </w:pPr>
      <w:r w:rsidRPr="00FE2364">
        <w:rPr>
          <w:lang w:val="fr-CH"/>
        </w:rPr>
        <w:t>2</w:t>
      </w:r>
      <w:bookmarkEnd w:id="16"/>
      <w:bookmarkEnd w:id="17"/>
      <w:bookmarkEnd w:id="18"/>
      <w:bookmarkEnd w:id="19"/>
      <w:bookmarkEnd w:id="20"/>
      <w:r w:rsidRPr="00FE2364">
        <w:rPr>
          <w:lang w:val="fr-CH"/>
        </w:rPr>
        <w:tab/>
      </w:r>
      <w:bookmarkStart w:id="22" w:name="lt_pId021"/>
      <w:r>
        <w:rPr>
          <w:lang w:val="fr-CH"/>
        </w:rPr>
        <w:t>Futur examen</w:t>
      </w:r>
      <w:r w:rsidR="00871903">
        <w:rPr>
          <w:lang w:val="fr-CH"/>
        </w:rPr>
        <w:t xml:space="preserve"> du RTI</w:t>
      </w:r>
      <w:r>
        <w:rPr>
          <w:lang w:val="fr-CH"/>
        </w:rPr>
        <w:t xml:space="preserve"> de</w:t>
      </w:r>
      <w:r w:rsidRPr="00FE2364">
        <w:rPr>
          <w:lang w:val="fr-CH"/>
        </w:rPr>
        <w:t xml:space="preserve"> 2012</w:t>
      </w:r>
      <w:bookmarkEnd w:id="22"/>
    </w:p>
    <w:p w:rsidR="007E44CA" w:rsidRPr="00C07FD2" w:rsidRDefault="007E44CA" w:rsidP="00CF554C">
      <w:pPr>
        <w:ind w:left="567" w:hanging="567"/>
        <w:rPr>
          <w:b/>
          <w:lang w:val="fr-CH"/>
        </w:rPr>
      </w:pPr>
      <w:bookmarkStart w:id="23" w:name="_Toc489351299"/>
      <w:bookmarkStart w:id="24" w:name="_Toc489351513"/>
      <w:bookmarkStart w:id="25" w:name="_Toc489351637"/>
      <w:bookmarkStart w:id="26" w:name="_Toc489351789"/>
      <w:bookmarkStart w:id="27" w:name="_Toc489351938"/>
      <w:r w:rsidRPr="00C07FD2">
        <w:rPr>
          <w:lang w:val="fr-CH"/>
        </w:rPr>
        <w:t>2.1</w:t>
      </w:r>
      <w:bookmarkEnd w:id="23"/>
      <w:bookmarkEnd w:id="24"/>
      <w:bookmarkEnd w:id="25"/>
      <w:bookmarkEnd w:id="26"/>
      <w:bookmarkEnd w:id="27"/>
      <w:r w:rsidRPr="00C07FD2">
        <w:rPr>
          <w:lang w:val="fr-CH"/>
        </w:rPr>
        <w:tab/>
      </w:r>
      <w:bookmarkStart w:id="28" w:name="lt_pId023"/>
      <w:r w:rsidRPr="00C07FD2">
        <w:rPr>
          <w:lang w:val="fr-CH"/>
        </w:rPr>
        <w:t xml:space="preserve">Incidences des nouvelles tendances observées dans les télécommunications/TIC </w:t>
      </w:r>
      <w:r w:rsidR="008A6B15">
        <w:rPr>
          <w:lang w:val="fr-CH"/>
        </w:rPr>
        <w:t>sur le </w:t>
      </w:r>
      <w:r w:rsidR="00871903" w:rsidRPr="00C07FD2">
        <w:rPr>
          <w:lang w:val="fr-CH"/>
        </w:rPr>
        <w:t>RTI</w:t>
      </w:r>
      <w:r w:rsidR="000F6639">
        <w:rPr>
          <w:lang w:val="fr-CH"/>
        </w:rPr>
        <w:t> </w:t>
      </w:r>
      <w:r w:rsidRPr="00C07FD2">
        <w:rPr>
          <w:lang w:val="fr-CH"/>
        </w:rPr>
        <w:t>de 2012</w:t>
      </w:r>
      <w:bookmarkEnd w:id="28"/>
      <w:r w:rsidR="005C754A">
        <w:rPr>
          <w:lang w:val="fr-CH"/>
        </w:rPr>
        <w:t>.</w:t>
      </w:r>
    </w:p>
    <w:p w:rsidR="007E44CA" w:rsidRPr="00C07FD2" w:rsidRDefault="007E44CA" w:rsidP="00CF554C">
      <w:pPr>
        <w:ind w:left="567" w:hanging="567"/>
        <w:rPr>
          <w:b/>
          <w:lang w:val="fr-CH"/>
        </w:rPr>
      </w:pPr>
      <w:bookmarkStart w:id="29" w:name="_Toc489351300"/>
      <w:bookmarkStart w:id="30" w:name="_Toc489351514"/>
      <w:bookmarkStart w:id="31" w:name="_Toc489351638"/>
      <w:bookmarkStart w:id="32" w:name="_Toc489351790"/>
      <w:bookmarkStart w:id="33" w:name="_Toc489351939"/>
      <w:r w:rsidRPr="00C07FD2">
        <w:rPr>
          <w:lang w:val="fr-CH"/>
        </w:rPr>
        <w:t>2.2</w:t>
      </w:r>
      <w:bookmarkEnd w:id="29"/>
      <w:bookmarkEnd w:id="30"/>
      <w:bookmarkEnd w:id="31"/>
      <w:bookmarkEnd w:id="32"/>
      <w:bookmarkEnd w:id="33"/>
      <w:r w:rsidRPr="00C07FD2">
        <w:rPr>
          <w:lang w:val="fr-CH"/>
        </w:rPr>
        <w:tab/>
      </w:r>
      <w:bookmarkStart w:id="34" w:name="lt_pId025"/>
      <w:r w:rsidR="000F6639">
        <w:rPr>
          <w:lang w:val="fr-CH"/>
        </w:rPr>
        <w:t xml:space="preserve">Dispositions </w:t>
      </w:r>
      <w:r w:rsidR="00871903" w:rsidRPr="00C07FD2">
        <w:rPr>
          <w:lang w:val="fr-CH"/>
        </w:rPr>
        <w:t xml:space="preserve">du RTI </w:t>
      </w:r>
      <w:r w:rsidRPr="00C07FD2">
        <w:rPr>
          <w:lang w:val="fr-CH"/>
        </w:rPr>
        <w:t xml:space="preserve">de 2012 susceptibles de nécessiter un </w:t>
      </w:r>
      <w:bookmarkEnd w:id="34"/>
      <w:r w:rsidRPr="00C07FD2">
        <w:rPr>
          <w:lang w:val="fr-CH"/>
        </w:rPr>
        <w:t>examen futur</w:t>
      </w:r>
      <w:r w:rsidR="005C754A">
        <w:rPr>
          <w:lang w:val="fr-CH"/>
        </w:rPr>
        <w:t>.</w:t>
      </w:r>
    </w:p>
    <w:p w:rsidR="007E44CA" w:rsidRPr="00B70159" w:rsidRDefault="007E44CA" w:rsidP="00CF554C">
      <w:pPr>
        <w:pStyle w:val="Headingb"/>
        <w:rPr>
          <w:lang w:val="fr-CH"/>
        </w:rPr>
      </w:pPr>
      <w:bookmarkStart w:id="35" w:name="_Toc489351301"/>
      <w:bookmarkStart w:id="36" w:name="_Toc489351515"/>
      <w:bookmarkStart w:id="37" w:name="_Toc489351639"/>
      <w:bookmarkStart w:id="38" w:name="_Toc489351791"/>
      <w:bookmarkStart w:id="39" w:name="_Toc489351940"/>
      <w:r w:rsidRPr="00B70159">
        <w:rPr>
          <w:lang w:val="fr-CH"/>
        </w:rPr>
        <w:t>3</w:t>
      </w:r>
      <w:r w:rsidRPr="00B70159">
        <w:rPr>
          <w:lang w:val="fr-CH"/>
        </w:rPr>
        <w:tab/>
      </w:r>
      <w:bookmarkEnd w:id="35"/>
      <w:bookmarkEnd w:id="36"/>
      <w:bookmarkEnd w:id="37"/>
      <w:bookmarkEnd w:id="38"/>
      <w:bookmarkEnd w:id="39"/>
      <w:r w:rsidRPr="00B70159">
        <w:rPr>
          <w:lang w:val="fr-CH"/>
        </w:rPr>
        <w:t>Applicabilité du RTI de 2012</w:t>
      </w:r>
    </w:p>
    <w:p w:rsidR="007E44CA" w:rsidRPr="00C07FD2" w:rsidRDefault="007E44CA" w:rsidP="00CF554C">
      <w:pPr>
        <w:ind w:left="567" w:hanging="567"/>
        <w:rPr>
          <w:b/>
          <w:lang w:val="fr-CH"/>
        </w:rPr>
      </w:pPr>
      <w:bookmarkStart w:id="40" w:name="_Toc489351302"/>
      <w:bookmarkStart w:id="41" w:name="_Toc489351516"/>
      <w:bookmarkStart w:id="42" w:name="_Toc489351640"/>
      <w:bookmarkStart w:id="43" w:name="_Toc489351792"/>
      <w:bookmarkStart w:id="44" w:name="_Toc489351941"/>
      <w:r w:rsidRPr="00C07FD2">
        <w:rPr>
          <w:lang w:val="fr-CH"/>
        </w:rPr>
        <w:t>3.1</w:t>
      </w:r>
      <w:bookmarkEnd w:id="40"/>
      <w:bookmarkEnd w:id="41"/>
      <w:bookmarkEnd w:id="42"/>
      <w:bookmarkEnd w:id="43"/>
      <w:bookmarkEnd w:id="44"/>
      <w:r w:rsidRPr="00C07FD2">
        <w:rPr>
          <w:lang w:val="fr-CH"/>
        </w:rPr>
        <w:tab/>
        <w:t>Analyse juridique du RTI de 2012</w:t>
      </w:r>
      <w:r w:rsidR="005C754A">
        <w:rPr>
          <w:lang w:val="fr-CH"/>
        </w:rPr>
        <w:t>.</w:t>
      </w:r>
    </w:p>
    <w:p w:rsidR="007E44CA" w:rsidRPr="008A6B15" w:rsidRDefault="007E44CA" w:rsidP="008A6B15">
      <w:pPr>
        <w:ind w:left="567" w:hanging="567"/>
      </w:pPr>
      <w:bookmarkStart w:id="45" w:name="_Toc489351303"/>
      <w:bookmarkStart w:id="46" w:name="_Toc489351517"/>
      <w:bookmarkStart w:id="47" w:name="_Toc489351641"/>
      <w:bookmarkStart w:id="48" w:name="_Toc489351793"/>
      <w:bookmarkStart w:id="49" w:name="_Toc489351942"/>
      <w:r w:rsidRPr="00C07FD2">
        <w:rPr>
          <w:lang w:val="fr-CH"/>
        </w:rPr>
        <w:t>3.2</w:t>
      </w:r>
      <w:bookmarkEnd w:id="45"/>
      <w:bookmarkEnd w:id="46"/>
      <w:bookmarkEnd w:id="47"/>
      <w:bookmarkEnd w:id="48"/>
      <w:bookmarkEnd w:id="49"/>
      <w:r w:rsidRPr="00C07FD2">
        <w:rPr>
          <w:lang w:val="fr-CH"/>
        </w:rPr>
        <w:tab/>
      </w:r>
      <w:r w:rsidRPr="00C07FD2">
        <w:t>Applicabilité du RTI de 2012 dans un environnement des télécommunications internationales en évolution rapide</w:t>
      </w:r>
      <w:bookmarkStart w:id="50" w:name="_Toc489351304"/>
      <w:bookmarkStart w:id="51" w:name="_Toc489351518"/>
      <w:bookmarkStart w:id="52" w:name="_Toc489351642"/>
      <w:bookmarkStart w:id="53" w:name="_Toc489351794"/>
      <w:bookmarkStart w:id="54" w:name="_Toc489351943"/>
      <w:r w:rsidR="005C754A">
        <w:t>.</w:t>
      </w:r>
    </w:p>
    <w:p w:rsidR="007E44CA" w:rsidRPr="002F0B62" w:rsidRDefault="007E44CA" w:rsidP="00CF554C">
      <w:pPr>
        <w:ind w:left="567" w:hanging="567"/>
        <w:rPr>
          <w:lang w:val="fr-CH"/>
        </w:rPr>
      </w:pPr>
      <w:r w:rsidRPr="00C07FD2">
        <w:rPr>
          <w:lang w:val="fr-CH"/>
        </w:rPr>
        <w:t>3.3</w:t>
      </w:r>
      <w:bookmarkEnd w:id="50"/>
      <w:bookmarkEnd w:id="51"/>
      <w:bookmarkEnd w:id="52"/>
      <w:bookmarkEnd w:id="53"/>
      <w:bookmarkEnd w:id="54"/>
      <w:r w:rsidRPr="00C07FD2">
        <w:rPr>
          <w:lang w:val="fr-CH"/>
        </w:rPr>
        <w:tab/>
      </w:r>
      <w:r w:rsidRPr="00C07FD2">
        <w:t xml:space="preserve">Analyse des risques d'incompatibilité entre les obligations des signataires du RTI de 2012 et celles des signataires du RTI de 1988, s'agissant de la mise en </w:t>
      </w:r>
      <w:proofErr w:type="spellStart"/>
      <w:r w:rsidRPr="00C07FD2">
        <w:t>oeuvre</w:t>
      </w:r>
      <w:proofErr w:type="spellEnd"/>
      <w:r w:rsidRPr="00C07FD2">
        <w:t xml:space="preserve"> des dispositions du RTI de 1988 et </w:t>
      </w:r>
      <w:r w:rsidR="00871903" w:rsidRPr="00C07FD2">
        <w:t>du RTI</w:t>
      </w:r>
      <w:r w:rsidRPr="00C07FD2">
        <w:t xml:space="preserve"> de 2012</w:t>
      </w:r>
      <w:r w:rsidR="005C754A">
        <w:t>.</w:t>
      </w:r>
    </w:p>
    <w:p w:rsidR="007E44CA" w:rsidRPr="00761B43" w:rsidRDefault="00CF554C" w:rsidP="00CF554C">
      <w:pPr>
        <w:pStyle w:val="Headingb"/>
        <w:rPr>
          <w:lang w:val="fr-CH"/>
        </w:rPr>
      </w:pPr>
      <w:r>
        <w:rPr>
          <w:lang w:val="fr-CH"/>
        </w:rPr>
        <w:t>4</w:t>
      </w:r>
      <w:r w:rsidR="007E44CA" w:rsidRPr="00761B43">
        <w:rPr>
          <w:lang w:val="fr-CH"/>
        </w:rPr>
        <w:tab/>
        <w:t xml:space="preserve">Applicabilité des </w:t>
      </w:r>
      <w:r w:rsidR="00871903">
        <w:rPr>
          <w:lang w:val="fr-CH"/>
        </w:rPr>
        <w:t>R</w:t>
      </w:r>
      <w:r w:rsidR="007E44CA" w:rsidRPr="00761B43">
        <w:rPr>
          <w:lang w:val="fr-CH"/>
        </w:rPr>
        <w:t>ésolutions</w:t>
      </w:r>
      <w:r w:rsidR="007E44CA">
        <w:rPr>
          <w:lang w:val="fr-CH"/>
        </w:rPr>
        <w:t xml:space="preserve"> de la CMTI</w:t>
      </w:r>
      <w:r w:rsidR="007E44CA" w:rsidRPr="00761B43">
        <w:rPr>
          <w:lang w:val="fr-CH"/>
        </w:rPr>
        <w:t>-12</w:t>
      </w:r>
    </w:p>
    <w:p w:rsidR="007E44CA" w:rsidRPr="00CF554C" w:rsidRDefault="007E44CA" w:rsidP="00CF554C">
      <w:pPr>
        <w:ind w:left="567" w:hanging="567"/>
        <w:rPr>
          <w:lang w:val="fr-CH"/>
        </w:rPr>
      </w:pPr>
      <w:r w:rsidRPr="00C07FD2">
        <w:rPr>
          <w:lang w:val="fr-CH"/>
        </w:rPr>
        <w:t>[4.1</w:t>
      </w:r>
      <w:r w:rsidRPr="00C07FD2">
        <w:rPr>
          <w:lang w:val="fr-CH"/>
        </w:rPr>
        <w:tab/>
      </w:r>
      <w:bookmarkStart w:id="55" w:name="lt_pId037"/>
      <w:r w:rsidRPr="00C07FD2">
        <w:rPr>
          <w:lang w:val="fr-CH"/>
        </w:rPr>
        <w:t>Analyse des problèmes qui pourraient déc</w:t>
      </w:r>
      <w:r w:rsidR="00871903" w:rsidRPr="00C07FD2">
        <w:rPr>
          <w:lang w:val="fr-CH"/>
        </w:rPr>
        <w:t xml:space="preserve">ouler de la mise en oeuvre </w:t>
      </w:r>
      <w:r w:rsidR="00871903" w:rsidRPr="00CF554C">
        <w:rPr>
          <w:lang w:val="fr-CH"/>
        </w:rPr>
        <w:t>des R</w:t>
      </w:r>
      <w:r w:rsidR="00CF554C" w:rsidRPr="00CF554C">
        <w:rPr>
          <w:lang w:val="fr-CH"/>
        </w:rPr>
        <w:t>ésolutions de la </w:t>
      </w:r>
      <w:r w:rsidRPr="00CF554C">
        <w:rPr>
          <w:lang w:val="fr-CH"/>
        </w:rPr>
        <w:t>CMTI-12</w:t>
      </w:r>
      <w:r w:rsidR="005C754A">
        <w:rPr>
          <w:lang w:val="fr-CH"/>
        </w:rPr>
        <w:t>.</w:t>
      </w:r>
      <w:r w:rsidRPr="00CF554C">
        <w:rPr>
          <w:lang w:val="fr-CH"/>
        </w:rPr>
        <w:t>]</w:t>
      </w:r>
      <w:bookmarkEnd w:id="55"/>
    </w:p>
    <w:p w:rsidR="007E44CA" w:rsidRDefault="007E44CA" w:rsidP="00CF554C">
      <w:pPr>
        <w:pStyle w:val="Headingb"/>
        <w:rPr>
          <w:lang w:val="fr-CH"/>
        </w:rPr>
      </w:pPr>
      <w:bookmarkStart w:id="56" w:name="_Toc489351315"/>
      <w:bookmarkStart w:id="57" w:name="_Toc489351523"/>
      <w:bookmarkStart w:id="58" w:name="_Toc489351646"/>
      <w:bookmarkStart w:id="59" w:name="_Toc489351796"/>
      <w:bookmarkStart w:id="60" w:name="_Toc489351944"/>
      <w:r w:rsidRPr="007E44CA">
        <w:t>5</w:t>
      </w:r>
      <w:bookmarkEnd w:id="56"/>
      <w:bookmarkEnd w:id="57"/>
      <w:bookmarkEnd w:id="58"/>
      <w:bookmarkEnd w:id="59"/>
      <w:bookmarkEnd w:id="60"/>
      <w:r w:rsidRPr="007E44CA">
        <w:tab/>
      </w:r>
      <w:bookmarkStart w:id="61" w:name="lt_pId039"/>
      <w:r w:rsidRPr="00CF554C">
        <w:rPr>
          <w:lang w:val="fr-CH"/>
        </w:rPr>
        <w:t>Conclusion</w:t>
      </w:r>
      <w:bookmarkEnd w:id="61"/>
    </w:p>
    <w:p w:rsidR="00F863C5" w:rsidRDefault="00F863C5" w:rsidP="00937360">
      <w:pPr>
        <w:spacing w:before="840"/>
        <w:jc w:val="center"/>
      </w:pPr>
      <w:r>
        <w:t>______________</w:t>
      </w:r>
    </w:p>
    <w:sectPr w:rsidR="00F863C5" w:rsidSect="00937360">
      <w:headerReference w:type="even" r:id="rId8"/>
      <w:headerReference w:type="default" r:id="rId9"/>
      <w:footerReference w:type="even" r:id="rId10"/>
      <w:pgSz w:w="11907" w:h="16840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0F" w:rsidRDefault="00E17C0F">
      <w:r>
        <w:separator/>
      </w:r>
    </w:p>
  </w:endnote>
  <w:endnote w:type="continuationSeparator" w:id="0">
    <w:p w:rsidR="00E17C0F" w:rsidRDefault="00E1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93736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038DB">
      <w:t>P:\FRA\SG\CONSEIL\EG-ITR\EG-ITR-2\000\007F.docx</w:t>
    </w:r>
    <w:r>
      <w:fldChar w:fldCharType="end"/>
    </w:r>
    <w:r w:rsidR="00E17C0F">
      <w:tab/>
    </w:r>
    <w:r w:rsidR="00E17C0F">
      <w:fldChar w:fldCharType="begin"/>
    </w:r>
    <w:r w:rsidR="00E17C0F">
      <w:instrText xml:space="preserve"> savedate \@ dd.MM.yy </w:instrText>
    </w:r>
    <w:r w:rsidR="00E17C0F">
      <w:fldChar w:fldCharType="separate"/>
    </w:r>
    <w:r>
      <w:t>04.09.17</w:t>
    </w:r>
    <w:r w:rsidR="00E17C0F">
      <w:fldChar w:fldCharType="end"/>
    </w:r>
    <w:r w:rsidR="00E17C0F">
      <w:tab/>
    </w:r>
    <w:r w:rsidR="00E17C0F">
      <w:fldChar w:fldCharType="begin"/>
    </w:r>
    <w:r w:rsidR="00E17C0F">
      <w:instrText xml:space="preserve"> printdate \@ dd.MM.yy </w:instrText>
    </w:r>
    <w:r w:rsidR="00E17C0F">
      <w:fldChar w:fldCharType="separate"/>
    </w:r>
    <w:r w:rsidR="00C038DB">
      <w:t>04.09.17</w:t>
    </w:r>
    <w:r w:rsidR="00E17C0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0F" w:rsidRDefault="00E17C0F">
      <w:r>
        <w:t>____________________</w:t>
      </w:r>
    </w:p>
  </w:footnote>
  <w:footnote w:type="continuationSeparator" w:id="0">
    <w:p w:rsidR="00E17C0F" w:rsidRDefault="00E1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E17C0F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E17C0F" w:rsidRDefault="00E17C0F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E17C0F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373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05571D"/>
    <w:rsid w:val="00067113"/>
    <w:rsid w:val="000A5A2F"/>
    <w:rsid w:val="000D0D0A"/>
    <w:rsid w:val="000F6639"/>
    <w:rsid w:val="00103163"/>
    <w:rsid w:val="00115D93"/>
    <w:rsid w:val="00124523"/>
    <w:rsid w:val="001247A8"/>
    <w:rsid w:val="001378C0"/>
    <w:rsid w:val="00144281"/>
    <w:rsid w:val="00171D64"/>
    <w:rsid w:val="0018693B"/>
    <w:rsid w:val="0018694A"/>
    <w:rsid w:val="001A3287"/>
    <w:rsid w:val="001D4C30"/>
    <w:rsid w:val="001D4C31"/>
    <w:rsid w:val="001E4D21"/>
    <w:rsid w:val="00207CD1"/>
    <w:rsid w:val="00211EEE"/>
    <w:rsid w:val="002477A2"/>
    <w:rsid w:val="00263A51"/>
    <w:rsid w:val="00267E02"/>
    <w:rsid w:val="002A29A6"/>
    <w:rsid w:val="002A5D44"/>
    <w:rsid w:val="002E0BC4"/>
    <w:rsid w:val="002F1B76"/>
    <w:rsid w:val="0030486F"/>
    <w:rsid w:val="0034201C"/>
    <w:rsid w:val="00355FF5"/>
    <w:rsid w:val="00361350"/>
    <w:rsid w:val="003C438E"/>
    <w:rsid w:val="004038CB"/>
    <w:rsid w:val="0040546F"/>
    <w:rsid w:val="00407467"/>
    <w:rsid w:val="0042404A"/>
    <w:rsid w:val="0044618F"/>
    <w:rsid w:val="00457B99"/>
    <w:rsid w:val="0046769A"/>
    <w:rsid w:val="00475FB3"/>
    <w:rsid w:val="004C37A9"/>
    <w:rsid w:val="004D3905"/>
    <w:rsid w:val="004F259E"/>
    <w:rsid w:val="00504119"/>
    <w:rsid w:val="00511F1D"/>
    <w:rsid w:val="00533518"/>
    <w:rsid w:val="00540615"/>
    <w:rsid w:val="00540A6D"/>
    <w:rsid w:val="00571EEA"/>
    <w:rsid w:val="005741E9"/>
    <w:rsid w:val="00575417"/>
    <w:rsid w:val="005768E1"/>
    <w:rsid w:val="005C3890"/>
    <w:rsid w:val="005C754A"/>
    <w:rsid w:val="005F7BFE"/>
    <w:rsid w:val="00600017"/>
    <w:rsid w:val="006235CA"/>
    <w:rsid w:val="006643AB"/>
    <w:rsid w:val="006A423E"/>
    <w:rsid w:val="006F3D57"/>
    <w:rsid w:val="006F4FEA"/>
    <w:rsid w:val="007210CD"/>
    <w:rsid w:val="00724E8E"/>
    <w:rsid w:val="007305DB"/>
    <w:rsid w:val="00731997"/>
    <w:rsid w:val="00732045"/>
    <w:rsid w:val="00733458"/>
    <w:rsid w:val="007369DB"/>
    <w:rsid w:val="00742183"/>
    <w:rsid w:val="00791979"/>
    <w:rsid w:val="007956C2"/>
    <w:rsid w:val="007A187E"/>
    <w:rsid w:val="007C72C2"/>
    <w:rsid w:val="007D4436"/>
    <w:rsid w:val="007E44CA"/>
    <w:rsid w:val="007F257A"/>
    <w:rsid w:val="007F3665"/>
    <w:rsid w:val="00800037"/>
    <w:rsid w:val="00861D73"/>
    <w:rsid w:val="00871903"/>
    <w:rsid w:val="008740D5"/>
    <w:rsid w:val="0088780C"/>
    <w:rsid w:val="008A4E87"/>
    <w:rsid w:val="008A6B15"/>
    <w:rsid w:val="008D596C"/>
    <w:rsid w:val="008D76E6"/>
    <w:rsid w:val="0092392D"/>
    <w:rsid w:val="0093234A"/>
    <w:rsid w:val="00937360"/>
    <w:rsid w:val="00954C62"/>
    <w:rsid w:val="00961315"/>
    <w:rsid w:val="00996DED"/>
    <w:rsid w:val="009A1F22"/>
    <w:rsid w:val="009A2476"/>
    <w:rsid w:val="009C307F"/>
    <w:rsid w:val="009E5CAD"/>
    <w:rsid w:val="009F2E26"/>
    <w:rsid w:val="00A00D7A"/>
    <w:rsid w:val="00A16166"/>
    <w:rsid w:val="00A2113E"/>
    <w:rsid w:val="00A23A51"/>
    <w:rsid w:val="00A24607"/>
    <w:rsid w:val="00A25CD3"/>
    <w:rsid w:val="00A82767"/>
    <w:rsid w:val="00A82B86"/>
    <w:rsid w:val="00AA332F"/>
    <w:rsid w:val="00AA7BBB"/>
    <w:rsid w:val="00AB64A8"/>
    <w:rsid w:val="00AC0266"/>
    <w:rsid w:val="00AD24EC"/>
    <w:rsid w:val="00B309F9"/>
    <w:rsid w:val="00B32B60"/>
    <w:rsid w:val="00B42C0A"/>
    <w:rsid w:val="00B61619"/>
    <w:rsid w:val="00B70965"/>
    <w:rsid w:val="00B846DF"/>
    <w:rsid w:val="00BB4545"/>
    <w:rsid w:val="00BD23FD"/>
    <w:rsid w:val="00BD43EC"/>
    <w:rsid w:val="00BD5873"/>
    <w:rsid w:val="00C038DB"/>
    <w:rsid w:val="00C04BE3"/>
    <w:rsid w:val="00C07FD2"/>
    <w:rsid w:val="00C10823"/>
    <w:rsid w:val="00C25D29"/>
    <w:rsid w:val="00C27A7C"/>
    <w:rsid w:val="00C810F9"/>
    <w:rsid w:val="00C823D7"/>
    <w:rsid w:val="00CA08ED"/>
    <w:rsid w:val="00CD7E99"/>
    <w:rsid w:val="00CE0E7F"/>
    <w:rsid w:val="00CF183B"/>
    <w:rsid w:val="00CF554C"/>
    <w:rsid w:val="00D26B19"/>
    <w:rsid w:val="00D375CD"/>
    <w:rsid w:val="00D553A2"/>
    <w:rsid w:val="00D774D3"/>
    <w:rsid w:val="00D8293D"/>
    <w:rsid w:val="00D904E8"/>
    <w:rsid w:val="00DA08C3"/>
    <w:rsid w:val="00DB5A3E"/>
    <w:rsid w:val="00DC22AA"/>
    <w:rsid w:val="00DF74DD"/>
    <w:rsid w:val="00E17C0F"/>
    <w:rsid w:val="00E25AD0"/>
    <w:rsid w:val="00EB6350"/>
    <w:rsid w:val="00F04D8D"/>
    <w:rsid w:val="00F15B57"/>
    <w:rsid w:val="00F427DB"/>
    <w:rsid w:val="00F50CE4"/>
    <w:rsid w:val="00F739A6"/>
    <w:rsid w:val="00F863C5"/>
    <w:rsid w:val="00FA5EB1"/>
    <w:rsid w:val="00FA7439"/>
    <w:rsid w:val="00FC4EC0"/>
    <w:rsid w:val="00FE51D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D5342A8-F7D3-449F-B655-33EEC57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F3D5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0F9"/>
    <w:rPr>
      <w:rFonts w:ascii="Calibri" w:hAnsi="Calibri"/>
      <w:sz w:val="24"/>
      <w:lang w:val="fr-FR" w:eastAsia="en-US"/>
    </w:rPr>
  </w:style>
  <w:style w:type="paragraph" w:customStyle="1" w:styleId="j">
    <w:name w:val="j"/>
    <w:basedOn w:val="Heading2"/>
    <w:rsid w:val="00F739A6"/>
  </w:style>
  <w:style w:type="paragraph" w:customStyle="1" w:styleId="AnnexNotitle">
    <w:name w:val="Annex_No &amp; title"/>
    <w:basedOn w:val="Normal"/>
    <w:next w:val="Normal"/>
    <w:rsid w:val="007E44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80"/>
      <w:jc w:val="center"/>
      <w:textAlignment w:val="auto"/>
    </w:pPr>
    <w:rPr>
      <w:rFonts w:ascii="Arial" w:eastAsia="SimSun" w:hAnsi="Arial"/>
      <w:b/>
      <w:sz w:val="28"/>
      <w:szCs w:val="24"/>
      <w:lang w:val="en-US" w:eastAsia="zh-CN"/>
    </w:rPr>
  </w:style>
  <w:style w:type="paragraph" w:customStyle="1" w:styleId="Normal1">
    <w:name w:val="Normal1"/>
    <w:rsid w:val="007E44C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713D-A82B-4624-8320-0A6F0004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1</TotalTime>
  <Pages>2</Pages>
  <Words>419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GROUPE D'EXPERTS SUR LE RÈGLEMENT DES TÉLÉCOMMUNICATIONS INTERNATIONALES (EG-RTI)</vt:lpstr>
    </vt:vector>
  </TitlesOfParts>
  <Manager>Secrétariat général - Pool</Manager>
  <Company>Fédération de Russie</Company>
  <LinksUpToDate>false</LinksUpToDate>
  <CharactersWithSpaces>2772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Propositions relatives à la structure du rapport final du Groupe d'experts sur le RTI</dc:title>
  <dc:subject>EG-ITRs</dc:subject>
  <dc:creator>Brouard, Ricarda</dc:creator>
  <cp:keywords>EG-ITRs</cp:keywords>
  <dc:description/>
  <cp:lastModifiedBy>Brouard, Ricarda</cp:lastModifiedBy>
  <cp:revision>2</cp:revision>
  <cp:lastPrinted>2017-09-04T06:57:00Z</cp:lastPrinted>
  <dcterms:created xsi:type="dcterms:W3CDTF">2017-09-04T12:53:00Z</dcterms:created>
  <dcterms:modified xsi:type="dcterms:W3CDTF">2017-09-04T12:53:00Z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1/4-F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arabe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Contribution de la Jordanie, de l'Arabie saoudite et des Emirats arabes unis</vt:lpwstr>
  </property>
</Properties>
</file>