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950A5B" w:rsidRPr="00950A5B" w:rsidTr="004B6B8C">
        <w:trPr>
          <w:cantSplit/>
          <w:trHeight w:val="20"/>
        </w:trPr>
        <w:tc>
          <w:tcPr>
            <w:tcW w:w="6620" w:type="dxa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12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SY"/>
              </w:rPr>
            </w:pPr>
            <w:r w:rsidRPr="00950A5B">
              <w:rPr>
                <w:rFonts w:eastAsiaTheme="minorEastAsia" w:hint="cs"/>
                <w:b/>
                <w:bCs/>
                <w:sz w:val="28"/>
                <w:szCs w:val="40"/>
                <w:rtl/>
                <w:lang w:eastAsia="zh-CN" w:bidi="ar-EG"/>
              </w:rPr>
              <w:t xml:space="preserve">فريق الخبراء المعني بلوائح الاتصالات الدولية 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t>(EG</w:t>
            </w:r>
            <w:r w:rsidRPr="00950A5B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noBreakHyphen/>
              <w:t>ITR)</w:t>
            </w:r>
          </w:p>
        </w:tc>
        <w:tc>
          <w:tcPr>
            <w:tcW w:w="3052" w:type="dxa"/>
            <w:vMerge w:val="restart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950A5B">
              <w:rPr>
                <w:noProof/>
                <w:rtl/>
                <w:lang w:eastAsia="zh-CN"/>
              </w:rPr>
              <w:drawing>
                <wp:inline distT="0" distB="0" distL="0" distR="0" wp14:anchorId="4B72A1CD" wp14:editId="07B6195B">
                  <wp:extent cx="1839600" cy="723600"/>
                  <wp:effectExtent l="0" t="0" r="8255" b="635"/>
                  <wp:docPr id="1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5B" w:rsidRPr="00950A5B" w:rsidTr="004B6B8C">
        <w:trPr>
          <w:cantSplit/>
          <w:trHeight w:val="68"/>
        </w:trPr>
        <w:tc>
          <w:tcPr>
            <w:tcW w:w="6620" w:type="dxa"/>
            <w:tcBorders>
              <w:bottom w:val="single" w:sz="12" w:space="0" w:color="auto"/>
            </w:tcBorders>
          </w:tcPr>
          <w:p w:rsidR="00950A5B" w:rsidRPr="00950A5B" w:rsidRDefault="00950A5B" w:rsidP="00950A5B">
            <w:pPr>
              <w:rPr>
                <w:rFonts w:eastAsiaTheme="minorEastAsia"/>
                <w:rtl/>
                <w:lang w:eastAsia="zh-CN" w:bidi="ar-EG"/>
              </w:rPr>
            </w:pP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الاجتماع 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/>
              </w:rPr>
              <w:t>الثاني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proofErr w:type="gramStart"/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- جنيف</w:t>
            </w:r>
            <w:proofErr w:type="gramEnd"/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، </w:t>
            </w:r>
            <w:r w:rsidRPr="00950A5B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15-13</w:t>
            </w:r>
            <w:r w:rsidRPr="00950A5B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سبتمبر </w:t>
            </w:r>
            <w:r w:rsidRPr="00950A5B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2017</w:t>
            </w:r>
          </w:p>
        </w:tc>
        <w:tc>
          <w:tcPr>
            <w:tcW w:w="3052" w:type="dxa"/>
            <w:vMerge/>
            <w:tcBorders>
              <w:bottom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80" w:lineRule="auto"/>
              <w:rPr>
                <w:rFonts w:eastAsiaTheme="minorEastAsia"/>
                <w:lang w:val="en-GB" w:eastAsia="zh-CN" w:bidi="ar-SY"/>
              </w:rPr>
            </w:pPr>
          </w:p>
        </w:tc>
      </w:tr>
      <w:tr w:rsidR="00950A5B" w:rsidRPr="00950A5B" w:rsidTr="004B6B8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 w:val="restart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950A5B" w:rsidP="0003793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950A5B">
              <w:rPr>
                <w:rFonts w:eastAsiaTheme="minorEastAsia"/>
                <w:b/>
                <w:bCs/>
                <w:lang w:eastAsia="zh-CN" w:bidi="ar-SY"/>
              </w:rPr>
              <w:t>EG-ITR-2/</w:t>
            </w:r>
            <w:r w:rsidR="0003793B"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950A5B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03793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25</w:t>
            </w:r>
            <w:r w:rsidR="00950A5B"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أغسطس </w:t>
            </w:r>
            <w:r w:rsidR="00950A5B" w:rsidRPr="00950A5B">
              <w:rPr>
                <w:rFonts w:eastAsiaTheme="minorEastAsia"/>
                <w:b/>
                <w:bCs/>
                <w:lang w:eastAsia="zh-CN" w:bidi="ar-SY"/>
              </w:rPr>
              <w:t>2017</w:t>
            </w:r>
          </w:p>
        </w:tc>
      </w:tr>
      <w:tr w:rsidR="00950A5B" w:rsidRPr="00950A5B" w:rsidTr="004B6B8C">
        <w:trPr>
          <w:cantSplit/>
        </w:trPr>
        <w:tc>
          <w:tcPr>
            <w:tcW w:w="6620" w:type="dxa"/>
            <w:vMerge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950A5B" w:rsidRPr="00950A5B" w:rsidRDefault="00950A5B" w:rsidP="00950A5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950A5B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Pr="00950A5B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  <w:r w:rsidR="003C086E">
              <w:rPr>
                <w:rFonts w:eastAsiaTheme="minorEastAsia" w:hint="cs"/>
                <w:b/>
                <w:bCs/>
                <w:rtl/>
                <w:lang w:eastAsia="zh-CN" w:bidi="ar-EG"/>
              </w:rPr>
              <w:t>/بالروسية</w:t>
            </w:r>
          </w:p>
        </w:tc>
      </w:tr>
      <w:tr w:rsidR="00950A5B" w:rsidRPr="00950A5B" w:rsidTr="004B6B8C">
        <w:trPr>
          <w:cantSplit/>
        </w:trPr>
        <w:tc>
          <w:tcPr>
            <w:tcW w:w="9672" w:type="dxa"/>
            <w:gridSpan w:val="2"/>
          </w:tcPr>
          <w:p w:rsidR="00950A5B" w:rsidRPr="00950A5B" w:rsidRDefault="0003793B" w:rsidP="0003793B">
            <w:pPr>
              <w:pStyle w:val="Source"/>
              <w:rPr>
                <w:rFonts w:eastAsiaTheme="minorEastAsia"/>
                <w:rtl/>
                <w:lang w:eastAsia="zh-CN"/>
              </w:rPr>
            </w:pPr>
            <w:r w:rsidRPr="0003793B">
              <w:rPr>
                <w:rFonts w:eastAsiaTheme="minorEastAsia" w:hint="cs"/>
                <w:rtl/>
                <w:lang w:eastAsia="zh-CN"/>
              </w:rPr>
              <w:t>مساهمة من الاتحاد الروسي</w:t>
            </w:r>
          </w:p>
        </w:tc>
      </w:tr>
      <w:tr w:rsidR="00950A5B" w:rsidRPr="00950A5B" w:rsidTr="004B6B8C">
        <w:trPr>
          <w:cantSplit/>
        </w:trPr>
        <w:tc>
          <w:tcPr>
            <w:tcW w:w="9672" w:type="dxa"/>
            <w:gridSpan w:val="2"/>
          </w:tcPr>
          <w:p w:rsidR="00950A5B" w:rsidRPr="00950A5B" w:rsidRDefault="0003793B" w:rsidP="0003793B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03793B">
              <w:rPr>
                <w:rFonts w:eastAsiaTheme="minorEastAsia" w:hint="cs"/>
                <w:rtl/>
                <w:lang w:eastAsia="zh-CN"/>
              </w:rPr>
              <w:t xml:space="preserve">مقترحات بشأن هيكل التقرير النهائي </w:t>
            </w:r>
            <w:r>
              <w:rPr>
                <w:rFonts w:eastAsiaTheme="minorEastAsia"/>
                <w:rtl/>
                <w:lang w:eastAsia="zh-CN"/>
              </w:rPr>
              <w:br/>
            </w:r>
            <w:r w:rsidRPr="0003793B">
              <w:rPr>
                <w:rFonts w:eastAsiaTheme="minorEastAsia" w:hint="cs"/>
                <w:rtl/>
                <w:lang w:eastAsia="zh-CN"/>
              </w:rPr>
              <w:t xml:space="preserve">لفريق الخبراء المعني بلوائح الاتصالات الدولية </w:t>
            </w:r>
            <w:r w:rsidRPr="0003793B">
              <w:rPr>
                <w:rFonts w:eastAsiaTheme="minorEastAsia"/>
                <w:lang w:eastAsia="zh-CN"/>
              </w:rPr>
              <w:t>(EG-ITR)</w:t>
            </w:r>
          </w:p>
        </w:tc>
      </w:tr>
    </w:tbl>
    <w:p w:rsidR="0003793B" w:rsidRPr="0003793B" w:rsidRDefault="0003793B" w:rsidP="0003793B">
      <w:pPr>
        <w:pStyle w:val="Headingb"/>
        <w:rPr>
          <w:rFonts w:eastAsiaTheme="minorEastAsia"/>
          <w:rtl/>
          <w:lang w:eastAsia="zh-CN"/>
        </w:rPr>
      </w:pPr>
      <w:bookmarkStart w:id="1" w:name="_GoBack"/>
      <w:bookmarkEnd w:id="1"/>
      <w:r w:rsidRPr="0003793B">
        <w:rPr>
          <w:rFonts w:eastAsiaTheme="minorEastAsia" w:hint="cs"/>
          <w:rtl/>
          <w:lang w:eastAsia="zh-CN"/>
        </w:rPr>
        <w:t>مقدمة</w:t>
      </w:r>
    </w:p>
    <w:p w:rsidR="0003793B" w:rsidRPr="0003793B" w:rsidRDefault="0003793B" w:rsidP="00F367A2">
      <w:pPr>
        <w:rPr>
          <w:rFonts w:eastAsiaTheme="minorEastAsia"/>
          <w:rtl/>
          <w:lang w:eastAsia="zh-CN" w:bidi="ar"/>
        </w:rPr>
      </w:pPr>
      <w:bookmarkStart w:id="2" w:name="lt_pId026"/>
      <w:r w:rsidRPr="0003793B">
        <w:rPr>
          <w:rFonts w:eastAsiaTheme="minorEastAsia" w:hint="cs"/>
          <w:rtl/>
          <w:lang w:eastAsia="zh-CN" w:bidi="ar"/>
        </w:rPr>
        <w:t xml:space="preserve">ينص القرار </w:t>
      </w:r>
      <w:r w:rsidRPr="0003793B">
        <w:rPr>
          <w:rFonts w:eastAsiaTheme="minorEastAsia"/>
          <w:lang w:eastAsia="zh-CN"/>
        </w:rPr>
        <w:t>1379</w:t>
      </w:r>
      <w:r w:rsidRPr="0003793B">
        <w:rPr>
          <w:rFonts w:eastAsiaTheme="minorEastAsia" w:hint="cs"/>
          <w:rtl/>
          <w:lang w:eastAsia="zh-CN" w:bidi="ar"/>
        </w:rPr>
        <w:t xml:space="preserve"> الصادر عن مجلس الاتحاد </w:t>
      </w:r>
      <w:r w:rsidRPr="0003793B">
        <w:rPr>
          <w:rFonts w:eastAsiaTheme="minorEastAsia"/>
          <w:lang w:eastAsia="zh-CN"/>
        </w:rPr>
        <w:t>(2016)</w:t>
      </w:r>
      <w:r w:rsidRPr="0003793B">
        <w:rPr>
          <w:rFonts w:eastAsiaTheme="minorEastAsia" w:hint="cs"/>
          <w:rtl/>
          <w:lang w:eastAsia="zh-CN" w:bidi="ar"/>
        </w:rPr>
        <w:t xml:space="preserve"> على أن </w:t>
      </w:r>
      <w:r w:rsidRPr="0003793B">
        <w:rPr>
          <w:rFonts w:eastAsiaTheme="minorEastAsia"/>
          <w:rtl/>
          <w:lang w:eastAsia="zh-CN"/>
        </w:rPr>
        <w:t xml:space="preserve">يعدّ </w:t>
      </w:r>
      <w:r w:rsidRPr="0003793B">
        <w:rPr>
          <w:rFonts w:eastAsiaTheme="minorEastAsia" w:hint="cs"/>
          <w:rtl/>
          <w:lang w:eastAsia="zh-CN"/>
        </w:rPr>
        <w:t>فريق الخبراء المعني بلوائح الاتصالات الدولية</w:t>
      </w:r>
      <w:r>
        <w:rPr>
          <w:rFonts w:eastAsiaTheme="minorEastAsia" w:hint="eastAsia"/>
          <w:rtl/>
          <w:lang w:eastAsia="zh-CN"/>
        </w:rPr>
        <w:t> </w:t>
      </w:r>
      <w:r>
        <w:rPr>
          <w:rFonts w:eastAsiaTheme="minorEastAsia"/>
          <w:lang w:eastAsia="zh-CN"/>
        </w:rPr>
        <w:t>(EG</w:t>
      </w:r>
      <w:r>
        <w:rPr>
          <w:rFonts w:eastAsiaTheme="minorEastAsia"/>
          <w:lang w:eastAsia="zh-CN"/>
        </w:rPr>
        <w:noBreakHyphen/>
        <w:t>ITR)</w:t>
      </w:r>
      <w:r w:rsidRPr="0003793B">
        <w:rPr>
          <w:rFonts w:eastAsiaTheme="minorEastAsia"/>
          <w:rtl/>
          <w:lang w:eastAsia="zh-CN"/>
        </w:rPr>
        <w:t xml:space="preserve"> تقريراً نهائياً يقدَّم إلى المجلس في دورته لعام </w:t>
      </w:r>
      <w:r w:rsidRPr="0003793B">
        <w:rPr>
          <w:rFonts w:eastAsiaTheme="minorEastAsia"/>
          <w:lang w:eastAsia="zh-CN"/>
        </w:rPr>
        <w:t>2018</w:t>
      </w:r>
      <w:r w:rsidRPr="0003793B">
        <w:rPr>
          <w:rFonts w:eastAsiaTheme="minorEastAsia"/>
          <w:rtl/>
          <w:lang w:eastAsia="zh-CN"/>
        </w:rPr>
        <w:t xml:space="preserve"> من أجل تقديم التقرير إلى مؤتمر المندوبين المفوضين لعام </w:t>
      </w:r>
      <w:r w:rsidRPr="0003793B">
        <w:rPr>
          <w:rFonts w:eastAsiaTheme="minorEastAsia"/>
          <w:lang w:eastAsia="zh-CN"/>
        </w:rPr>
        <w:t>2018</w:t>
      </w:r>
      <w:r w:rsidRPr="0003793B">
        <w:rPr>
          <w:rFonts w:eastAsiaTheme="minorEastAsia"/>
          <w:rtl/>
          <w:lang w:eastAsia="zh-CN"/>
        </w:rPr>
        <w:t xml:space="preserve"> مشفوعاً بتعليقات المجلس</w:t>
      </w:r>
      <w:r w:rsidRPr="0003793B">
        <w:rPr>
          <w:rFonts w:eastAsiaTheme="minorEastAsia" w:hint="cs"/>
          <w:rtl/>
          <w:lang w:eastAsia="zh-CN" w:bidi="ar"/>
        </w:rPr>
        <w:t>. وتحدد اختصاصات الفريق جملة أمور منها القضايا التي ينبغي تجسيدها في التقرير النهائي للفريق.</w:t>
      </w:r>
    </w:p>
    <w:bookmarkEnd w:id="2"/>
    <w:p w:rsidR="0003793B" w:rsidRPr="0003793B" w:rsidRDefault="0003793B" w:rsidP="00F367A2">
      <w:pPr>
        <w:rPr>
          <w:rFonts w:eastAsiaTheme="minorEastAsia"/>
          <w:rtl/>
          <w:lang w:eastAsia="zh-CN" w:bidi="ar-EG"/>
        </w:rPr>
      </w:pPr>
      <w:r w:rsidRPr="0003793B">
        <w:rPr>
          <w:rFonts w:eastAsiaTheme="minorEastAsia" w:hint="cs"/>
          <w:rtl/>
          <w:lang w:eastAsia="zh-CN" w:bidi="ar-EG"/>
        </w:rPr>
        <w:t xml:space="preserve">في دورة مجلس الاتحاد لعام </w:t>
      </w:r>
      <w:r w:rsidRPr="0003793B">
        <w:rPr>
          <w:rFonts w:eastAsiaTheme="minorEastAsia"/>
          <w:lang w:eastAsia="zh-CN"/>
        </w:rPr>
        <w:t>2017</w:t>
      </w:r>
      <w:r w:rsidRPr="0003793B">
        <w:rPr>
          <w:rFonts w:eastAsiaTheme="minorEastAsia" w:hint="cs"/>
          <w:rtl/>
          <w:lang w:eastAsia="zh-CN" w:bidi="ar-EG"/>
        </w:rPr>
        <w:t>، قدم الاتحاد الروسي باسم مجموعة من الدول (جمهورية أرمينيا وجمهورية بيلاروس وجمهورية قيرغيزستان والاتحاد الروسي) مساهمة بعنوان "</w:t>
      </w:r>
      <w:r w:rsidRPr="0003793B">
        <w:rPr>
          <w:rFonts w:eastAsiaTheme="minorEastAsia"/>
          <w:rtl/>
          <w:lang w:eastAsia="zh-CN"/>
        </w:rPr>
        <w:t>زيادة كفاءة عمل فريق الخبراء المعني بلوائح الاتصالات الدولية</w:t>
      </w:r>
      <w:r>
        <w:rPr>
          <w:rFonts w:eastAsiaTheme="minorEastAsia" w:hint="eastAsia"/>
          <w:rtl/>
          <w:lang w:eastAsia="zh-CN"/>
        </w:rPr>
        <w:t> </w:t>
      </w:r>
      <w:r w:rsidRPr="0003793B">
        <w:rPr>
          <w:rFonts w:eastAsiaTheme="minorEastAsia"/>
          <w:lang w:eastAsia="zh-CN"/>
        </w:rPr>
        <w:t>(EG-ITR)</w:t>
      </w:r>
      <w:r w:rsidRPr="0003793B">
        <w:rPr>
          <w:rFonts w:eastAsiaTheme="minorEastAsia" w:hint="cs"/>
          <w:rtl/>
          <w:lang w:eastAsia="zh-CN" w:bidi="ar-EG"/>
        </w:rPr>
        <w:t>" (الوثيقة</w:t>
      </w:r>
      <w:r>
        <w:rPr>
          <w:rFonts w:eastAsiaTheme="minorEastAsia" w:hint="eastAsia"/>
          <w:rtl/>
          <w:lang w:eastAsia="zh-CN" w:bidi="ar-EG"/>
        </w:rPr>
        <w:t> </w:t>
      </w:r>
      <w:r w:rsidRPr="0003793B">
        <w:rPr>
          <w:rFonts w:eastAsiaTheme="minorEastAsia"/>
          <w:lang w:eastAsia="zh-CN"/>
        </w:rPr>
        <w:t>EG</w:t>
      </w:r>
      <w:r>
        <w:rPr>
          <w:rFonts w:eastAsiaTheme="minorEastAsia"/>
          <w:lang w:val="de-CH" w:eastAsia="zh-CN"/>
        </w:rPr>
        <w:noBreakHyphen/>
      </w:r>
      <w:r w:rsidRPr="0003793B">
        <w:rPr>
          <w:rFonts w:eastAsiaTheme="minorEastAsia"/>
          <w:lang w:val="de-CH" w:eastAsia="zh-CN"/>
        </w:rPr>
        <w:t>ITR-2/3</w:t>
      </w:r>
      <w:r>
        <w:rPr>
          <w:rFonts w:eastAsiaTheme="minorEastAsia"/>
          <w:lang w:val="de-CH" w:eastAsia="zh-CN"/>
        </w:rPr>
        <w:t>-A</w:t>
      </w:r>
      <w:r w:rsidRPr="0003793B">
        <w:rPr>
          <w:rFonts w:eastAsiaTheme="minorEastAsia" w:hint="cs"/>
          <w:rtl/>
          <w:lang w:eastAsia="zh-CN" w:bidi="ar-EG"/>
        </w:rPr>
        <w:t>) تتضمن اقتراحاً بشأن محتوى التقرير النهائي. وأثناء مناقشة المسألة، وافق مجلس الاتحاد على أن يقدم أعضاء فريق الخبراء مساهماتهم إلى الفريق فيما يتعلق بهيكل التقرير النهائي.</w:t>
      </w:r>
    </w:p>
    <w:p w:rsidR="0003793B" w:rsidRPr="0003793B" w:rsidRDefault="0003793B" w:rsidP="0003793B">
      <w:pPr>
        <w:pStyle w:val="Headingb"/>
        <w:rPr>
          <w:rFonts w:eastAsiaTheme="minorEastAsia"/>
          <w:rtl/>
          <w:lang w:eastAsia="zh-CN" w:bidi="ar-SA"/>
        </w:rPr>
      </w:pPr>
      <w:r w:rsidRPr="0003793B">
        <w:rPr>
          <w:rFonts w:eastAsiaTheme="minorEastAsia" w:hint="cs"/>
          <w:rtl/>
          <w:lang w:eastAsia="zh-CN"/>
        </w:rPr>
        <w:t>المقترحات</w:t>
      </w:r>
    </w:p>
    <w:p w:rsidR="0003793B" w:rsidRPr="0003793B" w:rsidRDefault="0003793B" w:rsidP="00F367A2">
      <w:pPr>
        <w:rPr>
          <w:rFonts w:eastAsiaTheme="minorEastAsia"/>
          <w:rtl/>
          <w:lang w:eastAsia="zh-CN" w:bidi="ar-EG"/>
        </w:rPr>
      </w:pPr>
      <w:r w:rsidRPr="0003793B">
        <w:rPr>
          <w:rFonts w:eastAsiaTheme="minorEastAsia" w:hint="cs"/>
          <w:rtl/>
          <w:lang w:eastAsia="zh-CN" w:bidi="ar"/>
        </w:rPr>
        <w:t xml:space="preserve">تبعاً للمناقشات بشأن إعداد التقرير النهائي لفريق الخبراء التي جرت في دورة مجلس الاتحاد لعام </w:t>
      </w:r>
      <w:r w:rsidRPr="0003793B">
        <w:rPr>
          <w:rFonts w:eastAsiaTheme="minorEastAsia"/>
          <w:lang w:eastAsia="zh-CN"/>
        </w:rPr>
        <w:t>2017</w:t>
      </w:r>
      <w:r w:rsidRPr="0003793B">
        <w:rPr>
          <w:rFonts w:eastAsiaTheme="minorEastAsia" w:hint="cs"/>
          <w:rtl/>
          <w:lang w:eastAsia="zh-CN" w:bidi="ar"/>
        </w:rPr>
        <w:t xml:space="preserve">، نقدم مقترحات الاتحاد الروسي بشأن مشروع هيكل التقرير النهائي لفريق الخبراء استناداً إلى اختصاصات الفريق التي اعتُمدت بموجب القرار </w:t>
      </w:r>
      <w:r w:rsidRPr="0003793B">
        <w:rPr>
          <w:rFonts w:eastAsiaTheme="minorEastAsia"/>
          <w:lang w:eastAsia="zh-CN"/>
        </w:rPr>
        <w:t>1379</w:t>
      </w:r>
      <w:r w:rsidRPr="0003793B">
        <w:rPr>
          <w:rFonts w:eastAsiaTheme="minorEastAsia" w:hint="cs"/>
          <w:rtl/>
          <w:lang w:eastAsia="zh-CN" w:bidi="ar"/>
        </w:rPr>
        <w:t xml:space="preserve"> الصادر عن مجلس الاتحاد وابتغاءً لزيادة كفاءة عمل فريق الخبراء.</w:t>
      </w:r>
    </w:p>
    <w:p w:rsidR="0003793B" w:rsidRPr="0003793B" w:rsidRDefault="0003793B" w:rsidP="0003793B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  <w:r w:rsidRPr="0003793B">
        <w:rPr>
          <w:rFonts w:eastAsiaTheme="minorEastAsia"/>
          <w:rtl/>
          <w:lang w:eastAsia="zh-CN" w:bidi="ar-EG"/>
        </w:rPr>
        <w:br w:type="page"/>
      </w:r>
    </w:p>
    <w:p w:rsidR="0003793B" w:rsidRPr="0003793B" w:rsidRDefault="0003793B" w:rsidP="0003793B">
      <w:pPr>
        <w:pStyle w:val="AnnexNo"/>
        <w:rPr>
          <w:rFonts w:eastAsiaTheme="minorEastAsia"/>
          <w:rtl/>
          <w:lang w:eastAsia="zh-CN"/>
        </w:rPr>
      </w:pPr>
      <w:r w:rsidRPr="0003793B">
        <w:rPr>
          <w:rFonts w:eastAsiaTheme="minorEastAsia" w:hint="cs"/>
          <w:rtl/>
          <w:lang w:eastAsia="zh-CN"/>
        </w:rPr>
        <w:lastRenderedPageBreak/>
        <w:t>ملحق</w:t>
      </w:r>
    </w:p>
    <w:p w:rsidR="0003793B" w:rsidRPr="0003793B" w:rsidRDefault="0003793B" w:rsidP="0003793B">
      <w:pPr>
        <w:pStyle w:val="Annextitle"/>
        <w:rPr>
          <w:rFonts w:eastAsiaTheme="minorEastAsia"/>
          <w:rtl/>
          <w:lang w:eastAsia="zh-CN" w:bidi="ar-EG"/>
        </w:rPr>
      </w:pPr>
      <w:r w:rsidRPr="0003793B">
        <w:rPr>
          <w:rFonts w:eastAsiaTheme="minorEastAsia" w:hint="cs"/>
          <w:rtl/>
          <w:lang w:eastAsia="zh-CN" w:bidi="ar-EG"/>
        </w:rPr>
        <w:t>هيكل التقرير النهائي لفريق الخبراء المعني بلوائح الاتصالات الدولية</w:t>
      </w:r>
    </w:p>
    <w:p w:rsidR="0003793B" w:rsidRPr="0003793B" w:rsidRDefault="0003793B" w:rsidP="0003793B">
      <w:pPr>
        <w:pStyle w:val="Heading1"/>
        <w:rPr>
          <w:rFonts w:eastAsiaTheme="minorEastAsia"/>
          <w:rtl/>
          <w:lang w:eastAsia="zh-CN"/>
        </w:rPr>
      </w:pPr>
      <w:r w:rsidRPr="0003793B">
        <w:rPr>
          <w:rFonts w:eastAsiaTheme="minorEastAsia"/>
          <w:lang w:eastAsia="zh-CN" w:bidi="ar-SA"/>
        </w:rPr>
        <w:t>1</w:t>
      </w:r>
      <w:r w:rsidRPr="0003793B">
        <w:rPr>
          <w:rFonts w:eastAsiaTheme="minorEastAsia"/>
          <w:rtl/>
          <w:lang w:eastAsia="zh-CN"/>
        </w:rPr>
        <w:tab/>
      </w:r>
      <w:r w:rsidRPr="0003793B">
        <w:rPr>
          <w:rFonts w:eastAsiaTheme="minorEastAsia" w:hint="cs"/>
          <w:rtl/>
          <w:lang w:eastAsia="zh-CN"/>
        </w:rPr>
        <w:t>مقدمة</w:t>
      </w:r>
    </w:p>
    <w:p w:rsidR="0003793B" w:rsidRPr="0003793B" w:rsidRDefault="0003793B" w:rsidP="0003793B">
      <w:pPr>
        <w:pStyle w:val="Heading1"/>
        <w:rPr>
          <w:rFonts w:eastAsiaTheme="minorEastAsia"/>
          <w:rtl/>
          <w:lang w:eastAsia="zh-CN"/>
        </w:rPr>
      </w:pPr>
      <w:r w:rsidRPr="0003793B">
        <w:rPr>
          <w:rFonts w:eastAsiaTheme="minorEastAsia"/>
          <w:lang w:eastAsia="zh-CN" w:bidi="ar-SA"/>
        </w:rPr>
        <w:t>2</w:t>
      </w:r>
      <w:r w:rsidRPr="0003793B">
        <w:rPr>
          <w:rFonts w:eastAsiaTheme="minorEastAsia"/>
          <w:rtl/>
          <w:lang w:eastAsia="zh-CN"/>
        </w:rPr>
        <w:tab/>
      </w:r>
      <w:r w:rsidRPr="0003793B">
        <w:rPr>
          <w:rFonts w:eastAsiaTheme="minorEastAsia" w:hint="cs"/>
          <w:rtl/>
          <w:lang w:eastAsia="zh-CN"/>
        </w:rPr>
        <w:t xml:space="preserve">الاستعراض المستقبلي للوائح الاتصالات الدولية لعام </w:t>
      </w:r>
      <w:r w:rsidRPr="0003793B">
        <w:rPr>
          <w:rFonts w:eastAsiaTheme="minorEastAsia"/>
          <w:lang w:eastAsia="zh-CN" w:bidi="ar-SA"/>
        </w:rPr>
        <w:t>2012</w:t>
      </w:r>
    </w:p>
    <w:p w:rsidR="0003793B" w:rsidRPr="00F367A2" w:rsidRDefault="0003793B" w:rsidP="00F367A2">
      <w:pPr>
        <w:rPr>
          <w:rFonts w:eastAsiaTheme="minorEastAsia"/>
          <w:spacing w:val="-4"/>
          <w:lang w:eastAsia="zh-CN"/>
        </w:rPr>
      </w:pPr>
      <w:proofErr w:type="gramStart"/>
      <w:r w:rsidRPr="00F367A2">
        <w:rPr>
          <w:rFonts w:eastAsiaTheme="minorEastAsia"/>
          <w:spacing w:val="-4"/>
          <w:lang w:eastAsia="zh-CN"/>
        </w:rPr>
        <w:t>1.2</w:t>
      </w:r>
      <w:proofErr w:type="gramEnd"/>
      <w:r w:rsidRPr="00F367A2">
        <w:rPr>
          <w:rFonts w:eastAsiaTheme="minorEastAsia"/>
          <w:spacing w:val="-4"/>
          <w:rtl/>
          <w:lang w:eastAsia="zh-CN" w:bidi="ar-EG"/>
        </w:rPr>
        <w:tab/>
      </w:r>
      <w:r w:rsidRPr="00F367A2">
        <w:rPr>
          <w:rFonts w:eastAsiaTheme="minorEastAsia" w:hint="cs"/>
          <w:spacing w:val="-4"/>
          <w:rtl/>
          <w:lang w:eastAsia="zh-CN" w:bidi="ar-EG"/>
        </w:rPr>
        <w:t>تأثير الاتجاهات الجديدة في مجال الاتصالات/تكنولوجيا المعلومات والاتصالات على لوائح الاتصالات الدولية لعام</w:t>
      </w:r>
      <w:r w:rsidRPr="00F367A2">
        <w:rPr>
          <w:rFonts w:eastAsiaTheme="minorEastAsia" w:hint="eastAsia"/>
          <w:spacing w:val="-4"/>
          <w:rtl/>
          <w:lang w:eastAsia="zh-CN" w:bidi="ar-EG"/>
        </w:rPr>
        <w:t> </w:t>
      </w:r>
      <w:r w:rsidRPr="00F367A2">
        <w:rPr>
          <w:rFonts w:eastAsiaTheme="minorEastAsia"/>
          <w:spacing w:val="-4"/>
          <w:lang w:eastAsia="zh-CN"/>
        </w:rPr>
        <w:t>2012</w:t>
      </w:r>
    </w:p>
    <w:p w:rsidR="0003793B" w:rsidRPr="0003793B" w:rsidRDefault="0003793B" w:rsidP="00F367A2">
      <w:pPr>
        <w:rPr>
          <w:rFonts w:eastAsiaTheme="minorEastAsia"/>
          <w:rtl/>
          <w:lang w:eastAsia="zh-CN" w:bidi="ar-EG"/>
        </w:rPr>
      </w:pPr>
      <w:proofErr w:type="gramStart"/>
      <w:r w:rsidRPr="0003793B">
        <w:rPr>
          <w:rFonts w:eastAsiaTheme="minorEastAsia"/>
          <w:lang w:eastAsia="zh-CN"/>
        </w:rPr>
        <w:t>2.2</w:t>
      </w:r>
      <w:proofErr w:type="gramEnd"/>
      <w:r w:rsidRPr="0003793B">
        <w:rPr>
          <w:rFonts w:eastAsiaTheme="minorEastAsia"/>
          <w:rtl/>
          <w:lang w:eastAsia="zh-CN" w:bidi="ar-EG"/>
        </w:rPr>
        <w:tab/>
      </w:r>
      <w:r w:rsidRPr="0003793B">
        <w:rPr>
          <w:rFonts w:eastAsiaTheme="minorEastAsia" w:hint="cs"/>
          <w:rtl/>
          <w:lang w:eastAsia="zh-CN" w:bidi="ar-EG"/>
        </w:rPr>
        <w:t xml:space="preserve">أحكام لوائح الاتصالات الدولية لعام </w:t>
      </w:r>
      <w:r w:rsidRPr="0003793B">
        <w:rPr>
          <w:rFonts w:eastAsiaTheme="minorEastAsia"/>
          <w:lang w:eastAsia="zh-CN"/>
        </w:rPr>
        <w:t>2012</w:t>
      </w:r>
      <w:r w:rsidRPr="0003793B">
        <w:rPr>
          <w:rFonts w:eastAsiaTheme="minorEastAsia" w:hint="cs"/>
          <w:rtl/>
          <w:lang w:eastAsia="zh-CN" w:bidi="ar-EG"/>
        </w:rPr>
        <w:t xml:space="preserve"> التي قد تتطلب الاستعراض المستقبلي</w:t>
      </w:r>
    </w:p>
    <w:p w:rsidR="0003793B" w:rsidRPr="0003793B" w:rsidRDefault="0003793B" w:rsidP="0003793B">
      <w:pPr>
        <w:pStyle w:val="Heading1"/>
        <w:rPr>
          <w:rFonts w:eastAsiaTheme="minorEastAsia"/>
          <w:rtl/>
          <w:lang w:eastAsia="zh-CN"/>
        </w:rPr>
      </w:pPr>
      <w:r w:rsidRPr="0003793B">
        <w:rPr>
          <w:rFonts w:eastAsiaTheme="minorEastAsia"/>
          <w:lang w:eastAsia="zh-CN" w:bidi="ar-SA"/>
        </w:rPr>
        <w:t>3</w:t>
      </w:r>
      <w:r w:rsidRPr="0003793B">
        <w:rPr>
          <w:rFonts w:eastAsiaTheme="minorEastAsia"/>
          <w:rtl/>
          <w:lang w:eastAsia="zh-CN"/>
        </w:rPr>
        <w:tab/>
      </w:r>
      <w:r w:rsidRPr="0003793B">
        <w:rPr>
          <w:rFonts w:eastAsiaTheme="minorEastAsia" w:hint="cs"/>
          <w:rtl/>
          <w:lang w:eastAsia="zh-CN"/>
        </w:rPr>
        <w:t xml:space="preserve">إمكانية تطبيق لوائح الاتصالات الدولية لعام </w:t>
      </w:r>
      <w:r w:rsidRPr="0003793B">
        <w:rPr>
          <w:rFonts w:eastAsiaTheme="minorEastAsia"/>
          <w:lang w:eastAsia="zh-CN" w:bidi="ar-SA"/>
        </w:rPr>
        <w:t>2012</w:t>
      </w:r>
    </w:p>
    <w:p w:rsidR="0003793B" w:rsidRPr="0003793B" w:rsidRDefault="0003793B" w:rsidP="0003793B">
      <w:pPr>
        <w:rPr>
          <w:rFonts w:eastAsiaTheme="minorEastAsia"/>
          <w:rtl/>
          <w:lang w:eastAsia="zh-CN" w:bidi="ar-EG"/>
        </w:rPr>
      </w:pPr>
      <w:proofErr w:type="gramStart"/>
      <w:r w:rsidRPr="0003793B">
        <w:rPr>
          <w:rFonts w:eastAsiaTheme="minorEastAsia"/>
          <w:lang w:eastAsia="zh-CN"/>
        </w:rPr>
        <w:t>1.3</w:t>
      </w:r>
      <w:proofErr w:type="gramEnd"/>
      <w:r w:rsidRPr="0003793B">
        <w:rPr>
          <w:rFonts w:eastAsiaTheme="minorEastAsia"/>
          <w:rtl/>
          <w:lang w:eastAsia="zh-CN" w:bidi="ar-EG"/>
        </w:rPr>
        <w:tab/>
      </w:r>
      <w:r w:rsidRPr="0003793B">
        <w:rPr>
          <w:rFonts w:eastAsiaTheme="minorEastAsia" w:hint="cs"/>
          <w:rtl/>
          <w:lang w:eastAsia="zh-CN" w:bidi="ar-EG"/>
        </w:rPr>
        <w:t xml:space="preserve">التحليل القانوني للوائح الاتصالات الدولية لعام </w:t>
      </w:r>
      <w:r w:rsidRPr="0003793B">
        <w:rPr>
          <w:rFonts w:eastAsiaTheme="minorEastAsia"/>
          <w:lang w:eastAsia="zh-CN"/>
        </w:rPr>
        <w:t>2012</w:t>
      </w:r>
    </w:p>
    <w:p w:rsidR="0003793B" w:rsidRPr="0003793B" w:rsidRDefault="0003793B" w:rsidP="0003793B">
      <w:pPr>
        <w:rPr>
          <w:rFonts w:eastAsiaTheme="minorEastAsia"/>
          <w:rtl/>
          <w:lang w:eastAsia="zh-CN" w:bidi="ar-EG"/>
        </w:rPr>
      </w:pPr>
      <w:proofErr w:type="gramStart"/>
      <w:r w:rsidRPr="0003793B">
        <w:rPr>
          <w:rFonts w:eastAsiaTheme="minorEastAsia"/>
          <w:lang w:eastAsia="zh-CN"/>
        </w:rPr>
        <w:t>2.3</w:t>
      </w:r>
      <w:proofErr w:type="gramEnd"/>
      <w:r w:rsidRPr="0003793B">
        <w:rPr>
          <w:rFonts w:eastAsiaTheme="minorEastAsia"/>
          <w:rtl/>
          <w:lang w:eastAsia="zh-CN" w:bidi="ar-EG"/>
        </w:rPr>
        <w:tab/>
      </w:r>
      <w:r w:rsidRPr="0003793B">
        <w:rPr>
          <w:rFonts w:eastAsiaTheme="minorEastAsia" w:hint="cs"/>
          <w:rtl/>
          <w:lang w:eastAsia="zh-CN"/>
        </w:rPr>
        <w:t xml:space="preserve">إمكانية تطبيق لوائح الاتصالات الدولية لعام </w:t>
      </w:r>
      <w:r w:rsidRPr="0003793B">
        <w:rPr>
          <w:rFonts w:eastAsiaTheme="minorEastAsia"/>
          <w:lang w:eastAsia="zh-CN"/>
        </w:rPr>
        <w:t>2012</w:t>
      </w:r>
      <w:r w:rsidRPr="0003793B">
        <w:rPr>
          <w:rFonts w:eastAsiaTheme="minorEastAsia"/>
          <w:rtl/>
          <w:lang w:eastAsia="zh-CN"/>
        </w:rPr>
        <w:t xml:space="preserve"> في بيئة الاتصالات الدولية </w:t>
      </w:r>
      <w:r w:rsidRPr="0003793B">
        <w:rPr>
          <w:rFonts w:eastAsiaTheme="minorEastAsia" w:hint="cs"/>
          <w:rtl/>
          <w:lang w:eastAsia="zh-CN" w:bidi="ar-EG"/>
        </w:rPr>
        <w:t>المتطورة بسرعة</w:t>
      </w:r>
    </w:p>
    <w:p w:rsidR="0003793B" w:rsidRPr="0003793B" w:rsidRDefault="0003793B" w:rsidP="0003793B">
      <w:pPr>
        <w:rPr>
          <w:rFonts w:eastAsiaTheme="minorEastAsia"/>
          <w:rtl/>
          <w:lang w:eastAsia="zh-CN" w:bidi="ar-EG"/>
        </w:rPr>
      </w:pPr>
      <w:r w:rsidRPr="0003793B">
        <w:rPr>
          <w:rFonts w:eastAsiaTheme="minorEastAsia"/>
          <w:lang w:eastAsia="zh-CN"/>
        </w:rPr>
        <w:t>3.3</w:t>
      </w:r>
      <w:r w:rsidRPr="0003793B">
        <w:rPr>
          <w:rFonts w:eastAsiaTheme="minorEastAsia"/>
          <w:rtl/>
          <w:lang w:eastAsia="zh-CN" w:bidi="ar-EG"/>
        </w:rPr>
        <w:tab/>
      </w:r>
      <w:r w:rsidRPr="0003793B">
        <w:rPr>
          <w:rFonts w:eastAsiaTheme="minorEastAsia" w:hint="cs"/>
          <w:rtl/>
          <w:lang w:eastAsia="zh-CN" w:bidi="ar-EG"/>
        </w:rPr>
        <w:t xml:space="preserve">تحليل </w:t>
      </w:r>
      <w:r w:rsidRPr="0003793B">
        <w:rPr>
          <w:rFonts w:eastAsiaTheme="minorEastAsia"/>
          <w:rtl/>
          <w:lang w:eastAsia="zh-CN"/>
        </w:rPr>
        <w:t xml:space="preserve">أي نزاعات محتملة بين التزامات الأطراف الموقعة على لوائح الاتصالات الدولية لعام </w:t>
      </w:r>
      <w:r w:rsidRPr="0003793B">
        <w:rPr>
          <w:rFonts w:eastAsiaTheme="minorEastAsia"/>
          <w:lang w:eastAsia="zh-CN"/>
        </w:rPr>
        <w:t>2012</w:t>
      </w:r>
      <w:r w:rsidRPr="0003793B">
        <w:rPr>
          <w:rFonts w:eastAsiaTheme="minorEastAsia"/>
          <w:rtl/>
          <w:lang w:eastAsia="zh-CN"/>
        </w:rPr>
        <w:t xml:space="preserve"> والأطراف الموقعة على لوائح الاتصالات الدولية لعام </w:t>
      </w:r>
      <w:r w:rsidRPr="0003793B">
        <w:rPr>
          <w:rFonts w:eastAsiaTheme="minorEastAsia"/>
          <w:lang w:eastAsia="zh-CN"/>
        </w:rPr>
        <w:t>1988</w:t>
      </w:r>
      <w:r w:rsidRPr="0003793B">
        <w:rPr>
          <w:rFonts w:eastAsiaTheme="minorEastAsia"/>
          <w:rtl/>
          <w:lang w:eastAsia="zh-CN"/>
        </w:rPr>
        <w:t xml:space="preserve"> فيما يتعلق بتنفيذ أحكام لوائح الاتصالات الدولية لعامي </w:t>
      </w:r>
      <w:r w:rsidRPr="0003793B">
        <w:rPr>
          <w:rFonts w:eastAsiaTheme="minorEastAsia"/>
          <w:lang w:eastAsia="zh-CN"/>
        </w:rPr>
        <w:t>1988</w:t>
      </w:r>
      <w:r w:rsidRPr="0003793B">
        <w:rPr>
          <w:rFonts w:eastAsiaTheme="minorEastAsia"/>
          <w:rtl/>
          <w:lang w:eastAsia="zh-CN"/>
        </w:rPr>
        <w:t xml:space="preserve"> و</w:t>
      </w:r>
      <w:r w:rsidRPr="0003793B">
        <w:rPr>
          <w:rFonts w:eastAsiaTheme="minorEastAsia"/>
          <w:lang w:eastAsia="zh-CN"/>
        </w:rPr>
        <w:t>2012</w:t>
      </w:r>
      <w:r w:rsidRPr="0003793B">
        <w:rPr>
          <w:rFonts w:eastAsiaTheme="minorEastAsia" w:hint="cs"/>
          <w:rtl/>
          <w:lang w:eastAsia="zh-CN" w:bidi="ar-EG"/>
        </w:rPr>
        <w:t>.</w:t>
      </w:r>
    </w:p>
    <w:p w:rsidR="0003793B" w:rsidRPr="0003793B" w:rsidRDefault="0003793B" w:rsidP="0003793B">
      <w:pPr>
        <w:pStyle w:val="Heading1"/>
        <w:rPr>
          <w:rFonts w:eastAsiaTheme="minorEastAsia"/>
          <w:rtl/>
          <w:lang w:eastAsia="zh-CN"/>
        </w:rPr>
      </w:pPr>
      <w:r w:rsidRPr="0003793B">
        <w:rPr>
          <w:rFonts w:eastAsiaTheme="minorEastAsia"/>
          <w:lang w:eastAsia="zh-CN" w:bidi="ar-SA"/>
        </w:rPr>
        <w:t>4</w:t>
      </w:r>
      <w:r w:rsidRPr="0003793B">
        <w:rPr>
          <w:rFonts w:eastAsiaTheme="minorEastAsia"/>
          <w:rtl/>
          <w:lang w:eastAsia="zh-CN"/>
        </w:rPr>
        <w:tab/>
      </w:r>
      <w:r w:rsidRPr="0003793B">
        <w:rPr>
          <w:rFonts w:eastAsiaTheme="minorEastAsia" w:hint="cs"/>
          <w:rtl/>
          <w:lang w:eastAsia="zh-CN"/>
        </w:rPr>
        <w:t xml:space="preserve">إمكانية تطبيق قرارات المؤتمر العالمي للاتصالات الراديوية لعام </w:t>
      </w:r>
      <w:r w:rsidRPr="0003793B">
        <w:rPr>
          <w:rFonts w:eastAsiaTheme="minorEastAsia"/>
          <w:lang w:eastAsia="zh-CN" w:bidi="ar-SA"/>
        </w:rPr>
        <w:t>2012</w:t>
      </w:r>
    </w:p>
    <w:p w:rsidR="0003793B" w:rsidRPr="0003793B" w:rsidRDefault="0003793B" w:rsidP="0003793B">
      <w:pPr>
        <w:rPr>
          <w:rFonts w:eastAsiaTheme="minorEastAsia"/>
          <w:rtl/>
          <w:lang w:eastAsia="zh-CN" w:bidi="ar-EG"/>
        </w:rPr>
      </w:pPr>
      <w:r w:rsidRPr="0003793B">
        <w:rPr>
          <w:rFonts w:eastAsiaTheme="minorEastAsia" w:hint="cs"/>
          <w:rtl/>
          <w:lang w:eastAsia="zh-CN" w:bidi="ar-EG"/>
        </w:rPr>
        <w:t>[</w:t>
      </w:r>
      <w:r w:rsidRPr="0003793B">
        <w:rPr>
          <w:rFonts w:eastAsiaTheme="minorEastAsia"/>
          <w:lang w:eastAsia="zh-CN"/>
        </w:rPr>
        <w:t>1.4</w:t>
      </w:r>
      <w:r w:rsidRPr="0003793B">
        <w:rPr>
          <w:rFonts w:eastAsiaTheme="minorEastAsia"/>
          <w:rtl/>
          <w:lang w:eastAsia="zh-CN" w:bidi="ar-EG"/>
        </w:rPr>
        <w:tab/>
      </w:r>
      <w:r w:rsidRPr="0003793B">
        <w:rPr>
          <w:rFonts w:eastAsiaTheme="minorEastAsia" w:hint="cs"/>
          <w:rtl/>
          <w:lang w:eastAsia="zh-CN" w:bidi="ar-EG"/>
        </w:rPr>
        <w:t xml:space="preserve">تحليل القضايا التي قد تنشأ عن تنفيذ قرارات المؤتمر العالمي للاتصالات الدولية لعام </w:t>
      </w:r>
      <w:r w:rsidRPr="0003793B">
        <w:rPr>
          <w:rFonts w:eastAsiaTheme="minorEastAsia"/>
          <w:lang w:eastAsia="zh-CN"/>
        </w:rPr>
        <w:t>2012</w:t>
      </w:r>
      <w:r w:rsidRPr="0003793B">
        <w:rPr>
          <w:rFonts w:eastAsiaTheme="minorEastAsia" w:hint="cs"/>
          <w:rtl/>
          <w:lang w:eastAsia="zh-CN" w:bidi="ar-EG"/>
        </w:rPr>
        <w:t>]</w:t>
      </w:r>
    </w:p>
    <w:p w:rsidR="0003793B" w:rsidRPr="0003793B" w:rsidRDefault="0003793B" w:rsidP="0003793B">
      <w:pPr>
        <w:pStyle w:val="Heading1"/>
        <w:rPr>
          <w:rFonts w:eastAsiaTheme="minorEastAsia"/>
          <w:rtl/>
          <w:lang w:eastAsia="zh-CN"/>
        </w:rPr>
      </w:pPr>
      <w:r w:rsidRPr="0003793B">
        <w:rPr>
          <w:rFonts w:eastAsiaTheme="minorEastAsia"/>
          <w:lang w:eastAsia="zh-CN" w:bidi="ar-SA"/>
        </w:rPr>
        <w:t>5</w:t>
      </w:r>
      <w:r w:rsidRPr="0003793B">
        <w:rPr>
          <w:rFonts w:eastAsiaTheme="minorEastAsia"/>
          <w:lang w:eastAsia="zh-CN" w:bidi="ar-SA"/>
        </w:rPr>
        <w:tab/>
      </w:r>
      <w:r w:rsidRPr="0003793B">
        <w:rPr>
          <w:rFonts w:eastAsiaTheme="minorEastAsia" w:hint="cs"/>
          <w:rtl/>
          <w:lang w:eastAsia="zh-CN"/>
        </w:rPr>
        <w:t>خلاصة</w:t>
      </w:r>
    </w:p>
    <w:p w:rsidR="0003793B" w:rsidRPr="0003793B" w:rsidRDefault="0003793B" w:rsidP="0003793B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</w:p>
    <w:p w:rsidR="0003793B" w:rsidRPr="0003793B" w:rsidRDefault="0003793B" w:rsidP="0003793B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jc w:val="center"/>
        <w:rPr>
          <w:rFonts w:eastAsiaTheme="minorEastAsia"/>
          <w:rtl/>
          <w:lang w:eastAsia="zh-CN" w:bidi="ar-EG"/>
        </w:rPr>
      </w:pPr>
      <w:r w:rsidRPr="0003793B">
        <w:rPr>
          <w:rFonts w:eastAsiaTheme="minorEastAsia" w:hint="cs"/>
          <w:rtl/>
          <w:lang w:eastAsia="zh-CN" w:bidi="ar"/>
        </w:rPr>
        <w:t>___________</w:t>
      </w:r>
    </w:p>
    <w:sectPr w:rsidR="0003793B" w:rsidRPr="0003793B" w:rsidSect="008B5B5D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57" w:rsidRDefault="00E74357" w:rsidP="00E07379">
      <w:pPr>
        <w:spacing w:before="0" w:line="240" w:lineRule="auto"/>
      </w:pPr>
      <w:r>
        <w:separator/>
      </w:r>
    </w:p>
  </w:endnote>
  <w:endnote w:type="continuationSeparator" w:id="0">
    <w:p w:rsidR="00E74357" w:rsidRDefault="00E74357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665956" w:rsidRDefault="00E74357" w:rsidP="0003793B">
    <w:pPr>
      <w:pStyle w:val="Footer"/>
      <w:tabs>
        <w:tab w:val="clear" w:pos="5812"/>
        <w:tab w:val="right" w:pos="5670"/>
      </w:tabs>
    </w:pPr>
    <w:r>
      <w:fldChar w:fldCharType="begin"/>
    </w:r>
    <w:r>
      <w:instrText xml:space="preserve"> FILENAME \p \* MERGEFORMAT </w:instrText>
    </w:r>
    <w:r>
      <w:fldChar w:fldCharType="separate"/>
    </w:r>
    <w:r w:rsidR="001831FA">
      <w:rPr>
        <w:noProof/>
      </w:rPr>
      <w:t>C:\Users\brouard\Desktop\007A.docx</w:t>
    </w:r>
    <w:r>
      <w:rPr>
        <w:noProof/>
      </w:rPr>
      <w:fldChar w:fldCharType="end"/>
    </w:r>
    <w:r w:rsidR="00BD0C50" w:rsidRPr="00665956">
      <w:t xml:space="preserve">   (</w:t>
    </w:r>
    <w:r w:rsidR="0003793B">
      <w:t>423021</w:t>
    </w:r>
    <w:r w:rsidR="00BD0C50" w:rsidRPr="00665956">
      <w:t>)</w:t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1831FA">
      <w:rPr>
        <w:noProof/>
      </w:rPr>
      <w:t>08.09.17</w:t>
    </w:r>
    <w:r w:rsidR="00BD0C50" w:rsidRPr="00665956">
      <w:fldChar w:fldCharType="end"/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1831FA">
      <w:rPr>
        <w:noProof/>
      </w:rPr>
      <w:t>08.09.17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A5B" w:rsidRPr="00950A5B" w:rsidRDefault="00950A5B" w:rsidP="00950A5B">
    <w:pPr>
      <w:spacing w:after="120"/>
      <w:jc w:val="center"/>
      <w:rPr>
        <w:rtl/>
        <w:lang w:bidi="ar-EG"/>
      </w:rPr>
    </w:pPr>
    <w:r w:rsidRPr="00950A5B">
      <w:t xml:space="preserve">• </w:t>
    </w:r>
    <w:hyperlink r:id="rId1" w:history="1">
      <w:r w:rsidRPr="00950A5B">
        <w:rPr>
          <w:rFonts w:cs="Times New Roman"/>
          <w:color w:val="0000FF"/>
          <w:szCs w:val="20"/>
          <w:u w:val="single"/>
          <w:lang w:val="fr-FR"/>
        </w:rPr>
        <w:t>http://www.itu.int/council</w:t>
      </w:r>
    </w:hyperlink>
    <w:r w:rsidRPr="00950A5B">
      <w:t xml:space="preserve"> •</w:t>
    </w:r>
  </w:p>
  <w:p w:rsidR="00950A5B" w:rsidRDefault="00950A5B" w:rsidP="000E4FF0">
    <w:pPr>
      <w:pStyle w:val="Footer"/>
      <w:tabs>
        <w:tab w:val="center" w:pos="5529"/>
      </w:tabs>
      <w:rPr>
        <w:rFonts w:cs="Calibri"/>
        <w:lang w:val="fr-FR"/>
      </w:rPr>
    </w:pPr>
  </w:p>
  <w:p w:rsidR="000E4FF0" w:rsidRPr="001831FA" w:rsidRDefault="000E4FF0" w:rsidP="0003793B">
    <w:pPr>
      <w:pStyle w:val="Footer"/>
      <w:tabs>
        <w:tab w:val="center" w:pos="5529"/>
      </w:tabs>
      <w:rPr>
        <w:rFonts w:cs="Calibri"/>
      </w:rPr>
    </w:pPr>
    <w:r w:rsidRPr="00476123">
      <w:rPr>
        <w:rFonts w:cs="Calibri"/>
        <w:lang w:val="fr-FR"/>
      </w:rPr>
      <w:fldChar w:fldCharType="begin"/>
    </w:r>
    <w:r w:rsidRPr="001831FA">
      <w:rPr>
        <w:rFonts w:cs="Calibri"/>
      </w:rPr>
      <w:instrText xml:space="preserve"> FILENAME \p \* MERGEFORMAT </w:instrText>
    </w:r>
    <w:r w:rsidRPr="00476123">
      <w:rPr>
        <w:rFonts w:cs="Calibri"/>
        <w:lang w:val="fr-FR"/>
      </w:rPr>
      <w:fldChar w:fldCharType="separate"/>
    </w:r>
    <w:r w:rsidR="001831FA" w:rsidRPr="001831FA">
      <w:rPr>
        <w:rFonts w:cs="Calibri"/>
        <w:noProof/>
      </w:rPr>
      <w:t>C:\Users\brouard\Desktop\007A.docx</w:t>
    </w:r>
    <w:r w:rsidRPr="00476123">
      <w:rPr>
        <w:rFonts w:cs="Calibri"/>
      </w:rPr>
      <w:fldChar w:fldCharType="end"/>
    </w:r>
    <w:r w:rsidRPr="001831FA">
      <w:rPr>
        <w:rFonts w:cs="Calibri"/>
      </w:rPr>
      <w:t xml:space="preserve">   (</w:t>
    </w:r>
    <w:r w:rsidR="0003793B" w:rsidRPr="001831FA">
      <w:rPr>
        <w:rFonts w:cs="Calibri"/>
      </w:rPr>
      <w:t>423021</w:t>
    </w:r>
    <w:r w:rsidRPr="001831FA">
      <w:rPr>
        <w:rFonts w:cs="Calibri"/>
      </w:rPr>
      <w:t>)</w:t>
    </w:r>
    <w:r w:rsidRPr="001831FA">
      <w:rPr>
        <w:rFonts w:cs="Calibri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savedate \@ dd.MM.yy </w:instrText>
    </w:r>
    <w:r w:rsidRPr="00476123">
      <w:rPr>
        <w:rFonts w:cs="Calibri"/>
        <w:lang w:val="fr-FR"/>
      </w:rPr>
      <w:fldChar w:fldCharType="separate"/>
    </w:r>
    <w:r w:rsidR="001831FA">
      <w:rPr>
        <w:rFonts w:cs="Calibri"/>
        <w:noProof/>
        <w:lang w:val="fr-FR"/>
      </w:rPr>
      <w:t>08.09.17</w:t>
    </w:r>
    <w:r w:rsidRPr="00476123">
      <w:rPr>
        <w:rFonts w:cs="Calibri"/>
      </w:rPr>
      <w:fldChar w:fldCharType="end"/>
    </w:r>
    <w:r w:rsidRPr="001831FA">
      <w:rPr>
        <w:rFonts w:cs="Calibri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printdate \@ dd.MM.yy </w:instrText>
    </w:r>
    <w:r w:rsidRPr="00476123">
      <w:rPr>
        <w:rFonts w:cs="Calibri"/>
        <w:lang w:val="fr-FR"/>
      </w:rPr>
      <w:fldChar w:fldCharType="separate"/>
    </w:r>
    <w:r w:rsidR="001831FA">
      <w:rPr>
        <w:rFonts w:cs="Calibri"/>
        <w:noProof/>
        <w:lang w:val="fr-FR"/>
      </w:rPr>
      <w:t>08.09.17</w:t>
    </w:r>
    <w:r w:rsidRPr="00476123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57" w:rsidRDefault="00E74357" w:rsidP="00E07379">
      <w:pPr>
        <w:spacing w:before="0" w:line="240" w:lineRule="auto"/>
      </w:pPr>
      <w:r>
        <w:separator/>
      </w:r>
    </w:p>
  </w:footnote>
  <w:footnote w:type="continuationSeparator" w:id="0">
    <w:p w:rsidR="00E74357" w:rsidRDefault="00E74357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E74357" w:rsidP="00760E68">
    <w:pPr>
      <w:tabs>
        <w:tab w:val="clear" w:pos="1134"/>
        <w:tab w:val="center" w:pos="4680"/>
        <w:tab w:val="right" w:pos="9360"/>
      </w:tabs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rtl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="001831FA" w:rsidRPr="001831FA">
          <w:rPr>
            <w:rFonts w:eastAsiaTheme="minorEastAsia" w:cs="Calibri"/>
            <w:noProof/>
            <w:sz w:val="20"/>
            <w:szCs w:val="20"/>
            <w:rtl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84"/>
    <w:rsid w:val="000124CC"/>
    <w:rsid w:val="0003793B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73915"/>
    <w:rsid w:val="001831FA"/>
    <w:rsid w:val="001F5F84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C086E"/>
    <w:rsid w:val="003C106D"/>
    <w:rsid w:val="003C475F"/>
    <w:rsid w:val="003D0007"/>
    <w:rsid w:val="003E4132"/>
    <w:rsid w:val="003F678F"/>
    <w:rsid w:val="0042686F"/>
    <w:rsid w:val="004367CE"/>
    <w:rsid w:val="00443869"/>
    <w:rsid w:val="004712C6"/>
    <w:rsid w:val="00476123"/>
    <w:rsid w:val="00497703"/>
    <w:rsid w:val="004F0F0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C1556"/>
    <w:rsid w:val="006F267F"/>
    <w:rsid w:val="006F63F7"/>
    <w:rsid w:val="006F6F03"/>
    <w:rsid w:val="00706D7A"/>
    <w:rsid w:val="00726AEC"/>
    <w:rsid w:val="007530CA"/>
    <w:rsid w:val="00760E68"/>
    <w:rsid w:val="0079553D"/>
    <w:rsid w:val="007B01CC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5B5D"/>
    <w:rsid w:val="00917694"/>
    <w:rsid w:val="009263CD"/>
    <w:rsid w:val="00930E6D"/>
    <w:rsid w:val="00950A5B"/>
    <w:rsid w:val="00972CA2"/>
    <w:rsid w:val="00982B28"/>
    <w:rsid w:val="00984EA5"/>
    <w:rsid w:val="00992593"/>
    <w:rsid w:val="009C17E1"/>
    <w:rsid w:val="009C35ED"/>
    <w:rsid w:val="009F1C12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357"/>
    <w:rsid w:val="00E74BE7"/>
    <w:rsid w:val="00E86CC9"/>
    <w:rsid w:val="00E96624"/>
    <w:rsid w:val="00F126F1"/>
    <w:rsid w:val="00F2106A"/>
    <w:rsid w:val="00F367A2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5693E-E7AC-40BA-A6FB-26D13CC7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e10a323-94a9-4e93-88b4-ea96457696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6181E-E14D-46A2-8E77-FEE39DF5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from the Russian Federation</vt:lpstr>
    </vt:vector>
  </TitlesOfParts>
  <Company>International Telecommunication Union (ITU)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the Russian Federation</dc:title>
  <dc:subject>EG-ITRs</dc:subject>
  <dc:creator>Elbahnassawy, Ganat</dc:creator>
  <cp:keywords>EG-ITRs</cp:keywords>
  <dc:description/>
  <cp:lastModifiedBy>Brouard, Ricarda</cp:lastModifiedBy>
  <cp:revision>4</cp:revision>
  <cp:lastPrinted>2017-09-08T13:05:00Z</cp:lastPrinted>
  <dcterms:created xsi:type="dcterms:W3CDTF">2017-09-08T13:04:00Z</dcterms:created>
  <dcterms:modified xsi:type="dcterms:W3CDTF">2017-09-08T13:05:00Z</dcterms:modified>
  <cp:category>Conference document</cp:category>
</cp:coreProperties>
</file>