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663"/>
        <w:gridCol w:w="3510"/>
      </w:tblGrid>
      <w:tr w:rsidR="006F3D57" w:rsidRPr="0005571D" w:rsidTr="00C823D7">
        <w:trPr>
          <w:cantSplit/>
        </w:trPr>
        <w:tc>
          <w:tcPr>
            <w:tcW w:w="6663" w:type="dxa"/>
          </w:tcPr>
          <w:p w:rsidR="006F3D57" w:rsidRPr="0005571D" w:rsidRDefault="006F3D57" w:rsidP="00724E8E">
            <w:pPr>
              <w:spacing w:before="360"/>
              <w:rPr>
                <w:sz w:val="30"/>
                <w:szCs w:val="30"/>
              </w:rPr>
            </w:pPr>
            <w:r w:rsidRPr="0005571D">
              <w:rPr>
                <w:b/>
                <w:bCs/>
                <w:sz w:val="30"/>
                <w:szCs w:val="30"/>
              </w:rPr>
              <w:t>G</w:t>
            </w:r>
            <w:r w:rsidR="00A16166" w:rsidRPr="0005571D">
              <w:rPr>
                <w:b/>
                <w:bCs/>
                <w:sz w:val="30"/>
                <w:szCs w:val="30"/>
              </w:rPr>
              <w:t xml:space="preserve">roupe d'experts sur le </w:t>
            </w:r>
            <w:r w:rsidR="00067113" w:rsidRPr="0005571D">
              <w:rPr>
                <w:b/>
                <w:bCs/>
                <w:sz w:val="30"/>
                <w:szCs w:val="30"/>
              </w:rPr>
              <w:t>R</w:t>
            </w:r>
            <w:r w:rsidR="00724E8E">
              <w:rPr>
                <w:b/>
                <w:bCs/>
                <w:sz w:val="30"/>
                <w:szCs w:val="30"/>
              </w:rPr>
              <w:t xml:space="preserve">èglement des </w:t>
            </w:r>
            <w:r w:rsidR="00A16166" w:rsidRPr="0005571D">
              <w:rPr>
                <w:b/>
                <w:bCs/>
                <w:sz w:val="30"/>
                <w:szCs w:val="30"/>
              </w:rPr>
              <w:t>télécommunications internationales</w:t>
            </w:r>
            <w:r w:rsidR="00D93BDF">
              <w:rPr>
                <w:b/>
                <w:bCs/>
                <w:sz w:val="30"/>
                <w:szCs w:val="30"/>
              </w:rPr>
              <w:t xml:space="preserve"> (EG-RTI</w:t>
            </w:r>
            <w:r w:rsidR="00724E8E">
              <w:rPr>
                <w:b/>
                <w:bCs/>
                <w:sz w:val="30"/>
                <w:szCs w:val="30"/>
              </w:rPr>
              <w:t>)</w:t>
            </w:r>
          </w:p>
        </w:tc>
        <w:tc>
          <w:tcPr>
            <w:tcW w:w="3510" w:type="dxa"/>
          </w:tcPr>
          <w:p w:rsidR="006F3D57" w:rsidRPr="0005571D" w:rsidRDefault="006F3D57" w:rsidP="006F3D57">
            <w:pPr>
              <w:spacing w:before="0"/>
              <w:jc w:val="right"/>
            </w:pPr>
            <w:bookmarkStart w:id="0" w:name="ditulogo"/>
            <w:bookmarkEnd w:id="0"/>
            <w:r w:rsidRPr="0005571D">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6F3D57" w:rsidRPr="0005571D" w:rsidTr="00C823D7">
        <w:trPr>
          <w:cantSplit/>
          <w:trHeight w:val="20"/>
        </w:trPr>
        <w:tc>
          <w:tcPr>
            <w:tcW w:w="6663" w:type="dxa"/>
            <w:tcBorders>
              <w:bottom w:val="single" w:sz="12" w:space="0" w:color="auto"/>
            </w:tcBorders>
            <w:vAlign w:val="center"/>
          </w:tcPr>
          <w:p w:rsidR="006F3D57" w:rsidRPr="003C7F96" w:rsidRDefault="009F2E26" w:rsidP="00724E8E">
            <w:pPr>
              <w:spacing w:before="160"/>
              <w:rPr>
                <w:b/>
                <w:bCs/>
                <w:szCs w:val="24"/>
              </w:rPr>
            </w:pPr>
            <w:r w:rsidRPr="003C7F96">
              <w:rPr>
                <w:b/>
                <w:bCs/>
                <w:szCs w:val="24"/>
              </w:rPr>
              <w:t>Deuxième</w:t>
            </w:r>
            <w:r w:rsidR="006F3D57" w:rsidRPr="003C7F96">
              <w:rPr>
                <w:b/>
                <w:bCs/>
                <w:szCs w:val="24"/>
              </w:rPr>
              <w:t xml:space="preserve"> réunion –</w:t>
            </w:r>
            <w:r w:rsidR="00A16166" w:rsidRPr="003C7F96">
              <w:rPr>
                <w:b/>
                <w:bCs/>
                <w:szCs w:val="24"/>
              </w:rPr>
              <w:t xml:space="preserve"> </w:t>
            </w:r>
            <w:r w:rsidR="006F3D57" w:rsidRPr="003C7F96">
              <w:rPr>
                <w:b/>
                <w:bCs/>
                <w:szCs w:val="24"/>
              </w:rPr>
              <w:t xml:space="preserve">Genève, </w:t>
            </w:r>
            <w:r w:rsidRPr="003C7F96">
              <w:rPr>
                <w:b/>
                <w:bCs/>
                <w:szCs w:val="24"/>
              </w:rPr>
              <w:t>13-15 septembre</w:t>
            </w:r>
            <w:r w:rsidR="006F3D57" w:rsidRPr="003C7F96">
              <w:rPr>
                <w:b/>
                <w:bCs/>
                <w:szCs w:val="24"/>
              </w:rPr>
              <w:t xml:space="preserve"> 2017</w:t>
            </w:r>
          </w:p>
        </w:tc>
        <w:tc>
          <w:tcPr>
            <w:tcW w:w="3510" w:type="dxa"/>
            <w:tcBorders>
              <w:bottom w:val="single" w:sz="12" w:space="0" w:color="auto"/>
            </w:tcBorders>
          </w:tcPr>
          <w:p w:rsidR="006F3D57" w:rsidRPr="0005571D" w:rsidRDefault="006F3D57" w:rsidP="00DF74DD">
            <w:pPr>
              <w:spacing w:before="0"/>
              <w:rPr>
                <w:b/>
                <w:bCs/>
              </w:rPr>
            </w:pPr>
          </w:p>
        </w:tc>
      </w:tr>
      <w:tr w:rsidR="006F3D57" w:rsidRPr="0005571D" w:rsidTr="00C823D7">
        <w:trPr>
          <w:cantSplit/>
          <w:trHeight w:val="20"/>
        </w:trPr>
        <w:tc>
          <w:tcPr>
            <w:tcW w:w="6663" w:type="dxa"/>
            <w:tcBorders>
              <w:top w:val="single" w:sz="12" w:space="0" w:color="auto"/>
            </w:tcBorders>
          </w:tcPr>
          <w:p w:rsidR="006F3D57" w:rsidRPr="0005571D" w:rsidRDefault="006F3D57" w:rsidP="00DF74DD">
            <w:pPr>
              <w:spacing w:before="0"/>
              <w:rPr>
                <w:smallCaps/>
                <w:sz w:val="22"/>
              </w:rPr>
            </w:pPr>
          </w:p>
        </w:tc>
        <w:tc>
          <w:tcPr>
            <w:tcW w:w="3510" w:type="dxa"/>
            <w:tcBorders>
              <w:top w:val="single" w:sz="12" w:space="0" w:color="auto"/>
            </w:tcBorders>
          </w:tcPr>
          <w:p w:rsidR="006F3D57" w:rsidRPr="0005571D" w:rsidRDefault="006F3D57" w:rsidP="00DF74DD">
            <w:pPr>
              <w:spacing w:before="0"/>
              <w:rPr>
                <w:b/>
                <w:bCs/>
              </w:rPr>
            </w:pPr>
          </w:p>
        </w:tc>
      </w:tr>
      <w:tr w:rsidR="006F3D57" w:rsidRPr="0005571D" w:rsidTr="00C823D7">
        <w:trPr>
          <w:cantSplit/>
          <w:trHeight w:val="20"/>
        </w:trPr>
        <w:tc>
          <w:tcPr>
            <w:tcW w:w="6663" w:type="dxa"/>
            <w:vMerge w:val="restart"/>
          </w:tcPr>
          <w:p w:rsidR="006F3D57" w:rsidRPr="0005571D" w:rsidRDefault="006F3D57" w:rsidP="00DF74DD">
            <w:pPr>
              <w:spacing w:before="0"/>
              <w:rPr>
                <w:rFonts w:cs="Times"/>
                <w:b/>
                <w:bCs/>
                <w:szCs w:val="24"/>
              </w:rPr>
            </w:pPr>
            <w:bookmarkStart w:id="1" w:name="dnum" w:colFirst="1" w:colLast="1"/>
            <w:bookmarkStart w:id="2" w:name="dmeeting" w:colFirst="0" w:colLast="0"/>
          </w:p>
        </w:tc>
        <w:tc>
          <w:tcPr>
            <w:tcW w:w="3510" w:type="dxa"/>
          </w:tcPr>
          <w:p w:rsidR="006F3D57" w:rsidRPr="0005571D" w:rsidRDefault="006F3D57" w:rsidP="0096571C">
            <w:pPr>
              <w:spacing w:before="0"/>
              <w:rPr>
                <w:b/>
                <w:bCs/>
              </w:rPr>
            </w:pPr>
            <w:r w:rsidRPr="0005571D">
              <w:rPr>
                <w:b/>
                <w:bCs/>
              </w:rPr>
              <w:t>Document</w:t>
            </w:r>
            <w:r w:rsidR="00504119">
              <w:rPr>
                <w:rFonts w:eastAsia="Calibri" w:cs="Calibri"/>
                <w:b/>
                <w:color w:val="000000"/>
                <w:szCs w:val="24"/>
              </w:rPr>
              <w:t xml:space="preserve"> EG-ITR</w:t>
            </w:r>
            <w:r w:rsidR="00724E8E">
              <w:rPr>
                <w:rFonts w:eastAsia="Calibri" w:cs="Calibri"/>
                <w:b/>
                <w:color w:val="000000"/>
                <w:szCs w:val="24"/>
              </w:rPr>
              <w:t>s</w:t>
            </w:r>
            <w:r w:rsidR="00504119">
              <w:rPr>
                <w:rFonts w:eastAsia="Calibri" w:cs="Calibri"/>
                <w:b/>
                <w:color w:val="000000"/>
                <w:szCs w:val="24"/>
              </w:rPr>
              <w:t>-</w:t>
            </w:r>
            <w:r w:rsidR="009F2E26">
              <w:rPr>
                <w:rFonts w:eastAsia="Calibri" w:cs="Calibri"/>
                <w:b/>
                <w:color w:val="000000"/>
                <w:szCs w:val="24"/>
              </w:rPr>
              <w:t>2</w:t>
            </w:r>
            <w:r w:rsidR="00CE0E7F" w:rsidRPr="0005571D">
              <w:rPr>
                <w:rFonts w:eastAsia="Calibri" w:cs="Calibri"/>
                <w:b/>
                <w:color w:val="000000"/>
                <w:szCs w:val="24"/>
              </w:rPr>
              <w:t>/</w:t>
            </w:r>
            <w:r w:rsidR="0096571C">
              <w:rPr>
                <w:rFonts w:eastAsia="Calibri" w:cs="Calibri"/>
                <w:b/>
                <w:color w:val="000000"/>
                <w:szCs w:val="24"/>
              </w:rPr>
              <w:t>6</w:t>
            </w:r>
            <w:r w:rsidRPr="0005571D">
              <w:rPr>
                <w:b/>
                <w:bCs/>
              </w:rPr>
              <w:t>-F</w:t>
            </w:r>
          </w:p>
        </w:tc>
      </w:tr>
      <w:tr w:rsidR="006F3D57" w:rsidRPr="0005571D" w:rsidTr="00C823D7">
        <w:trPr>
          <w:cantSplit/>
          <w:trHeight w:val="20"/>
        </w:trPr>
        <w:tc>
          <w:tcPr>
            <w:tcW w:w="6663" w:type="dxa"/>
            <w:vMerge/>
          </w:tcPr>
          <w:p w:rsidR="006F3D57" w:rsidRPr="0005571D" w:rsidRDefault="006F3D57" w:rsidP="00DF74DD">
            <w:pPr>
              <w:shd w:val="solid" w:color="FFFFFF" w:fill="FFFFFF"/>
              <w:spacing w:before="180"/>
              <w:rPr>
                <w:smallCaps/>
              </w:rPr>
            </w:pPr>
            <w:bookmarkStart w:id="3" w:name="ddate" w:colFirst="1" w:colLast="1"/>
            <w:bookmarkEnd w:id="1"/>
            <w:bookmarkEnd w:id="2"/>
          </w:p>
        </w:tc>
        <w:tc>
          <w:tcPr>
            <w:tcW w:w="3510" w:type="dxa"/>
          </w:tcPr>
          <w:p w:rsidR="006F3D57" w:rsidRPr="0005571D" w:rsidRDefault="0096571C" w:rsidP="00C823D7">
            <w:pPr>
              <w:spacing w:before="0"/>
              <w:rPr>
                <w:b/>
                <w:bCs/>
              </w:rPr>
            </w:pPr>
            <w:r>
              <w:rPr>
                <w:b/>
                <w:bCs/>
              </w:rPr>
              <w:t>25</w:t>
            </w:r>
            <w:r w:rsidR="009F2E26">
              <w:rPr>
                <w:b/>
                <w:bCs/>
              </w:rPr>
              <w:t xml:space="preserve"> août</w:t>
            </w:r>
            <w:r w:rsidR="006F3D57" w:rsidRPr="0005571D">
              <w:rPr>
                <w:b/>
                <w:bCs/>
              </w:rPr>
              <w:t xml:space="preserve"> 2017</w:t>
            </w:r>
          </w:p>
        </w:tc>
      </w:tr>
      <w:tr w:rsidR="006F3D57" w:rsidRPr="0005571D" w:rsidTr="00C823D7">
        <w:trPr>
          <w:cantSplit/>
          <w:trHeight w:val="20"/>
        </w:trPr>
        <w:tc>
          <w:tcPr>
            <w:tcW w:w="6663" w:type="dxa"/>
            <w:vMerge/>
          </w:tcPr>
          <w:p w:rsidR="006F3D57" w:rsidRPr="0005571D" w:rsidRDefault="006F3D57" w:rsidP="00DF74DD">
            <w:pPr>
              <w:shd w:val="solid" w:color="FFFFFF" w:fill="FFFFFF"/>
              <w:spacing w:before="180"/>
              <w:rPr>
                <w:smallCaps/>
              </w:rPr>
            </w:pPr>
            <w:bookmarkStart w:id="4" w:name="dorlang" w:colFirst="1" w:colLast="1"/>
            <w:bookmarkEnd w:id="3"/>
          </w:p>
        </w:tc>
        <w:tc>
          <w:tcPr>
            <w:tcW w:w="3510" w:type="dxa"/>
          </w:tcPr>
          <w:p w:rsidR="006F3D57" w:rsidRPr="0005571D" w:rsidRDefault="006F3D57" w:rsidP="00C823D7">
            <w:pPr>
              <w:spacing w:before="0"/>
              <w:rPr>
                <w:b/>
                <w:bCs/>
              </w:rPr>
            </w:pPr>
            <w:r w:rsidRPr="0005571D">
              <w:rPr>
                <w:b/>
                <w:bCs/>
              </w:rPr>
              <w:t xml:space="preserve">Original: </w:t>
            </w:r>
            <w:r w:rsidR="00C823D7">
              <w:rPr>
                <w:b/>
                <w:bCs/>
              </w:rPr>
              <w:t>anglais</w:t>
            </w:r>
            <w:r w:rsidR="009044C1">
              <w:rPr>
                <w:b/>
                <w:bCs/>
              </w:rPr>
              <w:t>/russe</w:t>
            </w:r>
          </w:p>
        </w:tc>
      </w:tr>
      <w:tr w:rsidR="006F3D57" w:rsidRPr="0005571D">
        <w:trPr>
          <w:cantSplit/>
        </w:trPr>
        <w:tc>
          <w:tcPr>
            <w:tcW w:w="10173" w:type="dxa"/>
            <w:gridSpan w:val="2"/>
          </w:tcPr>
          <w:p w:rsidR="006F3D57" w:rsidRPr="009F2E26" w:rsidRDefault="0096571C" w:rsidP="0096571C">
            <w:pPr>
              <w:pStyle w:val="Source"/>
              <w:spacing w:before="600"/>
            </w:pPr>
            <w:bookmarkStart w:id="5" w:name="dsource" w:colFirst="0" w:colLast="0"/>
            <w:bookmarkEnd w:id="4"/>
            <w:r>
              <w:t>Contribution de la Fédération de Russie</w:t>
            </w:r>
          </w:p>
        </w:tc>
      </w:tr>
      <w:tr w:rsidR="006F3D57" w:rsidRPr="0005571D">
        <w:trPr>
          <w:cantSplit/>
        </w:trPr>
        <w:tc>
          <w:tcPr>
            <w:tcW w:w="10173" w:type="dxa"/>
            <w:gridSpan w:val="2"/>
          </w:tcPr>
          <w:p w:rsidR="006F3D57" w:rsidRPr="00731997" w:rsidRDefault="0096571C" w:rsidP="009F2E26">
            <w:pPr>
              <w:pStyle w:val="Title1"/>
            </w:pPr>
            <w:bookmarkStart w:id="6" w:name="dtitle1" w:colFirst="0" w:colLast="0"/>
            <w:bookmarkEnd w:id="5"/>
            <w:r w:rsidRPr="00C455C3">
              <w:rPr>
                <w:lang w:val="fr-CH"/>
              </w:rPr>
              <w:t>administrations des communications</w:t>
            </w:r>
            <w:r>
              <w:rPr>
                <w:lang w:val="fr-CH"/>
              </w:rPr>
              <w:t>, opé</w:t>
            </w:r>
            <w:r w:rsidRPr="00C455C3">
              <w:rPr>
                <w:lang w:val="fr-CH"/>
              </w:rPr>
              <w:t>rateurs (noms)</w:t>
            </w:r>
          </w:p>
        </w:tc>
      </w:tr>
      <w:tr w:rsidR="009F2E26" w:rsidRPr="0005571D">
        <w:trPr>
          <w:cantSplit/>
        </w:trPr>
        <w:tc>
          <w:tcPr>
            <w:tcW w:w="10173" w:type="dxa"/>
            <w:gridSpan w:val="2"/>
          </w:tcPr>
          <w:p w:rsidR="009F2E26" w:rsidRDefault="009F2E26" w:rsidP="009F2E26">
            <w:pPr>
              <w:pStyle w:val="Title1"/>
            </w:pPr>
            <w:r>
              <w:t>EXAMEN DU</w:t>
            </w:r>
            <w:r w:rsidRPr="00C823D7">
              <w:t xml:space="preserve"> règlement des télécommunications internationales</w:t>
            </w:r>
          </w:p>
        </w:tc>
      </w:tr>
    </w:tbl>
    <w:bookmarkEnd w:id="6"/>
    <w:p w:rsidR="0096571C" w:rsidRPr="00C455C3" w:rsidRDefault="0096571C" w:rsidP="003C7F96">
      <w:pPr>
        <w:pStyle w:val="Headingb"/>
        <w:keepNext w:val="0"/>
        <w:keepLines w:val="0"/>
        <w:tabs>
          <w:tab w:val="clear" w:pos="567"/>
          <w:tab w:val="clear" w:pos="1134"/>
          <w:tab w:val="clear" w:pos="1701"/>
          <w:tab w:val="clear" w:pos="2268"/>
          <w:tab w:val="clear" w:pos="2835"/>
        </w:tabs>
        <w:snapToGrid w:val="0"/>
        <w:spacing w:before="600" w:after="120"/>
      </w:pPr>
      <w:r w:rsidRPr="00C455C3">
        <w:t>Introduction</w:t>
      </w:r>
    </w:p>
    <w:p w:rsidR="0096571C" w:rsidRPr="00C455C3" w:rsidRDefault="0096571C" w:rsidP="003C7F96">
      <w:pPr>
        <w:tabs>
          <w:tab w:val="clear" w:pos="567"/>
          <w:tab w:val="clear" w:pos="1134"/>
          <w:tab w:val="clear" w:pos="1701"/>
          <w:tab w:val="clear" w:pos="2268"/>
          <w:tab w:val="clear" w:pos="2835"/>
        </w:tabs>
        <w:snapToGrid w:val="0"/>
        <w:spacing w:after="120"/>
        <w:rPr>
          <w:lang w:val="fr-CH"/>
        </w:rPr>
      </w:pPr>
      <w:r w:rsidRPr="00C455C3">
        <w:rPr>
          <w:lang w:val="fr-CH"/>
        </w:rPr>
        <w:t>Lors de la période précédente d'examen de la version de 1988 du Règlement des télécommunications internationales (RTI), allant de 1999 jusqu'à la décision prise par la Conférence de plénipotentiaires</w:t>
      </w:r>
      <w:r>
        <w:rPr>
          <w:lang w:val="fr-CH"/>
        </w:rPr>
        <w:t xml:space="preserve"> de 2010</w:t>
      </w:r>
      <w:r w:rsidRPr="00C455C3">
        <w:rPr>
          <w:lang w:val="fr-CH"/>
        </w:rPr>
        <w:t xml:space="preserve"> de réviser le RTI à la Conférence mondiale des télécommunications internationales (CMTI) de 2012, les avis formulés au sujet de certaines dispositions du futur RTI divergeaient, comme c'est encore le cas aujourd'hui.</w:t>
      </w:r>
    </w:p>
    <w:p w:rsidR="0096571C" w:rsidRPr="00C455C3" w:rsidRDefault="0096571C" w:rsidP="003C7F96">
      <w:pPr>
        <w:tabs>
          <w:tab w:val="clear" w:pos="567"/>
          <w:tab w:val="clear" w:pos="1134"/>
          <w:tab w:val="clear" w:pos="1701"/>
          <w:tab w:val="clear" w:pos="2268"/>
          <w:tab w:val="clear" w:pos="2835"/>
        </w:tabs>
        <w:snapToGrid w:val="0"/>
        <w:spacing w:after="120"/>
        <w:rPr>
          <w:lang w:val="fr-CH"/>
        </w:rPr>
      </w:pPr>
      <w:r w:rsidRPr="00C455C3">
        <w:rPr>
          <w:lang w:val="fr-CH"/>
        </w:rPr>
        <w:t>A la suite des discussions portant sur ce point, toutes les parties prenantes sont parvenues à un consensus selon lequel le RTI dans sa version de 1988 devait être révisé et la CMTI-2012 serait convoquée à cette fin.</w:t>
      </w:r>
    </w:p>
    <w:p w:rsidR="0096571C" w:rsidRPr="00C455C3" w:rsidRDefault="0096571C" w:rsidP="003C7F96">
      <w:pPr>
        <w:tabs>
          <w:tab w:val="clear" w:pos="567"/>
          <w:tab w:val="clear" w:pos="1134"/>
          <w:tab w:val="clear" w:pos="1701"/>
          <w:tab w:val="clear" w:pos="2268"/>
          <w:tab w:val="clear" w:pos="2835"/>
        </w:tabs>
        <w:snapToGrid w:val="0"/>
        <w:spacing w:after="120"/>
        <w:rPr>
          <w:lang w:val="fr-CH"/>
        </w:rPr>
      </w:pPr>
      <w:r w:rsidRPr="00C455C3">
        <w:rPr>
          <w:lang w:val="fr-CH"/>
        </w:rPr>
        <w:t>A l'issue de la CMTI-12, les Etats Membres de l'UIT, pour toute une série de raisons, n'ont pas tous signé les Actes finals de la CMTI (Dubaï, 2012</w:t>
      </w:r>
      <w:r>
        <w:rPr>
          <w:lang w:val="fr-CH"/>
        </w:rPr>
        <w:t xml:space="preserve">) </w:t>
      </w:r>
      <w:r w:rsidRPr="00C455C3">
        <w:rPr>
          <w:lang w:val="fr-CH"/>
        </w:rPr>
        <w:t>ou n'ont pas adhéré par la suite au RTI de 2012. Lors de la CMTI-12, certains Etats Membres ont fait des déclarations ou formulé des réserves ne les empêchant pas d'adhérer par la suite au RTI de 2012.</w:t>
      </w:r>
    </w:p>
    <w:p w:rsidR="0096571C" w:rsidRPr="00C455C3" w:rsidRDefault="0096571C" w:rsidP="003C7F96">
      <w:pPr>
        <w:tabs>
          <w:tab w:val="clear" w:pos="567"/>
          <w:tab w:val="clear" w:pos="1134"/>
          <w:tab w:val="clear" w:pos="1701"/>
          <w:tab w:val="clear" w:pos="2268"/>
          <w:tab w:val="clear" w:pos="2835"/>
        </w:tabs>
        <w:snapToGrid w:val="0"/>
        <w:spacing w:after="120"/>
        <w:rPr>
          <w:lang w:val="fr-CH"/>
        </w:rPr>
      </w:pPr>
      <w:r w:rsidRPr="00C455C3">
        <w:rPr>
          <w:lang w:val="fr-CH"/>
        </w:rPr>
        <w:t>La situation actuelle est donc la suivante: d'un côté, tous les Etats Membres sont convenus de la nécessité de réviser le RTI de 1988, et d'un autre côté, un certain nombre d'Etats ont déclaré être dans l'impossibilité d'adhérer au RTI tel que révisé par la CMTI-12.</w:t>
      </w:r>
    </w:p>
    <w:p w:rsidR="0096571C" w:rsidRPr="00C455C3" w:rsidRDefault="0096571C" w:rsidP="003C7F96">
      <w:pPr>
        <w:tabs>
          <w:tab w:val="clear" w:pos="567"/>
          <w:tab w:val="clear" w:pos="1134"/>
          <w:tab w:val="clear" w:pos="1701"/>
          <w:tab w:val="clear" w:pos="2268"/>
          <w:tab w:val="clear" w:pos="2835"/>
        </w:tabs>
        <w:snapToGrid w:val="0"/>
        <w:spacing w:after="120"/>
        <w:rPr>
          <w:lang w:val="fr-CH"/>
        </w:rPr>
      </w:pPr>
      <w:r w:rsidRPr="00C455C3">
        <w:rPr>
          <w:lang w:val="fr-CH"/>
        </w:rPr>
        <w:t>L'application du RTI de 1988 est donc limitée du fait même d'une compréhension dépassée de l'objet du Règlement et des sujets qui y sont traités</w:t>
      </w:r>
      <w:r>
        <w:rPr>
          <w:lang w:val="fr-CH"/>
        </w:rPr>
        <w:t>,</w:t>
      </w:r>
      <w:r w:rsidRPr="00C455C3">
        <w:rPr>
          <w:lang w:val="fr-CH"/>
        </w:rPr>
        <w:t xml:space="preserve"> tandis que l'application du RTI de 2012 est limitée compte tenu du petit nombre de pays qui y ont adhéré.</w:t>
      </w:r>
    </w:p>
    <w:p w:rsidR="0096571C" w:rsidRPr="00C455C3" w:rsidRDefault="0096571C" w:rsidP="003C7F96">
      <w:pPr>
        <w:tabs>
          <w:tab w:val="clear" w:pos="567"/>
          <w:tab w:val="clear" w:pos="1134"/>
          <w:tab w:val="clear" w:pos="1701"/>
          <w:tab w:val="clear" w:pos="2268"/>
          <w:tab w:val="clear" w:pos="2835"/>
        </w:tabs>
        <w:snapToGrid w:val="0"/>
        <w:spacing w:after="120"/>
        <w:rPr>
          <w:lang w:val="fr-CH"/>
        </w:rPr>
      </w:pPr>
      <w:r w:rsidRPr="00C455C3">
        <w:rPr>
          <w:lang w:val="fr-CH"/>
        </w:rPr>
        <w:t>L'application simultanée des dispositions du RTI de 1988 et du RTI</w:t>
      </w:r>
      <w:bookmarkStart w:id="7" w:name="_GoBack"/>
      <w:bookmarkEnd w:id="7"/>
      <w:r w:rsidRPr="00C455C3">
        <w:rPr>
          <w:lang w:val="fr-CH"/>
        </w:rPr>
        <w:t xml:space="preserve"> de 2012 est impossible, notamment pour les raison </w:t>
      </w:r>
      <w:r w:rsidRPr="006645DD">
        <w:t>susmentionnées</w:t>
      </w:r>
      <w:r w:rsidRPr="00C455C3">
        <w:rPr>
          <w:lang w:val="fr-CH"/>
        </w:rPr>
        <w:t>.</w:t>
      </w:r>
    </w:p>
    <w:p w:rsidR="0096571C" w:rsidRPr="00C455C3" w:rsidRDefault="0096571C" w:rsidP="003C7F96">
      <w:pPr>
        <w:pStyle w:val="Headingb"/>
        <w:keepNext w:val="0"/>
        <w:keepLines w:val="0"/>
        <w:tabs>
          <w:tab w:val="clear" w:pos="567"/>
          <w:tab w:val="clear" w:pos="1134"/>
          <w:tab w:val="clear" w:pos="1701"/>
          <w:tab w:val="clear" w:pos="2268"/>
          <w:tab w:val="clear" w:pos="2835"/>
        </w:tabs>
        <w:snapToGrid w:val="0"/>
        <w:spacing w:before="120" w:after="120"/>
      </w:pPr>
      <w:r w:rsidRPr="00C455C3">
        <w:t>Proposition</w:t>
      </w:r>
    </w:p>
    <w:p w:rsidR="0096571C" w:rsidRPr="00C455C3" w:rsidRDefault="0096571C" w:rsidP="003C7F96">
      <w:pPr>
        <w:tabs>
          <w:tab w:val="clear" w:pos="567"/>
          <w:tab w:val="clear" w:pos="1134"/>
          <w:tab w:val="clear" w:pos="1701"/>
          <w:tab w:val="clear" w:pos="2268"/>
          <w:tab w:val="clear" w:pos="2835"/>
        </w:tabs>
        <w:snapToGrid w:val="0"/>
        <w:spacing w:after="120"/>
        <w:rPr>
          <w:lang w:val="fr-CH"/>
        </w:rPr>
      </w:pPr>
      <w:r w:rsidRPr="00C455C3">
        <w:rPr>
          <w:lang w:val="fr-CH"/>
        </w:rPr>
        <w:t>Compte tenu de ce qui précède, nous invitons le Conseil, à sa session de 2018, à inclure dans le rapport final du Groupe EG-RTI</w:t>
      </w:r>
      <w:r>
        <w:rPr>
          <w:lang w:val="fr-CH"/>
        </w:rPr>
        <w:t xml:space="preserve"> </w:t>
      </w:r>
      <w:r w:rsidRPr="00C455C3">
        <w:rPr>
          <w:lang w:val="fr-CH"/>
        </w:rPr>
        <w:t>le point de vue selon lequel il est raisonnable pour toutes les parties prenantes de parvenir à un large consensus concernant l'adoption par les Etats Membres de l'UIT d'une version unique du RTI, afin de créer un environnement propice au développement et à l'exploitation des télécommunications internationales/TIC.</w:t>
      </w:r>
    </w:p>
    <w:p w:rsidR="0096571C" w:rsidRPr="001C0870" w:rsidRDefault="0096571C" w:rsidP="003C7F96">
      <w:pPr>
        <w:pStyle w:val="Normal1"/>
        <w:tabs>
          <w:tab w:val="left" w:pos="1418"/>
        </w:tabs>
        <w:spacing w:before="600"/>
        <w:jc w:val="center"/>
        <w:rPr>
          <w:rFonts w:asciiTheme="minorHAnsi" w:hAnsiTheme="minorHAnsi" w:cs="Times New Roman"/>
          <w:sz w:val="22"/>
          <w:szCs w:val="22"/>
          <w:u w:val="single"/>
        </w:rPr>
      </w:pPr>
      <w:r w:rsidRPr="00C455C3">
        <w:rPr>
          <w:rFonts w:asciiTheme="minorHAnsi" w:hAnsiTheme="minorHAnsi" w:cs="Times New Roman"/>
          <w:sz w:val="22"/>
          <w:szCs w:val="22"/>
          <w:u w:val="single"/>
        </w:rPr>
        <w:t>__________________</w:t>
      </w:r>
    </w:p>
    <w:sectPr w:rsidR="0096571C" w:rsidRPr="001C0870" w:rsidSect="003C7F96">
      <w:headerReference w:type="even" r:id="rId8"/>
      <w:headerReference w:type="default" r:id="rId9"/>
      <w:footerReference w:type="even" r:id="rId10"/>
      <w:footerReference w:type="default" r:id="rId11"/>
      <w:pgSz w:w="11907" w:h="16840" w:code="9"/>
      <w:pgMar w:top="1134" w:right="1134" w:bottom="1134"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C0F" w:rsidRDefault="00E17C0F">
      <w:r>
        <w:separator/>
      </w:r>
    </w:p>
  </w:endnote>
  <w:endnote w:type="continuationSeparator" w:id="0">
    <w:p w:rsidR="00E17C0F" w:rsidRDefault="00E1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0F" w:rsidRDefault="00D93BDF">
    <w:pPr>
      <w:pStyle w:val="Footer"/>
    </w:pPr>
    <w:fldSimple w:instr=" FILENAME \p \* MERGEFORMAT ">
      <w:r w:rsidR="00B64319">
        <w:t>P:\FRA\SG\CONSEIL\EG-ITR\EG-ITR-2\000\006F.docx</w:t>
      </w:r>
    </w:fldSimple>
    <w:r w:rsidR="00E17C0F">
      <w:tab/>
    </w:r>
    <w:r w:rsidR="00E17C0F">
      <w:fldChar w:fldCharType="begin"/>
    </w:r>
    <w:r w:rsidR="00E17C0F">
      <w:instrText xml:space="preserve"> savedate \@ dd.MM.yy </w:instrText>
    </w:r>
    <w:r w:rsidR="00E17C0F">
      <w:fldChar w:fldCharType="separate"/>
    </w:r>
    <w:r w:rsidR="003C7F96">
      <w:t>04.09.17</w:t>
    </w:r>
    <w:r w:rsidR="00E17C0F">
      <w:fldChar w:fldCharType="end"/>
    </w:r>
    <w:r w:rsidR="00E17C0F">
      <w:tab/>
    </w:r>
    <w:r w:rsidR="00E17C0F">
      <w:fldChar w:fldCharType="begin"/>
    </w:r>
    <w:r w:rsidR="00E17C0F">
      <w:instrText xml:space="preserve"> printdate \@ dd.MM.yy </w:instrText>
    </w:r>
    <w:r w:rsidR="00E17C0F">
      <w:fldChar w:fldCharType="separate"/>
    </w:r>
    <w:r w:rsidR="00B64319">
      <w:t>04.09.17</w:t>
    </w:r>
    <w:r w:rsidR="00E17C0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0F" w:rsidRPr="00D26B19" w:rsidRDefault="00D93BDF" w:rsidP="00504119">
    <w:pPr>
      <w:pStyle w:val="Footer"/>
    </w:pPr>
    <w:fldSimple w:instr=" FILENAME \p \* MERGEFORMAT ">
      <w:r w:rsidR="00B64319">
        <w:t>P:\FRA\SG\CONSEIL\EG-ITR\EG-ITR-2\000\006F.docx</w:t>
      </w:r>
    </w:fldSimple>
    <w:r w:rsidR="00D26B19">
      <w:t xml:space="preserve"> (4</w:t>
    </w:r>
    <w:r w:rsidR="00504119">
      <w:t>22284</w:t>
    </w:r>
    <w:r w:rsidR="00D26B19">
      <w:t>)</w:t>
    </w:r>
    <w:r w:rsidR="00D26B19">
      <w:tab/>
    </w:r>
    <w:r w:rsidR="00D26B19">
      <w:fldChar w:fldCharType="begin"/>
    </w:r>
    <w:r w:rsidR="00D26B19">
      <w:instrText xml:space="preserve"> savedate \@ dd.MM.yy </w:instrText>
    </w:r>
    <w:r w:rsidR="00D26B19">
      <w:fldChar w:fldCharType="separate"/>
    </w:r>
    <w:r w:rsidR="003C7F96">
      <w:t>04.09.17</w:t>
    </w:r>
    <w:r w:rsidR="00D26B19">
      <w:fldChar w:fldCharType="end"/>
    </w:r>
    <w:r w:rsidR="00D26B19">
      <w:tab/>
    </w:r>
    <w:r w:rsidR="00D26B19">
      <w:fldChar w:fldCharType="begin"/>
    </w:r>
    <w:r w:rsidR="00D26B19">
      <w:instrText xml:space="preserve"> printdate \@ dd.MM.yy </w:instrText>
    </w:r>
    <w:r w:rsidR="00D26B19">
      <w:fldChar w:fldCharType="separate"/>
    </w:r>
    <w:r w:rsidR="00B64319">
      <w:t>04.09.17</w:t>
    </w:r>
    <w:r w:rsidR="00D26B1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C0F" w:rsidRDefault="00E17C0F">
      <w:r>
        <w:t>____________________</w:t>
      </w:r>
    </w:p>
  </w:footnote>
  <w:footnote w:type="continuationSeparator" w:id="0">
    <w:p w:rsidR="00E17C0F" w:rsidRDefault="00E17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0F" w:rsidRDefault="00E17C0F">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E17C0F" w:rsidRDefault="00E17C0F">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0F" w:rsidRDefault="00E17C0F" w:rsidP="00475FB3">
    <w:pPr>
      <w:pStyle w:val="Header"/>
    </w:pPr>
    <w:r>
      <w:fldChar w:fldCharType="begin"/>
    </w:r>
    <w:r>
      <w:instrText>PAGE</w:instrText>
    </w:r>
    <w:r>
      <w:fldChar w:fldCharType="separate"/>
    </w:r>
    <w:r w:rsidR="003C7F96">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7"/>
    <w:rsid w:val="0005571D"/>
    <w:rsid w:val="00067113"/>
    <w:rsid w:val="000A5A2F"/>
    <w:rsid w:val="000D0D0A"/>
    <w:rsid w:val="00103163"/>
    <w:rsid w:val="00115D93"/>
    <w:rsid w:val="001247A8"/>
    <w:rsid w:val="001378C0"/>
    <w:rsid w:val="00144281"/>
    <w:rsid w:val="0018693B"/>
    <w:rsid w:val="0018694A"/>
    <w:rsid w:val="001A3287"/>
    <w:rsid w:val="001C06AE"/>
    <w:rsid w:val="001D4C30"/>
    <w:rsid w:val="001D4C31"/>
    <w:rsid w:val="001E4D21"/>
    <w:rsid w:val="00207CD1"/>
    <w:rsid w:val="00211EEE"/>
    <w:rsid w:val="002477A2"/>
    <w:rsid w:val="00263A51"/>
    <w:rsid w:val="00267E02"/>
    <w:rsid w:val="002A29A6"/>
    <w:rsid w:val="002A5D44"/>
    <w:rsid w:val="002E0BC4"/>
    <w:rsid w:val="002F1B76"/>
    <w:rsid w:val="0030486F"/>
    <w:rsid w:val="0034201C"/>
    <w:rsid w:val="00355FF5"/>
    <w:rsid w:val="00361350"/>
    <w:rsid w:val="003C438E"/>
    <w:rsid w:val="003C7F96"/>
    <w:rsid w:val="004038CB"/>
    <w:rsid w:val="0040546F"/>
    <w:rsid w:val="00407467"/>
    <w:rsid w:val="0042404A"/>
    <w:rsid w:val="0044618F"/>
    <w:rsid w:val="00457B99"/>
    <w:rsid w:val="0046769A"/>
    <w:rsid w:val="00475FB3"/>
    <w:rsid w:val="004C37A9"/>
    <w:rsid w:val="004D3905"/>
    <w:rsid w:val="004F259E"/>
    <w:rsid w:val="00504119"/>
    <w:rsid w:val="00511F1D"/>
    <w:rsid w:val="00540615"/>
    <w:rsid w:val="00540A6D"/>
    <w:rsid w:val="00571EEA"/>
    <w:rsid w:val="005741E9"/>
    <w:rsid w:val="00575417"/>
    <w:rsid w:val="005768E1"/>
    <w:rsid w:val="005C3890"/>
    <w:rsid w:val="005F7BFE"/>
    <w:rsid w:val="00600017"/>
    <w:rsid w:val="006235CA"/>
    <w:rsid w:val="00646FB2"/>
    <w:rsid w:val="006643AB"/>
    <w:rsid w:val="006A423E"/>
    <w:rsid w:val="006F3D57"/>
    <w:rsid w:val="006F4FEA"/>
    <w:rsid w:val="007210CD"/>
    <w:rsid w:val="00724E8E"/>
    <w:rsid w:val="007305DB"/>
    <w:rsid w:val="00731997"/>
    <w:rsid w:val="00732045"/>
    <w:rsid w:val="00733458"/>
    <w:rsid w:val="007369DB"/>
    <w:rsid w:val="00742183"/>
    <w:rsid w:val="007956C2"/>
    <w:rsid w:val="007A187E"/>
    <w:rsid w:val="007C72C2"/>
    <w:rsid w:val="007D4436"/>
    <w:rsid w:val="007F257A"/>
    <w:rsid w:val="007F3665"/>
    <w:rsid w:val="007F4FDC"/>
    <w:rsid w:val="00800037"/>
    <w:rsid w:val="00861D73"/>
    <w:rsid w:val="008740D5"/>
    <w:rsid w:val="0088780C"/>
    <w:rsid w:val="008A4E87"/>
    <w:rsid w:val="008D596C"/>
    <w:rsid w:val="008D76E6"/>
    <w:rsid w:val="009044C1"/>
    <w:rsid w:val="0092392D"/>
    <w:rsid w:val="0093234A"/>
    <w:rsid w:val="00961315"/>
    <w:rsid w:val="0096571C"/>
    <w:rsid w:val="00996DED"/>
    <w:rsid w:val="009A1F22"/>
    <w:rsid w:val="009A2476"/>
    <w:rsid w:val="009C307F"/>
    <w:rsid w:val="009E5CAD"/>
    <w:rsid w:val="009F2E26"/>
    <w:rsid w:val="00A00D7A"/>
    <w:rsid w:val="00A16166"/>
    <w:rsid w:val="00A2113E"/>
    <w:rsid w:val="00A23A51"/>
    <w:rsid w:val="00A24607"/>
    <w:rsid w:val="00A25CD3"/>
    <w:rsid w:val="00A82767"/>
    <w:rsid w:val="00AA332F"/>
    <w:rsid w:val="00AA7BBB"/>
    <w:rsid w:val="00AB64A8"/>
    <w:rsid w:val="00AC0266"/>
    <w:rsid w:val="00AD24EC"/>
    <w:rsid w:val="00B309F9"/>
    <w:rsid w:val="00B32B60"/>
    <w:rsid w:val="00B42C0A"/>
    <w:rsid w:val="00B61619"/>
    <w:rsid w:val="00B64319"/>
    <w:rsid w:val="00B70965"/>
    <w:rsid w:val="00B846DF"/>
    <w:rsid w:val="00BB4545"/>
    <w:rsid w:val="00BD23FD"/>
    <w:rsid w:val="00BD5873"/>
    <w:rsid w:val="00C04BE3"/>
    <w:rsid w:val="00C10823"/>
    <w:rsid w:val="00C25D29"/>
    <w:rsid w:val="00C27A7C"/>
    <w:rsid w:val="00C810F9"/>
    <w:rsid w:val="00C823D7"/>
    <w:rsid w:val="00CA08ED"/>
    <w:rsid w:val="00CD7E99"/>
    <w:rsid w:val="00CE0E7F"/>
    <w:rsid w:val="00CF183B"/>
    <w:rsid w:val="00D26B19"/>
    <w:rsid w:val="00D375CD"/>
    <w:rsid w:val="00D553A2"/>
    <w:rsid w:val="00D774D3"/>
    <w:rsid w:val="00D8293D"/>
    <w:rsid w:val="00D904E8"/>
    <w:rsid w:val="00D93BDF"/>
    <w:rsid w:val="00DA08C3"/>
    <w:rsid w:val="00DB5A3E"/>
    <w:rsid w:val="00DC22AA"/>
    <w:rsid w:val="00DF74DD"/>
    <w:rsid w:val="00E17C0F"/>
    <w:rsid w:val="00E25AD0"/>
    <w:rsid w:val="00EB6350"/>
    <w:rsid w:val="00F04D8D"/>
    <w:rsid w:val="00F15B57"/>
    <w:rsid w:val="00F427DB"/>
    <w:rsid w:val="00F50CE4"/>
    <w:rsid w:val="00F739A6"/>
    <w:rsid w:val="00FA5EB1"/>
    <w:rsid w:val="00FA7439"/>
    <w:rsid w:val="00FC4EC0"/>
    <w:rsid w:val="00FE51D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9D5342A8-F7D3-449F-B655-33EEC573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F3D5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uiPriority w:val="99"/>
    <w:locked/>
    <w:rsid w:val="00C810F9"/>
    <w:rPr>
      <w:rFonts w:ascii="Calibri" w:hAnsi="Calibri"/>
      <w:sz w:val="24"/>
      <w:lang w:val="fr-FR" w:eastAsia="en-US"/>
    </w:rPr>
  </w:style>
  <w:style w:type="paragraph" w:customStyle="1" w:styleId="j">
    <w:name w:val="j"/>
    <w:basedOn w:val="Heading2"/>
    <w:rsid w:val="00F739A6"/>
  </w:style>
  <w:style w:type="paragraph" w:customStyle="1" w:styleId="Normal1">
    <w:name w:val="Normal1"/>
    <w:rsid w:val="0096571C"/>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F6DF-E21A-47F1-B445-9BF99927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PF_C17.dotm</Template>
  <TotalTime>1</TotalTime>
  <Pages>1</Pages>
  <Words>391</Words>
  <Characters>2103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CONTRIBUTION DU GROUPE D'EXPERTS SUR LE RÈGLEMENT DES TÉLÉCOMMUNICATIONS INTERNATIONALES (EG-RTI)</vt:lpstr>
    </vt:vector>
  </TitlesOfParts>
  <Manager>Secrétariat général - Pool</Manager>
  <Company>Union internationale des télécommunications (UIT)</Company>
  <LinksUpToDate>false</LinksUpToDate>
  <CharactersWithSpaces>2490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des Communications, Opérateurs (noms) - Examen des ITRs</dc:title>
  <dc:subject>EG-ITRs</dc:subject>
  <dc:creator>Brouard, Ricarda</dc:creator>
  <cp:keywords>EG-ITRs</cp:keywords>
  <dc:description/>
  <cp:lastModifiedBy>Brouard, Ricarda</cp:lastModifiedBy>
  <cp:revision>2</cp:revision>
  <cp:lastPrinted>2017-09-04T08:29:00Z</cp:lastPrinted>
  <dcterms:created xsi:type="dcterms:W3CDTF">2017-09-04T12:44:00Z</dcterms:created>
  <dcterms:modified xsi:type="dcterms:W3CDTF">2017-09-04T12:44:00Z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EG-ITRs 1/4-F</vt:lpwstr>
  </property>
  <property fmtid="{D5CDD505-2E9C-101B-9397-08002B2CF9AE}" pid="3" name="Docdate">
    <vt:lpwstr>25 janvier 2017</vt:lpwstr>
  </property>
  <property fmtid="{D5CDD505-2E9C-101B-9397-08002B2CF9AE}" pid="4" name="Docorlang">
    <vt:lpwstr>Original: arabe</vt:lpwstr>
  </property>
  <property fmtid="{D5CDD505-2E9C-101B-9397-08002B2CF9AE}" pid="5" name="Docbluepink">
    <vt:lpwstr/>
  </property>
  <property fmtid="{D5CDD505-2E9C-101B-9397-08002B2CF9AE}" pid="6" name="Docdest">
    <vt:lpwstr/>
  </property>
  <property fmtid="{D5CDD505-2E9C-101B-9397-08002B2CF9AE}" pid="7" name="Docauthor">
    <vt:lpwstr>Contribution de la Jordanie, de l'Arabie saoudite et des Emirats arabes unis</vt:lpwstr>
  </property>
</Properties>
</file>