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31" w:type="dxa"/>
        <w:tblInd w:w="-115" w:type="dxa"/>
        <w:tblLayout w:type="fixed"/>
        <w:tblLook w:val="0000" w:firstRow="0" w:lastRow="0" w:firstColumn="0" w:lastColumn="0" w:noHBand="0" w:noVBand="0"/>
      </w:tblPr>
      <w:tblGrid>
        <w:gridCol w:w="6487"/>
        <w:gridCol w:w="3544"/>
      </w:tblGrid>
      <w:tr w:rsidR="00927ED1" w:rsidTr="00AA3655">
        <w:trPr>
          <w:trHeight w:val="1469"/>
        </w:trPr>
        <w:tc>
          <w:tcPr>
            <w:tcW w:w="6487" w:type="dxa"/>
            <w:vAlign w:val="center"/>
          </w:tcPr>
          <w:p w:rsidR="00927ED1" w:rsidRDefault="00927ED1" w:rsidP="00927ED1">
            <w:pPr>
              <w:pStyle w:val="Normal1"/>
              <w:adjustRightInd w:val="0"/>
              <w:snapToGrid w:val="0"/>
              <w:spacing w:before="0"/>
            </w:pPr>
            <w:bookmarkStart w:id="0" w:name="_GoBack"/>
            <w:bookmarkEnd w:id="0"/>
            <w:r>
              <w:rPr>
                <w:b/>
                <w:bCs/>
                <w:position w:val="6"/>
                <w:sz w:val="30"/>
                <w:szCs w:val="30"/>
              </w:rPr>
              <w:t xml:space="preserve">Expert Group on </w:t>
            </w:r>
            <w:r>
              <w:rPr>
                <w:b/>
                <w:bCs/>
                <w:position w:val="6"/>
                <w:sz w:val="30"/>
                <w:szCs w:val="30"/>
              </w:rPr>
              <w:br/>
              <w:t>International Telecommunication Regulations</w:t>
            </w:r>
          </w:p>
          <w:p w:rsidR="00927ED1" w:rsidRDefault="00927ED1" w:rsidP="00927ED1">
            <w:pPr>
              <w:pStyle w:val="Normal1"/>
              <w:spacing w:before="0"/>
            </w:pPr>
            <w:r>
              <w:rPr>
                <w:b/>
              </w:rPr>
              <w:t xml:space="preserve">Second meeting – Geneva, 13-15 September 2017 </w:t>
            </w:r>
          </w:p>
        </w:tc>
        <w:tc>
          <w:tcPr>
            <w:tcW w:w="3544" w:type="dxa"/>
          </w:tcPr>
          <w:p w:rsidR="00927ED1" w:rsidRDefault="00927ED1" w:rsidP="006506AD">
            <w:pPr>
              <w:pStyle w:val="Normal1"/>
              <w:spacing w:before="0"/>
            </w:pPr>
            <w:bookmarkStart w:id="1" w:name="h.30j0zll" w:colFirst="0" w:colLast="0"/>
            <w:bookmarkEnd w:id="1"/>
            <w:r>
              <w:rPr>
                <w:noProof/>
                <w:lang w:val="en-US" w:eastAsia="zh-CN"/>
              </w:rPr>
              <w:drawing>
                <wp:inline distT="0" distB="0" distL="0" distR="0" wp14:anchorId="390444F4" wp14:editId="73D61BEE">
                  <wp:extent cx="1760220" cy="746760"/>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1760220" cy="746760"/>
                          </a:xfrm>
                          <a:prstGeom prst="rect">
                            <a:avLst/>
                          </a:prstGeom>
                          <a:ln/>
                        </pic:spPr>
                      </pic:pic>
                    </a:graphicData>
                  </a:graphic>
                </wp:inline>
              </w:drawing>
            </w:r>
          </w:p>
        </w:tc>
      </w:tr>
      <w:tr w:rsidR="00BB3930" w:rsidTr="006506AD">
        <w:tc>
          <w:tcPr>
            <w:tcW w:w="6487" w:type="dxa"/>
            <w:tcBorders>
              <w:top w:val="single" w:sz="12" w:space="0" w:color="000000"/>
            </w:tcBorders>
          </w:tcPr>
          <w:p w:rsidR="00BB3930" w:rsidRDefault="00BB3930" w:rsidP="006506AD">
            <w:pPr>
              <w:pStyle w:val="Normal1"/>
              <w:spacing w:before="0"/>
            </w:pPr>
          </w:p>
        </w:tc>
        <w:tc>
          <w:tcPr>
            <w:tcW w:w="3544" w:type="dxa"/>
            <w:tcBorders>
              <w:top w:val="single" w:sz="12" w:space="0" w:color="000000"/>
            </w:tcBorders>
          </w:tcPr>
          <w:p w:rsidR="00BB3930" w:rsidRDefault="00BB3930" w:rsidP="006506AD">
            <w:pPr>
              <w:pStyle w:val="Normal1"/>
              <w:spacing w:before="0"/>
            </w:pPr>
          </w:p>
        </w:tc>
      </w:tr>
      <w:tr w:rsidR="00BB3930" w:rsidTr="006506AD">
        <w:trPr>
          <w:trHeight w:val="20"/>
        </w:trPr>
        <w:tc>
          <w:tcPr>
            <w:tcW w:w="6487" w:type="dxa"/>
            <w:vMerge w:val="restart"/>
          </w:tcPr>
          <w:p w:rsidR="00BB3930" w:rsidRDefault="00BB3930" w:rsidP="006506AD">
            <w:pPr>
              <w:pStyle w:val="Normal1"/>
              <w:tabs>
                <w:tab w:val="left" w:pos="851"/>
              </w:tabs>
              <w:spacing w:before="0"/>
            </w:pPr>
          </w:p>
        </w:tc>
        <w:tc>
          <w:tcPr>
            <w:tcW w:w="3544" w:type="dxa"/>
          </w:tcPr>
          <w:p w:rsidR="00BB3930" w:rsidRDefault="002234B3" w:rsidP="00FC52BA">
            <w:pPr>
              <w:pStyle w:val="Normal1"/>
              <w:tabs>
                <w:tab w:val="left" w:pos="851"/>
              </w:tabs>
            </w:pPr>
            <w:r w:rsidRPr="005476DB">
              <w:rPr>
                <w:b/>
              </w:rPr>
              <w:t xml:space="preserve">Document </w:t>
            </w:r>
            <w:r w:rsidR="00927ED1">
              <w:rPr>
                <w:rFonts w:asciiTheme="minorHAnsi" w:hAnsiTheme="minorHAnsi" w:cs="Times New Roman Bold"/>
                <w:b/>
                <w:spacing w:val="-4"/>
                <w:lang w:val="de-CH"/>
              </w:rPr>
              <w:t>EG-ITRs-2</w:t>
            </w:r>
            <w:r w:rsidR="00927ED1" w:rsidRPr="000F2E67">
              <w:rPr>
                <w:rFonts w:asciiTheme="minorHAnsi" w:hAnsiTheme="minorHAnsi" w:cs="Times New Roman Bold"/>
                <w:b/>
                <w:spacing w:val="-4"/>
                <w:lang w:val="de-CH"/>
              </w:rPr>
              <w:t>/</w:t>
            </w:r>
            <w:r w:rsidR="00C16A40">
              <w:rPr>
                <w:rFonts w:asciiTheme="minorHAnsi" w:hAnsiTheme="minorHAnsi" w:cs="Times New Roman Bold"/>
                <w:b/>
                <w:spacing w:val="-4"/>
                <w:lang w:val="de-CH"/>
              </w:rPr>
              <w:t>6</w:t>
            </w:r>
            <w:r w:rsidR="00927ED1" w:rsidRPr="000F2E67">
              <w:rPr>
                <w:rFonts w:asciiTheme="minorHAnsi" w:hAnsiTheme="minorHAnsi" w:cs="Times New Roman Bold"/>
                <w:b/>
                <w:spacing w:val="-4"/>
                <w:lang w:val="de-CH"/>
              </w:rPr>
              <w:t>-</w:t>
            </w:r>
            <w:r w:rsidR="00927ED1">
              <w:rPr>
                <w:rFonts w:asciiTheme="minorHAnsi" w:hAnsiTheme="minorHAnsi" w:cs="Times New Roman Bold"/>
                <w:b/>
                <w:spacing w:val="-4"/>
                <w:lang w:val="de-CH"/>
              </w:rPr>
              <w:t>E</w:t>
            </w:r>
          </w:p>
        </w:tc>
      </w:tr>
      <w:tr w:rsidR="00BB3930" w:rsidTr="006506AD">
        <w:trPr>
          <w:trHeight w:val="20"/>
        </w:trPr>
        <w:tc>
          <w:tcPr>
            <w:tcW w:w="6487" w:type="dxa"/>
            <w:vMerge/>
          </w:tcPr>
          <w:p w:rsidR="00BB3930" w:rsidRDefault="00BB3930" w:rsidP="006506AD">
            <w:pPr>
              <w:pStyle w:val="Normal1"/>
              <w:tabs>
                <w:tab w:val="left" w:pos="851"/>
              </w:tabs>
            </w:pPr>
          </w:p>
        </w:tc>
        <w:tc>
          <w:tcPr>
            <w:tcW w:w="3544" w:type="dxa"/>
          </w:tcPr>
          <w:p w:rsidR="00BB3930" w:rsidRDefault="00927ED1" w:rsidP="002234B3">
            <w:pPr>
              <w:pStyle w:val="Normal1"/>
              <w:tabs>
                <w:tab w:val="left" w:pos="993"/>
              </w:tabs>
              <w:spacing w:before="0"/>
            </w:pPr>
            <w:r>
              <w:rPr>
                <w:b/>
              </w:rPr>
              <w:t>2</w:t>
            </w:r>
            <w:r w:rsidR="000A3886">
              <w:rPr>
                <w:b/>
              </w:rPr>
              <w:t>5</w:t>
            </w:r>
            <w:r>
              <w:rPr>
                <w:b/>
              </w:rPr>
              <w:t xml:space="preserve"> A</w:t>
            </w:r>
            <w:r w:rsidR="00521FB0">
              <w:rPr>
                <w:b/>
              </w:rPr>
              <w:t>ugust 2017</w:t>
            </w:r>
          </w:p>
        </w:tc>
      </w:tr>
      <w:tr w:rsidR="00BB3930" w:rsidTr="006506AD">
        <w:trPr>
          <w:trHeight w:val="20"/>
        </w:trPr>
        <w:tc>
          <w:tcPr>
            <w:tcW w:w="6487" w:type="dxa"/>
            <w:vMerge/>
          </w:tcPr>
          <w:p w:rsidR="00BB3930" w:rsidRDefault="00BB3930" w:rsidP="006506AD">
            <w:pPr>
              <w:pStyle w:val="Normal1"/>
              <w:tabs>
                <w:tab w:val="left" w:pos="851"/>
              </w:tabs>
            </w:pPr>
          </w:p>
        </w:tc>
        <w:tc>
          <w:tcPr>
            <w:tcW w:w="3544" w:type="dxa"/>
          </w:tcPr>
          <w:p w:rsidR="00BB3930" w:rsidRDefault="002234B3" w:rsidP="006506AD">
            <w:pPr>
              <w:pStyle w:val="Normal1"/>
              <w:tabs>
                <w:tab w:val="left" w:pos="993"/>
              </w:tabs>
              <w:spacing w:before="0"/>
            </w:pPr>
            <w:r>
              <w:rPr>
                <w:b/>
              </w:rPr>
              <w:t xml:space="preserve">Original: </w:t>
            </w:r>
            <w:r w:rsidR="00C16A40">
              <w:rPr>
                <w:b/>
              </w:rPr>
              <w:t>English/Russian</w:t>
            </w:r>
          </w:p>
        </w:tc>
      </w:tr>
      <w:tr w:rsidR="00BB3930" w:rsidRPr="008928ED" w:rsidTr="006506AD">
        <w:trPr>
          <w:trHeight w:val="20"/>
        </w:trPr>
        <w:tc>
          <w:tcPr>
            <w:tcW w:w="10031" w:type="dxa"/>
            <w:gridSpan w:val="2"/>
          </w:tcPr>
          <w:p w:rsidR="00BB3930" w:rsidRPr="001C0870" w:rsidRDefault="00C16A40" w:rsidP="00927ED1">
            <w:pPr>
              <w:pStyle w:val="Normal1"/>
              <w:spacing w:before="480"/>
              <w:jc w:val="center"/>
              <w:rPr>
                <w:rFonts w:asciiTheme="minorHAnsi" w:hAnsiTheme="minorHAnsi" w:cs="Times New Roman"/>
                <w:sz w:val="28"/>
                <w:szCs w:val="28"/>
              </w:rPr>
            </w:pPr>
            <w:r>
              <w:rPr>
                <w:rFonts w:asciiTheme="minorHAnsi" w:hAnsiTheme="minorHAnsi" w:cs="Times New Roman"/>
                <w:b/>
                <w:sz w:val="28"/>
                <w:szCs w:val="28"/>
              </w:rPr>
              <w:t>Contribution from the Russian Federation</w:t>
            </w:r>
          </w:p>
        </w:tc>
      </w:tr>
      <w:tr w:rsidR="00BB3930" w:rsidRPr="008928ED" w:rsidTr="006506AD">
        <w:trPr>
          <w:trHeight w:val="20"/>
        </w:trPr>
        <w:tc>
          <w:tcPr>
            <w:tcW w:w="10031" w:type="dxa"/>
            <w:gridSpan w:val="2"/>
          </w:tcPr>
          <w:p w:rsidR="00C16A40" w:rsidRDefault="00C16A40" w:rsidP="0080584B">
            <w:pPr>
              <w:pStyle w:val="Title1"/>
              <w:rPr>
                <w:caps/>
              </w:rPr>
            </w:pPr>
            <w:r w:rsidRPr="0037767D">
              <w:rPr>
                <w:caps/>
              </w:rPr>
              <w:t>Communication Administrations, operators (names)</w:t>
            </w:r>
          </w:p>
          <w:p w:rsidR="00BB3930" w:rsidRPr="001C0870" w:rsidRDefault="00BB3930" w:rsidP="0080584B">
            <w:pPr>
              <w:pStyle w:val="Title1"/>
              <w:rPr>
                <w:caps/>
              </w:rPr>
            </w:pPr>
            <w:r w:rsidRPr="001C0870">
              <w:rPr>
                <w:caps/>
              </w:rPr>
              <w:t>Review of the International Telecommunication Regulations</w:t>
            </w:r>
          </w:p>
        </w:tc>
      </w:tr>
    </w:tbl>
    <w:p w:rsidR="00C16A40" w:rsidRPr="00C6570F" w:rsidRDefault="00C16A40" w:rsidP="00C16A40">
      <w:pPr>
        <w:spacing w:before="360"/>
        <w:rPr>
          <w:b/>
          <w:lang w:val="en-US"/>
        </w:rPr>
      </w:pPr>
      <w:bookmarkStart w:id="2" w:name="h.erbxq0yh2qlt" w:colFirst="0" w:colLast="0"/>
      <w:bookmarkEnd w:id="2"/>
      <w:r w:rsidRPr="00C6570F">
        <w:rPr>
          <w:b/>
          <w:lang w:val="en-US"/>
        </w:rPr>
        <w:t>Introduction</w:t>
      </w:r>
    </w:p>
    <w:p w:rsidR="00C16A40" w:rsidRPr="00C6570F" w:rsidRDefault="00C16A40" w:rsidP="00C16A40">
      <w:pPr>
        <w:spacing w:before="160"/>
        <w:jc w:val="both"/>
        <w:rPr>
          <w:lang w:val="en-US"/>
        </w:rPr>
      </w:pPr>
      <w:r w:rsidRPr="00C6570F">
        <w:rPr>
          <w:lang w:val="en-US"/>
        </w:rPr>
        <w:t xml:space="preserve">In the previous </w:t>
      </w:r>
      <w:r w:rsidRPr="00C6570F">
        <w:t>period</w:t>
      </w:r>
      <w:r w:rsidRPr="00C6570F">
        <w:rPr>
          <w:lang w:val="en-US"/>
        </w:rPr>
        <w:t xml:space="preserve"> for the </w:t>
      </w:r>
      <w:r w:rsidRPr="00C6570F">
        <w:t xml:space="preserve">review </w:t>
      </w:r>
      <w:r w:rsidRPr="00C6570F">
        <w:rPr>
          <w:lang w:val="en-US"/>
        </w:rPr>
        <w:t>of the 1988 International Telecommunication Regulations (ITRs), starting from 1999 and up to the decision of the 2010 Plenipotentiary Conference to revise the ITRs at the 2012 World Conference on International Telecommunications (WCIT), the views regarding certain provisions of the future ITRs differed, as is the case today.</w:t>
      </w:r>
    </w:p>
    <w:p w:rsidR="00C16A40" w:rsidRPr="00C6570F" w:rsidRDefault="00C16A40" w:rsidP="00C16A40">
      <w:pPr>
        <w:spacing w:before="160"/>
        <w:jc w:val="both"/>
        <w:rPr>
          <w:lang w:val="en-US"/>
        </w:rPr>
      </w:pPr>
      <w:r w:rsidRPr="00C6570F">
        <w:rPr>
          <w:lang w:val="en-US"/>
        </w:rPr>
        <w:t>Discussions on this matter brought all stakeholders to a consensus that 1988 ITRs are to be revised, and to hold WCIT-2012 for that purpose.</w:t>
      </w:r>
    </w:p>
    <w:p w:rsidR="00C16A40" w:rsidRPr="00C6570F" w:rsidRDefault="00C16A40" w:rsidP="00C16A40">
      <w:pPr>
        <w:spacing w:before="160"/>
        <w:jc w:val="both"/>
        <w:rPr>
          <w:lang w:val="en-US"/>
        </w:rPr>
      </w:pPr>
      <w:r w:rsidRPr="00C6570F">
        <w:rPr>
          <w:lang w:val="en-US"/>
        </w:rPr>
        <w:t xml:space="preserve">At the conclusion of WCIT-12 not all ITU Member States, due to a number of reasons, have signed the WCIT Final Acts (Dubai, 2012) or acceded to the 2012 ITRs afterwards. Some Member States at the WCIT-12 have </w:t>
      </w:r>
      <w:r w:rsidRPr="00C6570F">
        <w:t>made declarations and reservations which do not prevent their acceding to the 2012 ITRs in the following period.</w:t>
      </w:r>
    </w:p>
    <w:p w:rsidR="00C16A40" w:rsidRPr="00C6570F" w:rsidRDefault="00C16A40" w:rsidP="00C16A40">
      <w:pPr>
        <w:spacing w:before="160"/>
        <w:jc w:val="both"/>
        <w:rPr>
          <w:lang w:val="en-US"/>
        </w:rPr>
      </w:pPr>
      <w:r w:rsidRPr="00C6570F">
        <w:rPr>
          <w:lang w:val="en-US"/>
        </w:rPr>
        <w:t>Hence, we currently have a situation where, on the one hand, all Member States have agreed on the need to revise 1988 ITRs, but, on the other hand, a number of States declared their impossibility to accede to the ITRs revised by WCIT-12.</w:t>
      </w:r>
    </w:p>
    <w:p w:rsidR="00C16A40" w:rsidRPr="00C6570F" w:rsidRDefault="00C16A40" w:rsidP="00C16A40">
      <w:pPr>
        <w:spacing w:before="160"/>
        <w:jc w:val="both"/>
        <w:rPr>
          <w:lang w:val="en-US"/>
        </w:rPr>
      </w:pPr>
      <w:r w:rsidRPr="00C6570F">
        <w:rPr>
          <w:lang w:val="en-US"/>
        </w:rPr>
        <w:t>Thus, application of 1988 ITRs is limited by the fact of obsolete understanding of the object and subjects of the Regulations, and application of 2012 ITRs is limited by the small number of acceded countries.</w:t>
      </w:r>
    </w:p>
    <w:p w:rsidR="00C16A40" w:rsidRPr="00C6570F" w:rsidRDefault="00C16A40" w:rsidP="00C16A40">
      <w:pPr>
        <w:spacing w:before="160"/>
        <w:jc w:val="both"/>
        <w:rPr>
          <w:lang w:val="en-US"/>
        </w:rPr>
      </w:pPr>
      <w:r w:rsidRPr="00C6570F">
        <w:rPr>
          <w:lang w:val="en-US"/>
        </w:rPr>
        <w:t>Simultaneous application of both 1988 ITRs and 2012 ITRs provisions is impossible, including due to the abovementioned reasons.</w:t>
      </w:r>
    </w:p>
    <w:p w:rsidR="00C16A40" w:rsidRPr="00C6570F" w:rsidRDefault="00C16A40" w:rsidP="00C16A40">
      <w:pPr>
        <w:spacing w:before="160"/>
        <w:rPr>
          <w:b/>
          <w:lang w:val="en-US"/>
        </w:rPr>
      </w:pPr>
      <w:r w:rsidRPr="00C6570F">
        <w:rPr>
          <w:b/>
          <w:lang w:val="en-US"/>
        </w:rPr>
        <w:t>Proposal</w:t>
      </w:r>
    </w:p>
    <w:p w:rsidR="00C16A40" w:rsidRPr="00145D5C" w:rsidRDefault="00C16A40" w:rsidP="00C16A40">
      <w:pPr>
        <w:spacing w:before="160"/>
        <w:jc w:val="both"/>
        <w:rPr>
          <w:lang w:val="en-US"/>
        </w:rPr>
      </w:pPr>
      <w:r w:rsidRPr="00C6570F">
        <w:t>In this context</w:t>
      </w:r>
      <w:r w:rsidRPr="00C6570F">
        <w:rPr>
          <w:lang w:val="en-US"/>
        </w:rPr>
        <w:t xml:space="preserve">, we invite the Council 2018 to include into the EG-ITRs Final Report the view on the reasonability for all stakeholders to reach a broad consensus with regard to adoption of </w:t>
      </w:r>
      <w:r>
        <w:rPr>
          <w:lang w:val="en-US"/>
        </w:rPr>
        <w:t>a</w:t>
      </w:r>
      <w:r w:rsidRPr="00C6570F">
        <w:rPr>
          <w:lang w:val="en-US"/>
        </w:rPr>
        <w:t xml:space="preserve"> single version of ITRs by the ITU Member States for the purpose of establishing a beneficial environment for development and operation of international telecommunications/ICTs.</w:t>
      </w:r>
    </w:p>
    <w:p w:rsidR="001C0870" w:rsidRPr="001C0870" w:rsidRDefault="00B45D1F" w:rsidP="00C16A40">
      <w:pPr>
        <w:pStyle w:val="Normal1"/>
        <w:tabs>
          <w:tab w:val="left" w:pos="1418"/>
        </w:tabs>
        <w:spacing w:before="160"/>
        <w:jc w:val="center"/>
        <w:rPr>
          <w:rFonts w:asciiTheme="minorHAnsi" w:hAnsiTheme="minorHAnsi" w:cs="Times New Roman"/>
          <w:sz w:val="22"/>
          <w:szCs w:val="22"/>
          <w:u w:val="single"/>
        </w:rPr>
      </w:pPr>
      <w:r>
        <w:rPr>
          <w:rFonts w:asciiTheme="minorHAnsi" w:hAnsiTheme="minorHAnsi" w:cs="Times New Roman"/>
          <w:sz w:val="22"/>
          <w:szCs w:val="22"/>
          <w:u w:val="single"/>
        </w:rPr>
        <w:t>__________________</w:t>
      </w:r>
    </w:p>
    <w:sectPr w:rsidR="001C0870" w:rsidRPr="001C0870" w:rsidSect="00927ED1">
      <w:headerReference w:type="default" r:id="rId9"/>
      <w:footerReference w:type="default" r:id="rId10"/>
      <w:pgSz w:w="11907" w:h="16840" w:code="9"/>
      <w:pgMar w:top="1134" w:right="1440" w:bottom="851"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30ED" w:rsidRDefault="00C830ED" w:rsidP="002E7BF9">
      <w:pPr>
        <w:spacing w:before="0"/>
      </w:pPr>
      <w:r>
        <w:separator/>
      </w:r>
    </w:p>
  </w:endnote>
  <w:endnote w:type="continuationSeparator" w:id="0">
    <w:p w:rsidR="00C830ED" w:rsidRDefault="00C830ED" w:rsidP="002E7BF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Times New Roman Bold">
    <w:altName w:val="Times New Roman"/>
    <w:panose1 w:val="02020803070505020304"/>
    <w:charset w:val="00"/>
    <w:family w:val="roman"/>
    <w:pitch w:val="variable"/>
    <w:sig w:usb0="00003A87" w:usb1="00000000" w:usb2="00000000" w:usb3="00000000" w:csb0="000000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9767358"/>
      <w:docPartObj>
        <w:docPartGallery w:val="Page Numbers (Bottom of Page)"/>
        <w:docPartUnique/>
      </w:docPartObj>
    </w:sdtPr>
    <w:sdtEndPr>
      <w:rPr>
        <w:noProof/>
      </w:rPr>
    </w:sdtEndPr>
    <w:sdtContent>
      <w:p w:rsidR="00761711" w:rsidRDefault="00761711">
        <w:pPr>
          <w:pStyle w:val="Footer"/>
          <w:jc w:val="center"/>
        </w:pPr>
        <w:r>
          <w:fldChar w:fldCharType="begin"/>
        </w:r>
        <w:r>
          <w:instrText xml:space="preserve"> PAGE   \* MERGEFORMAT </w:instrText>
        </w:r>
        <w:r>
          <w:fldChar w:fldCharType="separate"/>
        </w:r>
        <w:r w:rsidR="00C16A40">
          <w:rPr>
            <w:noProof/>
          </w:rPr>
          <w:t>2</w:t>
        </w:r>
        <w:r>
          <w:rPr>
            <w:noProof/>
          </w:rPr>
          <w:fldChar w:fldCharType="end"/>
        </w:r>
      </w:p>
    </w:sdtContent>
  </w:sdt>
  <w:p w:rsidR="00761711" w:rsidRDefault="007617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30ED" w:rsidRDefault="00C830ED" w:rsidP="002E7BF9">
      <w:pPr>
        <w:spacing w:before="0"/>
      </w:pPr>
      <w:r>
        <w:separator/>
      </w:r>
    </w:p>
  </w:footnote>
  <w:footnote w:type="continuationSeparator" w:id="0">
    <w:p w:rsidR="00C830ED" w:rsidRDefault="00C830ED" w:rsidP="002E7BF9">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9237735"/>
      <w:docPartObj>
        <w:docPartGallery w:val="Page Numbers (Top of Page)"/>
        <w:docPartUnique/>
      </w:docPartObj>
    </w:sdtPr>
    <w:sdtEndPr>
      <w:rPr>
        <w:noProof/>
      </w:rPr>
    </w:sdtEndPr>
    <w:sdtContent>
      <w:p w:rsidR="001C0870" w:rsidRDefault="001C0870">
        <w:pPr>
          <w:pStyle w:val="Header"/>
          <w:jc w:val="center"/>
        </w:pPr>
        <w:r>
          <w:fldChar w:fldCharType="begin"/>
        </w:r>
        <w:r>
          <w:instrText xml:space="preserve"> PAGE   \* MERGEFORMAT </w:instrText>
        </w:r>
        <w:r>
          <w:fldChar w:fldCharType="separate"/>
        </w:r>
        <w:r w:rsidR="00C16A40">
          <w:rPr>
            <w:noProof/>
          </w:rPr>
          <w:t>2</w:t>
        </w:r>
        <w:r>
          <w:rPr>
            <w:noProof/>
          </w:rPr>
          <w:fldChar w:fldCharType="end"/>
        </w:r>
      </w:p>
    </w:sdtContent>
  </w:sdt>
  <w:p w:rsidR="001C0870" w:rsidRDefault="001C0870" w:rsidP="001C0870">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ADEF2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926B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F6885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9EB2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49400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350389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449C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8D6E06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C270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99EB1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64436F1"/>
    <w:multiLevelType w:val="multilevel"/>
    <w:tmpl w:val="B49A2D4C"/>
    <w:lvl w:ilvl="0">
      <w:start w:val="1"/>
      <w:numFmt w:val="decimal"/>
      <w:lvlText w:val="%1."/>
      <w:lvlJc w:val="left"/>
      <w:pPr>
        <w:ind w:left="360" w:hanging="360"/>
      </w:pPr>
      <w:rPr>
        <w:rFonts w:hint="default"/>
        <w:b/>
      </w:rPr>
    </w:lvl>
    <w:lvl w:ilvl="1">
      <w:start w:val="1"/>
      <w:numFmt w:val="decimal"/>
      <w:isLgl/>
      <w:lvlText w:val="%1.%2"/>
      <w:lvlJc w:val="left"/>
      <w:pPr>
        <w:ind w:left="480" w:hanging="360"/>
      </w:pPr>
      <w:rPr>
        <w:rFonts w:hint="default"/>
      </w:rPr>
    </w:lvl>
    <w:lvl w:ilvl="2">
      <w:start w:val="1"/>
      <w:numFmt w:val="decimal"/>
      <w:isLgl/>
      <w:lvlText w:val="%1.%2.%3"/>
      <w:lvlJc w:val="left"/>
      <w:pPr>
        <w:ind w:left="105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3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610" w:hanging="1440"/>
      </w:pPr>
      <w:rPr>
        <w:rFonts w:hint="default"/>
      </w:rPr>
    </w:lvl>
    <w:lvl w:ilvl="7">
      <w:start w:val="1"/>
      <w:numFmt w:val="decimal"/>
      <w:isLgl/>
      <w:lvlText w:val="%1.%2.%3.%4.%5.%6.%7.%8"/>
      <w:lvlJc w:val="left"/>
      <w:pPr>
        <w:ind w:left="2820" w:hanging="1440"/>
      </w:pPr>
      <w:rPr>
        <w:rFonts w:hint="default"/>
      </w:rPr>
    </w:lvl>
    <w:lvl w:ilvl="8">
      <w:start w:val="1"/>
      <w:numFmt w:val="decimal"/>
      <w:isLgl/>
      <w:lvlText w:val="%1.%2.%3.%4.%5.%6.%7.%8.%9"/>
      <w:lvlJc w:val="left"/>
      <w:pPr>
        <w:ind w:left="3030" w:hanging="1440"/>
      </w:pPr>
      <w:rPr>
        <w:rFont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930"/>
    <w:rsid w:val="0000534C"/>
    <w:rsid w:val="000343B4"/>
    <w:rsid w:val="00046A88"/>
    <w:rsid w:val="00076C2A"/>
    <w:rsid w:val="00080D62"/>
    <w:rsid w:val="00087353"/>
    <w:rsid w:val="000A351D"/>
    <w:rsid w:val="000A3886"/>
    <w:rsid w:val="000B155A"/>
    <w:rsid w:val="000B54EF"/>
    <w:rsid w:val="000C34C8"/>
    <w:rsid w:val="000C6904"/>
    <w:rsid w:val="000C6FBE"/>
    <w:rsid w:val="000E18D6"/>
    <w:rsid w:val="0010354D"/>
    <w:rsid w:val="00104F53"/>
    <w:rsid w:val="00115892"/>
    <w:rsid w:val="001429FC"/>
    <w:rsid w:val="00150CDC"/>
    <w:rsid w:val="001636AA"/>
    <w:rsid w:val="001712DE"/>
    <w:rsid w:val="0019391C"/>
    <w:rsid w:val="00196100"/>
    <w:rsid w:val="001B26D7"/>
    <w:rsid w:val="001B369B"/>
    <w:rsid w:val="001C0870"/>
    <w:rsid w:val="001E78FC"/>
    <w:rsid w:val="001F1FFD"/>
    <w:rsid w:val="002034A3"/>
    <w:rsid w:val="002108E5"/>
    <w:rsid w:val="002234B3"/>
    <w:rsid w:val="00235650"/>
    <w:rsid w:val="00241D13"/>
    <w:rsid w:val="00247B60"/>
    <w:rsid w:val="00251DFB"/>
    <w:rsid w:val="0025205F"/>
    <w:rsid w:val="00274508"/>
    <w:rsid w:val="00281B54"/>
    <w:rsid w:val="00282208"/>
    <w:rsid w:val="002A025E"/>
    <w:rsid w:val="002A1F3C"/>
    <w:rsid w:val="002B18FE"/>
    <w:rsid w:val="002D2547"/>
    <w:rsid w:val="002D2D56"/>
    <w:rsid w:val="002E5B62"/>
    <w:rsid w:val="002E7BF9"/>
    <w:rsid w:val="00300570"/>
    <w:rsid w:val="003021A2"/>
    <w:rsid w:val="003132AA"/>
    <w:rsid w:val="0036088C"/>
    <w:rsid w:val="0037767D"/>
    <w:rsid w:val="003827FC"/>
    <w:rsid w:val="0039031D"/>
    <w:rsid w:val="00395040"/>
    <w:rsid w:val="003A5503"/>
    <w:rsid w:val="003E0D27"/>
    <w:rsid w:val="003E4529"/>
    <w:rsid w:val="004229B4"/>
    <w:rsid w:val="00451E58"/>
    <w:rsid w:val="00466AC2"/>
    <w:rsid w:val="00481076"/>
    <w:rsid w:val="004A1B89"/>
    <w:rsid w:val="004A6F4E"/>
    <w:rsid w:val="004B3EC5"/>
    <w:rsid w:val="004E1DA2"/>
    <w:rsid w:val="005046E5"/>
    <w:rsid w:val="005078F8"/>
    <w:rsid w:val="00521FB0"/>
    <w:rsid w:val="00525036"/>
    <w:rsid w:val="00551FEB"/>
    <w:rsid w:val="00561DFC"/>
    <w:rsid w:val="0056260D"/>
    <w:rsid w:val="00570A13"/>
    <w:rsid w:val="00572749"/>
    <w:rsid w:val="005A07F0"/>
    <w:rsid w:val="005A1120"/>
    <w:rsid w:val="005C0FB0"/>
    <w:rsid w:val="005C578E"/>
    <w:rsid w:val="005D62FC"/>
    <w:rsid w:val="005E5B9D"/>
    <w:rsid w:val="00614D87"/>
    <w:rsid w:val="006255CB"/>
    <w:rsid w:val="00641F13"/>
    <w:rsid w:val="00663124"/>
    <w:rsid w:val="00667FFC"/>
    <w:rsid w:val="006960DF"/>
    <w:rsid w:val="006B49C5"/>
    <w:rsid w:val="006B7101"/>
    <w:rsid w:val="006D14A3"/>
    <w:rsid w:val="006F6D44"/>
    <w:rsid w:val="00701D78"/>
    <w:rsid w:val="0070426D"/>
    <w:rsid w:val="00737AA6"/>
    <w:rsid w:val="007429A4"/>
    <w:rsid w:val="007446F9"/>
    <w:rsid w:val="00760079"/>
    <w:rsid w:val="00761711"/>
    <w:rsid w:val="00796594"/>
    <w:rsid w:val="007A3D80"/>
    <w:rsid w:val="007B4350"/>
    <w:rsid w:val="007C5C5F"/>
    <w:rsid w:val="007D341B"/>
    <w:rsid w:val="007D6980"/>
    <w:rsid w:val="007F257F"/>
    <w:rsid w:val="007F34D1"/>
    <w:rsid w:val="00803F51"/>
    <w:rsid w:val="0080584B"/>
    <w:rsid w:val="00811D16"/>
    <w:rsid w:val="008404AF"/>
    <w:rsid w:val="00856317"/>
    <w:rsid w:val="008717A5"/>
    <w:rsid w:val="00893796"/>
    <w:rsid w:val="008A687C"/>
    <w:rsid w:val="008D6D21"/>
    <w:rsid w:val="008E4276"/>
    <w:rsid w:val="00922651"/>
    <w:rsid w:val="00927ED1"/>
    <w:rsid w:val="00933C40"/>
    <w:rsid w:val="0093678B"/>
    <w:rsid w:val="009518A6"/>
    <w:rsid w:val="00973349"/>
    <w:rsid w:val="009765D0"/>
    <w:rsid w:val="00984B80"/>
    <w:rsid w:val="009B16BF"/>
    <w:rsid w:val="009B56AF"/>
    <w:rsid w:val="009C1A90"/>
    <w:rsid w:val="009F23A0"/>
    <w:rsid w:val="00A03A1F"/>
    <w:rsid w:val="00A1314E"/>
    <w:rsid w:val="00A3638E"/>
    <w:rsid w:val="00A42B3D"/>
    <w:rsid w:val="00A50D85"/>
    <w:rsid w:val="00A7020E"/>
    <w:rsid w:val="00A81FDB"/>
    <w:rsid w:val="00A94885"/>
    <w:rsid w:val="00A9679A"/>
    <w:rsid w:val="00AB4BD2"/>
    <w:rsid w:val="00AD250E"/>
    <w:rsid w:val="00AD7001"/>
    <w:rsid w:val="00AE5D64"/>
    <w:rsid w:val="00B361FA"/>
    <w:rsid w:val="00B36E32"/>
    <w:rsid w:val="00B45D1F"/>
    <w:rsid w:val="00B47273"/>
    <w:rsid w:val="00B53486"/>
    <w:rsid w:val="00B61589"/>
    <w:rsid w:val="00B656F2"/>
    <w:rsid w:val="00B77345"/>
    <w:rsid w:val="00B93274"/>
    <w:rsid w:val="00B93439"/>
    <w:rsid w:val="00B937C1"/>
    <w:rsid w:val="00BA4380"/>
    <w:rsid w:val="00BB3930"/>
    <w:rsid w:val="00BC0654"/>
    <w:rsid w:val="00C16A40"/>
    <w:rsid w:val="00C312F8"/>
    <w:rsid w:val="00C3791A"/>
    <w:rsid w:val="00C830ED"/>
    <w:rsid w:val="00CA3A6A"/>
    <w:rsid w:val="00CB1B0C"/>
    <w:rsid w:val="00CB7A02"/>
    <w:rsid w:val="00CC2994"/>
    <w:rsid w:val="00CC399F"/>
    <w:rsid w:val="00CE1B3E"/>
    <w:rsid w:val="00CF1234"/>
    <w:rsid w:val="00CF506B"/>
    <w:rsid w:val="00CF608F"/>
    <w:rsid w:val="00D206EA"/>
    <w:rsid w:val="00D30227"/>
    <w:rsid w:val="00D34171"/>
    <w:rsid w:val="00D40F3B"/>
    <w:rsid w:val="00D673D1"/>
    <w:rsid w:val="00D86D0A"/>
    <w:rsid w:val="00D92631"/>
    <w:rsid w:val="00D94CD9"/>
    <w:rsid w:val="00DA6032"/>
    <w:rsid w:val="00DB2C1C"/>
    <w:rsid w:val="00DD1913"/>
    <w:rsid w:val="00DD3D0C"/>
    <w:rsid w:val="00DE234E"/>
    <w:rsid w:val="00DE4452"/>
    <w:rsid w:val="00DF0D1C"/>
    <w:rsid w:val="00DF13EF"/>
    <w:rsid w:val="00DF715D"/>
    <w:rsid w:val="00E2264B"/>
    <w:rsid w:val="00E22A4A"/>
    <w:rsid w:val="00E24FD0"/>
    <w:rsid w:val="00E32BAD"/>
    <w:rsid w:val="00E41D01"/>
    <w:rsid w:val="00EC58F3"/>
    <w:rsid w:val="00EF5662"/>
    <w:rsid w:val="00F168B9"/>
    <w:rsid w:val="00F24F3F"/>
    <w:rsid w:val="00F33D15"/>
    <w:rsid w:val="00F44092"/>
    <w:rsid w:val="00F536E0"/>
    <w:rsid w:val="00F53E89"/>
    <w:rsid w:val="00F55F9D"/>
    <w:rsid w:val="00F63910"/>
    <w:rsid w:val="00F73ECE"/>
    <w:rsid w:val="00FB6951"/>
    <w:rsid w:val="00FC52BA"/>
    <w:rsid w:val="00FC77F6"/>
    <w:rsid w:val="00FD1B0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FFD867-893C-4632-9F1D-0FD3610A5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930"/>
    <w:pPr>
      <w:tabs>
        <w:tab w:val="left" w:pos="567"/>
        <w:tab w:val="left" w:pos="1134"/>
        <w:tab w:val="left" w:pos="1701"/>
        <w:tab w:val="left" w:pos="2268"/>
        <w:tab w:val="left" w:pos="2835"/>
      </w:tabs>
      <w:spacing w:before="120" w:after="0" w:line="240" w:lineRule="auto"/>
    </w:pPr>
    <w:rPr>
      <w:rFonts w:ascii="Calibri" w:eastAsia="Calibri" w:hAnsi="Calibri" w:cs="Calibri"/>
      <w:color w:val="000000"/>
      <w:sz w:val="24"/>
      <w:szCs w:val="24"/>
      <w:lang w:val="en-GB"/>
    </w:rPr>
  </w:style>
  <w:style w:type="paragraph" w:styleId="Heading1">
    <w:name w:val="heading 1"/>
    <w:basedOn w:val="Normal"/>
    <w:next w:val="Normal"/>
    <w:link w:val="Heading1Char"/>
    <w:uiPriority w:val="9"/>
    <w:qFormat/>
    <w:rsid w:val="00DD1913"/>
    <w:pPr>
      <w:keepNext/>
      <w:keepLines/>
      <w:tabs>
        <w:tab w:val="clear" w:pos="567"/>
        <w:tab w:val="clear" w:pos="1134"/>
        <w:tab w:val="clear" w:pos="1701"/>
        <w:tab w:val="clear" w:pos="2268"/>
        <w:tab w:val="clear" w:pos="2835"/>
      </w:tabs>
      <w:spacing w:before="480" w:line="276" w:lineRule="auto"/>
      <w:outlineLvl w:val="0"/>
    </w:pPr>
    <w:rPr>
      <w:rFonts w:asciiTheme="majorHAnsi" w:eastAsiaTheme="majorEastAsia" w:hAnsiTheme="majorHAnsi" w:cstheme="majorBidi"/>
      <w:b/>
      <w:bCs/>
      <w:color w:val="2E74B5"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BB3930"/>
    <w:pPr>
      <w:tabs>
        <w:tab w:val="left" w:pos="567"/>
        <w:tab w:val="left" w:pos="1134"/>
        <w:tab w:val="left" w:pos="1701"/>
        <w:tab w:val="left" w:pos="2268"/>
        <w:tab w:val="left" w:pos="2835"/>
      </w:tabs>
      <w:spacing w:before="120" w:after="0" w:line="240" w:lineRule="auto"/>
    </w:pPr>
    <w:rPr>
      <w:rFonts w:ascii="Calibri" w:eastAsia="Calibri" w:hAnsi="Calibri" w:cs="Calibri"/>
      <w:color w:val="000000"/>
      <w:sz w:val="24"/>
      <w:szCs w:val="24"/>
      <w:lang w:val="en-GB"/>
    </w:rPr>
  </w:style>
  <w:style w:type="character" w:styleId="CommentReference">
    <w:name w:val="annotation reference"/>
    <w:basedOn w:val="DefaultParagraphFont"/>
    <w:uiPriority w:val="99"/>
    <w:semiHidden/>
    <w:unhideWhenUsed/>
    <w:rsid w:val="00BB3930"/>
    <w:rPr>
      <w:sz w:val="16"/>
      <w:szCs w:val="16"/>
    </w:rPr>
  </w:style>
  <w:style w:type="paragraph" w:styleId="CommentText">
    <w:name w:val="annotation text"/>
    <w:basedOn w:val="Normal"/>
    <w:link w:val="CommentTextChar"/>
    <w:uiPriority w:val="99"/>
    <w:semiHidden/>
    <w:unhideWhenUsed/>
    <w:rsid w:val="00BB3930"/>
    <w:rPr>
      <w:sz w:val="20"/>
      <w:szCs w:val="20"/>
    </w:rPr>
  </w:style>
  <w:style w:type="character" w:customStyle="1" w:styleId="CommentTextChar">
    <w:name w:val="Comment Text Char"/>
    <w:basedOn w:val="DefaultParagraphFont"/>
    <w:link w:val="CommentText"/>
    <w:uiPriority w:val="99"/>
    <w:semiHidden/>
    <w:rsid w:val="00BB3930"/>
    <w:rPr>
      <w:rFonts w:ascii="Calibri" w:eastAsia="Calibri" w:hAnsi="Calibri" w:cs="Calibri"/>
      <w:color w:val="000000"/>
      <w:sz w:val="20"/>
      <w:szCs w:val="20"/>
      <w:lang w:val="en-GB"/>
    </w:rPr>
  </w:style>
  <w:style w:type="paragraph" w:styleId="BalloonText">
    <w:name w:val="Balloon Text"/>
    <w:basedOn w:val="Normal"/>
    <w:link w:val="BalloonTextChar"/>
    <w:uiPriority w:val="99"/>
    <w:semiHidden/>
    <w:unhideWhenUsed/>
    <w:rsid w:val="00BB3930"/>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930"/>
    <w:rPr>
      <w:rFonts w:ascii="Segoe UI" w:eastAsia="Calibri" w:hAnsi="Segoe UI" w:cs="Segoe UI"/>
      <w:color w:val="000000"/>
      <w:sz w:val="18"/>
      <w:szCs w:val="18"/>
      <w:lang w:val="en-GB"/>
    </w:rPr>
  </w:style>
  <w:style w:type="paragraph" w:styleId="FootnoteText">
    <w:name w:val="footnote text"/>
    <w:basedOn w:val="Normal"/>
    <w:link w:val="FootnoteTextChar"/>
    <w:uiPriority w:val="99"/>
    <w:semiHidden/>
    <w:unhideWhenUsed/>
    <w:rsid w:val="002E7BF9"/>
    <w:pPr>
      <w:spacing w:before="0"/>
    </w:pPr>
    <w:rPr>
      <w:sz w:val="20"/>
      <w:szCs w:val="20"/>
    </w:rPr>
  </w:style>
  <w:style w:type="character" w:customStyle="1" w:styleId="FootnoteTextChar">
    <w:name w:val="Footnote Text Char"/>
    <w:basedOn w:val="DefaultParagraphFont"/>
    <w:link w:val="FootnoteText"/>
    <w:uiPriority w:val="99"/>
    <w:semiHidden/>
    <w:rsid w:val="002E7BF9"/>
    <w:rPr>
      <w:rFonts w:ascii="Calibri" w:eastAsia="Calibri" w:hAnsi="Calibri" w:cs="Calibri"/>
      <w:color w:val="000000"/>
      <w:sz w:val="20"/>
      <w:szCs w:val="20"/>
      <w:lang w:val="en-GB"/>
    </w:rPr>
  </w:style>
  <w:style w:type="character" w:styleId="FootnoteReference">
    <w:name w:val="footnote reference"/>
    <w:basedOn w:val="DefaultParagraphFont"/>
    <w:uiPriority w:val="99"/>
    <w:semiHidden/>
    <w:unhideWhenUsed/>
    <w:rsid w:val="002E7BF9"/>
    <w:rPr>
      <w:vertAlign w:val="superscript"/>
    </w:rPr>
  </w:style>
  <w:style w:type="paragraph" w:styleId="CommentSubject">
    <w:name w:val="annotation subject"/>
    <w:basedOn w:val="CommentText"/>
    <w:next w:val="CommentText"/>
    <w:link w:val="CommentSubjectChar"/>
    <w:uiPriority w:val="99"/>
    <w:semiHidden/>
    <w:unhideWhenUsed/>
    <w:rsid w:val="006960DF"/>
    <w:rPr>
      <w:b/>
      <w:bCs/>
    </w:rPr>
  </w:style>
  <w:style w:type="character" w:customStyle="1" w:styleId="CommentSubjectChar">
    <w:name w:val="Comment Subject Char"/>
    <w:basedOn w:val="CommentTextChar"/>
    <w:link w:val="CommentSubject"/>
    <w:uiPriority w:val="99"/>
    <w:semiHidden/>
    <w:rsid w:val="006960DF"/>
    <w:rPr>
      <w:rFonts w:ascii="Calibri" w:eastAsia="Calibri" w:hAnsi="Calibri" w:cs="Calibri"/>
      <w:b/>
      <w:bCs/>
      <w:color w:val="000000"/>
      <w:sz w:val="20"/>
      <w:szCs w:val="20"/>
      <w:lang w:val="en-GB"/>
    </w:rPr>
  </w:style>
  <w:style w:type="paragraph" w:styleId="Revision">
    <w:name w:val="Revision"/>
    <w:hidden/>
    <w:uiPriority w:val="99"/>
    <w:semiHidden/>
    <w:rsid w:val="000A351D"/>
    <w:pPr>
      <w:spacing w:after="0" w:line="240" w:lineRule="auto"/>
    </w:pPr>
    <w:rPr>
      <w:rFonts w:ascii="Calibri" w:eastAsia="Calibri" w:hAnsi="Calibri" w:cs="Calibri"/>
      <w:color w:val="000000"/>
      <w:sz w:val="24"/>
      <w:szCs w:val="24"/>
      <w:lang w:val="en-GB"/>
    </w:rPr>
  </w:style>
  <w:style w:type="character" w:customStyle="1" w:styleId="Heading1Char">
    <w:name w:val="Heading 1 Char"/>
    <w:basedOn w:val="DefaultParagraphFont"/>
    <w:link w:val="Heading1"/>
    <w:uiPriority w:val="9"/>
    <w:rsid w:val="00DD1913"/>
    <w:rPr>
      <w:rFonts w:asciiTheme="majorHAnsi" w:eastAsiaTheme="majorEastAsia" w:hAnsiTheme="majorHAnsi" w:cstheme="majorBidi"/>
      <w:b/>
      <w:bCs/>
      <w:color w:val="2E74B5" w:themeColor="accent1" w:themeShade="BF"/>
      <w:sz w:val="28"/>
      <w:szCs w:val="28"/>
      <w:lang w:eastAsia="ja-JP"/>
    </w:rPr>
  </w:style>
  <w:style w:type="paragraph" w:styleId="Header">
    <w:name w:val="header"/>
    <w:basedOn w:val="Normal"/>
    <w:link w:val="HeaderChar"/>
    <w:uiPriority w:val="99"/>
    <w:unhideWhenUsed/>
    <w:rsid w:val="00761711"/>
    <w:pPr>
      <w:tabs>
        <w:tab w:val="clear" w:pos="567"/>
        <w:tab w:val="clear" w:pos="1134"/>
        <w:tab w:val="clear" w:pos="1701"/>
        <w:tab w:val="clear" w:pos="2268"/>
        <w:tab w:val="clear" w:pos="2835"/>
        <w:tab w:val="center" w:pos="4680"/>
        <w:tab w:val="right" w:pos="9360"/>
      </w:tabs>
      <w:spacing w:before="0"/>
    </w:pPr>
  </w:style>
  <w:style w:type="character" w:customStyle="1" w:styleId="HeaderChar">
    <w:name w:val="Header Char"/>
    <w:basedOn w:val="DefaultParagraphFont"/>
    <w:link w:val="Header"/>
    <w:uiPriority w:val="99"/>
    <w:rsid w:val="00761711"/>
    <w:rPr>
      <w:rFonts w:ascii="Calibri" w:eastAsia="Calibri" w:hAnsi="Calibri" w:cs="Calibri"/>
      <w:color w:val="000000"/>
      <w:sz w:val="24"/>
      <w:szCs w:val="24"/>
      <w:lang w:val="en-GB"/>
    </w:rPr>
  </w:style>
  <w:style w:type="paragraph" w:styleId="Footer">
    <w:name w:val="footer"/>
    <w:basedOn w:val="Normal"/>
    <w:link w:val="FooterChar"/>
    <w:uiPriority w:val="99"/>
    <w:unhideWhenUsed/>
    <w:rsid w:val="00761711"/>
    <w:pPr>
      <w:tabs>
        <w:tab w:val="clear" w:pos="567"/>
        <w:tab w:val="clear" w:pos="1134"/>
        <w:tab w:val="clear" w:pos="1701"/>
        <w:tab w:val="clear" w:pos="2268"/>
        <w:tab w:val="clear" w:pos="2835"/>
        <w:tab w:val="center" w:pos="4680"/>
        <w:tab w:val="right" w:pos="9360"/>
      </w:tabs>
      <w:spacing w:before="0"/>
    </w:pPr>
  </w:style>
  <w:style w:type="character" w:customStyle="1" w:styleId="FooterChar">
    <w:name w:val="Footer Char"/>
    <w:basedOn w:val="DefaultParagraphFont"/>
    <w:link w:val="Footer"/>
    <w:uiPriority w:val="99"/>
    <w:rsid w:val="00761711"/>
    <w:rPr>
      <w:rFonts w:ascii="Calibri" w:eastAsia="Calibri" w:hAnsi="Calibri" w:cs="Calibri"/>
      <w:color w:val="000000"/>
      <w:sz w:val="24"/>
      <w:szCs w:val="24"/>
      <w:lang w:val="en-GB"/>
    </w:rPr>
  </w:style>
  <w:style w:type="paragraph" w:customStyle="1" w:styleId="Title1">
    <w:name w:val="Title 1"/>
    <w:basedOn w:val="Normal1"/>
    <w:rsid w:val="001C0870"/>
    <w:pPr>
      <w:spacing w:before="240"/>
      <w:jc w:val="center"/>
    </w:pPr>
    <w:rPr>
      <w:rFonts w:asciiTheme="minorHAnsi" w:hAnsiTheme="minorHAnsi" w:cs="Times New Roman"/>
      <w:sz w:val="28"/>
      <w:szCs w:val="28"/>
    </w:rPr>
  </w:style>
  <w:style w:type="character" w:styleId="Hyperlink">
    <w:name w:val="Hyperlink"/>
    <w:basedOn w:val="DefaultParagraphFont"/>
    <w:uiPriority w:val="99"/>
    <w:unhideWhenUsed/>
    <w:rsid w:val="001C0870"/>
    <w:rPr>
      <w:color w:val="0563C1" w:themeColor="hyperlink"/>
      <w:u w:val="single"/>
    </w:rPr>
  </w:style>
  <w:style w:type="character" w:styleId="FollowedHyperlink">
    <w:name w:val="FollowedHyperlink"/>
    <w:basedOn w:val="DefaultParagraphFont"/>
    <w:uiPriority w:val="99"/>
    <w:semiHidden/>
    <w:unhideWhenUsed/>
    <w:rsid w:val="001C08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73EF6-75B6-479C-9852-1F20587FF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320</Words>
  <Characters>1827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Review of the ITRs</vt:lpstr>
    </vt:vector>
  </TitlesOfParts>
  <Company>NTT DOCOMO</Company>
  <LinksUpToDate>false</LinksUpToDate>
  <CharactersWithSpaces>2143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the ITRs</dc:title>
  <dc:subject>EG-ITRs</dc:subject>
  <dc:creator>user</dc:creator>
  <cp:keywords>EG-ITRs</cp:keywords>
  <cp:lastModifiedBy>Janin</cp:lastModifiedBy>
  <cp:revision>5</cp:revision>
  <cp:lastPrinted>2017-01-09T19:21:00Z</cp:lastPrinted>
  <dcterms:created xsi:type="dcterms:W3CDTF">2017-08-28T07:19:00Z</dcterms:created>
  <dcterms:modified xsi:type="dcterms:W3CDTF">2017-08-28T08:41:00Z</dcterms:modified>
  <cp:category>Conference document</cp:category>
</cp:coreProperties>
</file>