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8D580D" w:rsidRPr="00AA22E2" w:rsidTr="008D580D">
        <w:trPr>
          <w:trHeight w:val="851"/>
        </w:trPr>
        <w:tc>
          <w:tcPr>
            <w:tcW w:w="6487" w:type="dxa"/>
            <w:vAlign w:val="center"/>
          </w:tcPr>
          <w:p w:rsidR="008D580D" w:rsidRPr="00AA22E2" w:rsidRDefault="008D580D" w:rsidP="008D580D">
            <w:pPr>
              <w:pStyle w:val="Normal1"/>
              <w:adjustRightInd w:val="0"/>
              <w:snapToGrid w:val="0"/>
              <w:spacing w:before="0"/>
              <w:rPr>
                <w:lang w:val="es-ES_tradnl"/>
              </w:rPr>
            </w:pPr>
            <w:r w:rsidRPr="00AA22E2">
              <w:rPr>
                <w:b/>
                <w:bCs/>
                <w:position w:val="6"/>
                <w:sz w:val="30"/>
                <w:szCs w:val="30"/>
                <w:lang w:val="es-ES_tradnl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  <w:lang w:val="es-ES_tradnl"/>
              </w:rPr>
              <w:br/>
              <w:t>Telecomunicaciones Internacionales (GE-RTI)</w:t>
            </w:r>
          </w:p>
        </w:tc>
        <w:tc>
          <w:tcPr>
            <w:tcW w:w="3544" w:type="dxa"/>
            <w:vMerge w:val="restart"/>
          </w:tcPr>
          <w:p w:rsidR="008D580D" w:rsidRPr="00AA22E2" w:rsidRDefault="008D580D" w:rsidP="006506AD">
            <w:pPr>
              <w:pStyle w:val="Normal1"/>
              <w:spacing w:before="0"/>
              <w:rPr>
                <w:lang w:val="es-ES_tradnl"/>
              </w:rPr>
            </w:pPr>
            <w:bookmarkStart w:id="0" w:name="h.30j0zll" w:colFirst="0" w:colLast="0"/>
            <w:bookmarkEnd w:id="0"/>
            <w:r w:rsidRPr="00AA22E2">
              <w:rPr>
                <w:noProof/>
                <w:lang w:val="es-ES_tradnl" w:eastAsia="zh-CN"/>
              </w:rPr>
              <w:drawing>
                <wp:inline distT="0" distB="0" distL="0" distR="0" wp14:anchorId="36C47F1D" wp14:editId="2B4D5AD8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80D" w:rsidRPr="00AA22E2" w:rsidTr="008D580D">
        <w:trPr>
          <w:trHeight w:val="139"/>
        </w:trPr>
        <w:tc>
          <w:tcPr>
            <w:tcW w:w="6487" w:type="dxa"/>
            <w:vAlign w:val="center"/>
          </w:tcPr>
          <w:p w:rsidR="008D580D" w:rsidRPr="00AA22E2" w:rsidRDefault="008D580D" w:rsidP="008D580D">
            <w:pPr>
              <w:overflowPunct w:val="0"/>
              <w:autoSpaceDE w:val="0"/>
              <w:autoSpaceDN w:val="0"/>
              <w:adjustRightInd w:val="0"/>
              <w:spacing w:before="160"/>
              <w:textAlignment w:val="baseline"/>
              <w:rPr>
                <w:b/>
                <w:bCs/>
                <w:position w:val="6"/>
                <w:sz w:val="30"/>
                <w:szCs w:val="30"/>
                <w:lang w:val="es-ES_tradnl"/>
              </w:rPr>
            </w:pPr>
            <w:r w:rsidRPr="00AA22E2">
              <w:rPr>
                <w:rFonts w:eastAsia="Times New Roman" w:cs="Times New Roman"/>
                <w:b/>
                <w:bCs/>
                <w:color w:val="auto"/>
                <w:lang w:val="es-ES_tradnl"/>
              </w:rPr>
              <w:t>Segunda reunión – Ginebra, 13-15 de septiembre de 2017</w:t>
            </w:r>
          </w:p>
        </w:tc>
        <w:tc>
          <w:tcPr>
            <w:tcW w:w="3544" w:type="dxa"/>
            <w:vMerge/>
          </w:tcPr>
          <w:p w:rsidR="008D580D" w:rsidRPr="00AA22E2" w:rsidRDefault="008D580D" w:rsidP="006506AD">
            <w:pPr>
              <w:pStyle w:val="Normal1"/>
              <w:spacing w:before="0"/>
              <w:rPr>
                <w:noProof/>
                <w:lang w:val="es-ES_tradnl" w:eastAsia="zh-CN"/>
              </w:rPr>
            </w:pPr>
          </w:p>
        </w:tc>
      </w:tr>
      <w:tr w:rsidR="00BB3930" w:rsidRPr="00AA22E2" w:rsidTr="006506AD">
        <w:tc>
          <w:tcPr>
            <w:tcW w:w="6487" w:type="dxa"/>
            <w:tcBorders>
              <w:top w:val="single" w:sz="12" w:space="0" w:color="000000"/>
            </w:tcBorders>
          </w:tcPr>
          <w:p w:rsidR="00BB3930" w:rsidRPr="00AA22E2" w:rsidRDefault="00BB3930" w:rsidP="006506AD">
            <w:pPr>
              <w:pStyle w:val="Normal1"/>
              <w:spacing w:before="0"/>
              <w:rPr>
                <w:lang w:val="es-ES_tradnl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BB3930" w:rsidRPr="00AA22E2" w:rsidRDefault="00BB3930" w:rsidP="006506AD">
            <w:pPr>
              <w:pStyle w:val="Normal1"/>
              <w:spacing w:before="0"/>
              <w:rPr>
                <w:lang w:val="es-ES_tradnl"/>
              </w:rPr>
            </w:pPr>
          </w:p>
        </w:tc>
      </w:tr>
      <w:tr w:rsidR="00BB3930" w:rsidRPr="00AA22E2" w:rsidTr="006506AD">
        <w:trPr>
          <w:trHeight w:val="20"/>
        </w:trPr>
        <w:tc>
          <w:tcPr>
            <w:tcW w:w="6487" w:type="dxa"/>
            <w:vMerge w:val="restart"/>
          </w:tcPr>
          <w:p w:rsidR="00BB3930" w:rsidRPr="00AA22E2" w:rsidRDefault="00BB3930" w:rsidP="006506AD">
            <w:pPr>
              <w:pStyle w:val="Normal1"/>
              <w:tabs>
                <w:tab w:val="left" w:pos="851"/>
              </w:tabs>
              <w:spacing w:before="0"/>
              <w:rPr>
                <w:lang w:val="es-ES_tradnl"/>
              </w:rPr>
            </w:pPr>
          </w:p>
        </w:tc>
        <w:tc>
          <w:tcPr>
            <w:tcW w:w="3544" w:type="dxa"/>
          </w:tcPr>
          <w:p w:rsidR="00BB3930" w:rsidRPr="00AA22E2" w:rsidRDefault="002234B3" w:rsidP="008D580D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lang w:val="es-ES_tradnl"/>
              </w:rPr>
            </w:pPr>
            <w:r w:rsidRPr="00AA22E2">
              <w:rPr>
                <w:rFonts w:eastAsia="Times New Roman" w:cs="Times New Roman"/>
                <w:b/>
                <w:bCs/>
                <w:color w:val="auto"/>
                <w:szCs w:val="20"/>
                <w:lang w:val="es-ES_tradnl"/>
              </w:rPr>
              <w:t>Document</w:t>
            </w:r>
            <w:r w:rsidR="00605BFF" w:rsidRPr="00AA22E2">
              <w:rPr>
                <w:rFonts w:eastAsia="Times New Roman" w:cs="Times New Roman"/>
                <w:b/>
                <w:bCs/>
                <w:color w:val="auto"/>
                <w:szCs w:val="20"/>
                <w:lang w:val="es-ES_tradnl"/>
              </w:rPr>
              <w:t>o</w:t>
            </w:r>
            <w:r w:rsidRPr="00AA22E2">
              <w:rPr>
                <w:b/>
                <w:lang w:val="es-ES_tradnl"/>
              </w:rPr>
              <w:t xml:space="preserve"> </w:t>
            </w:r>
            <w:r w:rsidR="00927ED1" w:rsidRPr="00AA22E2">
              <w:rPr>
                <w:rFonts w:asciiTheme="minorHAnsi" w:hAnsiTheme="minorHAnsi" w:cs="Times New Roman Bold"/>
                <w:b/>
                <w:spacing w:val="-4"/>
                <w:lang w:val="es-ES_tradnl"/>
              </w:rPr>
              <w:t>EG-ITRs-2/2-</w:t>
            </w:r>
            <w:r w:rsidR="00605BFF" w:rsidRPr="00AA22E2">
              <w:rPr>
                <w:rFonts w:asciiTheme="minorHAnsi" w:hAnsiTheme="minorHAnsi" w:cs="Times New Roman Bold"/>
                <w:b/>
                <w:spacing w:val="-4"/>
                <w:lang w:val="es-ES_tradnl"/>
              </w:rPr>
              <w:t>S</w:t>
            </w:r>
          </w:p>
        </w:tc>
      </w:tr>
      <w:tr w:rsidR="00BB3930" w:rsidRPr="00AA22E2" w:rsidTr="006506AD">
        <w:trPr>
          <w:trHeight w:val="20"/>
        </w:trPr>
        <w:tc>
          <w:tcPr>
            <w:tcW w:w="6487" w:type="dxa"/>
            <w:vMerge/>
          </w:tcPr>
          <w:p w:rsidR="00BB3930" w:rsidRPr="00AA22E2" w:rsidRDefault="00BB3930" w:rsidP="006506AD">
            <w:pPr>
              <w:pStyle w:val="Normal1"/>
              <w:tabs>
                <w:tab w:val="left" w:pos="851"/>
              </w:tabs>
              <w:rPr>
                <w:lang w:val="es-ES_tradnl"/>
              </w:rPr>
            </w:pPr>
          </w:p>
        </w:tc>
        <w:tc>
          <w:tcPr>
            <w:tcW w:w="3544" w:type="dxa"/>
          </w:tcPr>
          <w:p w:rsidR="00BB3930" w:rsidRPr="00AA22E2" w:rsidRDefault="00927ED1" w:rsidP="00605BFF">
            <w:pPr>
              <w:pStyle w:val="Normal1"/>
              <w:tabs>
                <w:tab w:val="left" w:pos="993"/>
              </w:tabs>
              <w:spacing w:before="0"/>
              <w:rPr>
                <w:lang w:val="es-ES_tradnl"/>
              </w:rPr>
            </w:pPr>
            <w:r w:rsidRPr="00AA22E2">
              <w:rPr>
                <w:b/>
                <w:lang w:val="es-ES_tradnl"/>
              </w:rPr>
              <w:t xml:space="preserve">2 </w:t>
            </w:r>
            <w:r w:rsidR="00605BFF" w:rsidRPr="00AA22E2">
              <w:rPr>
                <w:b/>
                <w:lang w:val="es-ES_tradnl"/>
              </w:rPr>
              <w:t>de agosto de</w:t>
            </w:r>
            <w:r w:rsidR="00521FB0" w:rsidRPr="00AA22E2">
              <w:rPr>
                <w:b/>
                <w:lang w:val="es-ES_tradnl"/>
              </w:rPr>
              <w:t xml:space="preserve"> 2017</w:t>
            </w:r>
          </w:p>
        </w:tc>
      </w:tr>
      <w:tr w:rsidR="00BB3930" w:rsidRPr="00AA22E2" w:rsidTr="006506AD">
        <w:trPr>
          <w:trHeight w:val="20"/>
        </w:trPr>
        <w:tc>
          <w:tcPr>
            <w:tcW w:w="6487" w:type="dxa"/>
            <w:vMerge/>
          </w:tcPr>
          <w:p w:rsidR="00BB3930" w:rsidRPr="00AA22E2" w:rsidRDefault="00BB3930" w:rsidP="006506AD">
            <w:pPr>
              <w:pStyle w:val="Normal1"/>
              <w:tabs>
                <w:tab w:val="left" w:pos="851"/>
              </w:tabs>
              <w:rPr>
                <w:lang w:val="es-ES_tradnl"/>
              </w:rPr>
            </w:pPr>
          </w:p>
        </w:tc>
        <w:tc>
          <w:tcPr>
            <w:tcW w:w="3544" w:type="dxa"/>
          </w:tcPr>
          <w:p w:rsidR="00BB3930" w:rsidRPr="00AA22E2" w:rsidRDefault="002234B3" w:rsidP="00605BFF">
            <w:pPr>
              <w:pStyle w:val="Normal1"/>
              <w:tabs>
                <w:tab w:val="left" w:pos="993"/>
              </w:tabs>
              <w:spacing w:before="0"/>
              <w:rPr>
                <w:lang w:val="es-ES_tradnl"/>
              </w:rPr>
            </w:pPr>
            <w:r w:rsidRPr="00AA22E2">
              <w:rPr>
                <w:b/>
                <w:lang w:val="es-ES_tradnl"/>
              </w:rPr>
              <w:t xml:space="preserve">Original: </w:t>
            </w:r>
            <w:r w:rsidR="00605BFF" w:rsidRPr="00AA22E2">
              <w:rPr>
                <w:b/>
                <w:lang w:val="es-ES_tradnl"/>
              </w:rPr>
              <w:t>inglés</w:t>
            </w:r>
            <w:r w:rsidR="00BB3930" w:rsidRPr="00AA22E2">
              <w:rPr>
                <w:b/>
                <w:lang w:val="es-ES_tradnl"/>
              </w:rPr>
              <w:t xml:space="preserve"> </w:t>
            </w:r>
          </w:p>
        </w:tc>
      </w:tr>
      <w:tr w:rsidR="00BB3930" w:rsidRPr="00AA22E2" w:rsidTr="006506AD">
        <w:trPr>
          <w:trHeight w:val="20"/>
        </w:trPr>
        <w:tc>
          <w:tcPr>
            <w:tcW w:w="10031" w:type="dxa"/>
            <w:gridSpan w:val="2"/>
          </w:tcPr>
          <w:p w:rsidR="00BB3930" w:rsidRPr="00AA22E2" w:rsidRDefault="00605BFF" w:rsidP="008D580D">
            <w:pPr>
              <w:pStyle w:val="Source"/>
              <w:rPr>
                <w:lang w:val="es-ES_tradnl"/>
              </w:rPr>
            </w:pPr>
            <w:r w:rsidRPr="00AA22E2">
              <w:rPr>
                <w:lang w:val="es-ES_tradnl"/>
              </w:rPr>
              <w:t>Estados Unidos de América</w:t>
            </w:r>
          </w:p>
        </w:tc>
      </w:tr>
      <w:tr w:rsidR="00BB3930" w:rsidRPr="00AA22E2" w:rsidTr="006506AD">
        <w:trPr>
          <w:trHeight w:val="20"/>
        </w:trPr>
        <w:tc>
          <w:tcPr>
            <w:tcW w:w="10031" w:type="dxa"/>
            <w:gridSpan w:val="2"/>
          </w:tcPr>
          <w:p w:rsidR="00BB3930" w:rsidRPr="00AA22E2" w:rsidRDefault="00605BFF" w:rsidP="0011574E">
            <w:pPr>
              <w:pStyle w:val="Title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caps/>
                <w:color w:val="auto"/>
                <w:szCs w:val="20"/>
                <w:lang w:val="es-ES_tradnl"/>
              </w:rPr>
            </w:pPr>
            <w:r w:rsidRPr="00AA22E2">
              <w:rPr>
                <w:rFonts w:ascii="Calibri" w:eastAsia="Times New Roman" w:hAnsi="Calibri"/>
                <w:caps/>
                <w:color w:val="auto"/>
                <w:szCs w:val="20"/>
                <w:lang w:val="es-ES_tradnl"/>
              </w:rPr>
              <w:t xml:space="preserve">OPINIón DE LOS ESTADOS UNIDOS </w:t>
            </w:r>
            <w:r w:rsidR="00DD375E" w:rsidRPr="00AA22E2">
              <w:rPr>
                <w:rFonts w:ascii="Calibri" w:eastAsia="Times New Roman" w:hAnsi="Calibri"/>
                <w:caps/>
                <w:color w:val="auto"/>
                <w:szCs w:val="20"/>
                <w:lang w:val="es-ES_tradnl"/>
              </w:rPr>
              <w:t>RESPECTO DE</w:t>
            </w:r>
            <w:r w:rsidRPr="00AA22E2">
              <w:rPr>
                <w:rFonts w:ascii="Calibri" w:eastAsia="Times New Roman" w:hAnsi="Calibri"/>
                <w:caps/>
                <w:color w:val="auto"/>
                <w:szCs w:val="20"/>
                <w:lang w:val="es-ES_tradnl"/>
              </w:rPr>
              <w:t xml:space="preserve"> LA ESTRUCTURA DEL </w:t>
            </w:r>
            <w:r w:rsidR="0011574E">
              <w:rPr>
                <w:rFonts w:ascii="Calibri" w:eastAsia="Times New Roman" w:hAnsi="Calibri"/>
                <w:caps/>
                <w:color w:val="auto"/>
                <w:szCs w:val="20"/>
                <w:lang w:val="es-ES_tradnl"/>
              </w:rPr>
              <w:br/>
            </w:r>
            <w:r w:rsidRPr="00AA22E2">
              <w:rPr>
                <w:rFonts w:ascii="Calibri" w:eastAsia="Times New Roman" w:hAnsi="Calibri"/>
                <w:caps/>
                <w:color w:val="auto"/>
                <w:szCs w:val="20"/>
                <w:lang w:val="es-ES_tradnl"/>
              </w:rPr>
              <w:t xml:space="preserve">INFORME FINAL SOBRE EL EXAMEN DEL REGLAMENTO </w:t>
            </w:r>
            <w:r w:rsidR="0011574E">
              <w:rPr>
                <w:rFonts w:ascii="Calibri" w:eastAsia="Times New Roman" w:hAnsi="Calibri"/>
                <w:caps/>
                <w:color w:val="auto"/>
                <w:szCs w:val="20"/>
                <w:lang w:val="es-ES_tradnl"/>
              </w:rPr>
              <w:br/>
            </w:r>
            <w:r w:rsidRPr="00AA22E2">
              <w:rPr>
                <w:rFonts w:ascii="Calibri" w:eastAsia="Times New Roman" w:hAnsi="Calibri"/>
                <w:caps/>
                <w:color w:val="auto"/>
                <w:szCs w:val="20"/>
                <w:lang w:val="es-ES_tradnl"/>
              </w:rPr>
              <w:t>DE LAS TELECOMUNICACIONES INTERNACIONALES</w:t>
            </w:r>
          </w:p>
        </w:tc>
      </w:tr>
      <w:tr w:rsidR="00684664" w:rsidRPr="00AA22E2" w:rsidTr="006506AD">
        <w:trPr>
          <w:trHeight w:val="20"/>
        </w:trPr>
        <w:tc>
          <w:tcPr>
            <w:tcW w:w="10031" w:type="dxa"/>
            <w:gridSpan w:val="2"/>
          </w:tcPr>
          <w:p w:rsidR="00684664" w:rsidRPr="00AA22E2" w:rsidRDefault="00684664" w:rsidP="00413190">
            <w:pPr>
              <w:pStyle w:val="Title1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Times New Roman" w:hAnsi="Calibri"/>
                <w:caps/>
                <w:color w:val="auto"/>
                <w:szCs w:val="20"/>
                <w:lang w:val="es-ES_tradnl"/>
              </w:rPr>
            </w:pPr>
            <w:bookmarkStart w:id="1" w:name="_GoBack"/>
            <w:bookmarkEnd w:id="1"/>
          </w:p>
        </w:tc>
      </w:tr>
    </w:tbl>
    <w:p w:rsidR="00BB3930" w:rsidRPr="00AA22E2" w:rsidRDefault="00605BFF" w:rsidP="003F1DAA">
      <w:pPr>
        <w:pStyle w:val="Headingb"/>
        <w:rPr>
          <w:lang w:val="es-ES_tradnl"/>
        </w:rPr>
      </w:pPr>
      <w:bookmarkStart w:id="2" w:name="h.erbxq0yh2qlt" w:colFirst="0" w:colLast="0"/>
      <w:bookmarkEnd w:id="2"/>
      <w:r w:rsidRPr="00AA22E2">
        <w:rPr>
          <w:lang w:val="es-ES_tradnl"/>
        </w:rPr>
        <w:t>Introducción</w:t>
      </w:r>
    </w:p>
    <w:p w:rsidR="00104F53" w:rsidRPr="00AA22E2" w:rsidRDefault="00046582" w:rsidP="00AA22E2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  <w:lang w:val="es-ES_tradnl"/>
        </w:rPr>
      </w:pPr>
      <w:r w:rsidRPr="00AA22E2">
        <w:rPr>
          <w:rFonts w:eastAsia="Times New Roman" w:cs="Times New Roman"/>
          <w:color w:val="auto"/>
          <w:szCs w:val="20"/>
          <w:lang w:val="es-ES_tradnl"/>
        </w:rPr>
        <w:t>Los Estados Unidos se congratulan de los progresos realizados en el marco de la primera reunión del Grupo de Expertos sobre el Reglamento de las Telecomunicaciones Internacionales (GE-RTI). En ese sentido, aguard</w:t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>an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con interés que se celebren debates tangibles y significativos sobre el examen </w:t>
      </w:r>
      <w:r w:rsidR="00F32231" w:rsidRPr="00AA22E2">
        <w:rPr>
          <w:rFonts w:eastAsia="Times New Roman" w:cs="Times New Roman"/>
          <w:color w:val="auto"/>
          <w:szCs w:val="20"/>
          <w:lang w:val="es-ES_tradnl"/>
        </w:rPr>
        <w:t>del RTI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. Habida cuenta de que, en su reunión de 2017, el Consejo aprobó un </w:t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 xml:space="preserve">prototipo de </w:t>
      </w:r>
      <w:r w:rsidRPr="00AA22E2">
        <w:rPr>
          <w:rFonts w:eastAsia="Times New Roman" w:cs="Times New Roman"/>
          <w:color w:val="auto"/>
          <w:szCs w:val="20"/>
          <w:lang w:val="es-ES_tradnl"/>
        </w:rPr>
        <w:t>calendario para la</w:t>
      </w:r>
      <w:r w:rsidR="00AA22E2">
        <w:rPr>
          <w:rFonts w:eastAsia="Times New Roman" w:cs="Times New Roman"/>
          <w:color w:val="auto"/>
          <w:szCs w:val="20"/>
          <w:lang w:val="es-ES_tradnl"/>
        </w:rPr>
        <w:t>s reuniones presenciales del GE</w:t>
      </w:r>
      <w:r w:rsidR="00AA22E2">
        <w:rPr>
          <w:rFonts w:eastAsia="Times New Roman" w:cs="Times New Roman"/>
          <w:color w:val="auto"/>
          <w:szCs w:val="20"/>
          <w:lang w:val="es-ES_tradnl"/>
        </w:rPr>
        <w:noBreakHyphen/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RTI, </w:t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 xml:space="preserve">los Estados Unidos consideran </w:t>
      </w:r>
      <w:r w:rsidRPr="00AA22E2">
        <w:rPr>
          <w:rFonts w:eastAsia="Times New Roman" w:cs="Times New Roman"/>
          <w:color w:val="auto"/>
          <w:szCs w:val="20"/>
          <w:lang w:val="es-ES_tradnl"/>
        </w:rPr>
        <w:t>que</w:t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 xml:space="preserve"> dicho grupo </w:t>
      </w:r>
      <w:r w:rsidRPr="00AA22E2">
        <w:rPr>
          <w:rFonts w:eastAsia="Times New Roman" w:cs="Times New Roman"/>
          <w:color w:val="auto"/>
          <w:szCs w:val="20"/>
          <w:lang w:val="es-ES_tradnl"/>
        </w:rPr>
        <w:t>deberí</w:t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>a empezar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a redactar el informe final</w:t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 xml:space="preserve"> en las reuniones restantes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. </w:t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>Asimismo, estiman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que el informe final </w:t>
      </w:r>
      <w:r w:rsidR="00AA22E2">
        <w:rPr>
          <w:rFonts w:eastAsia="Times New Roman" w:cs="Times New Roman"/>
          <w:color w:val="auto"/>
          <w:szCs w:val="20"/>
          <w:lang w:val="es-ES_tradnl"/>
        </w:rPr>
        <w:t>que el GE</w:t>
      </w:r>
      <w:r w:rsidR="00AA22E2">
        <w:rPr>
          <w:rFonts w:eastAsia="Times New Roman" w:cs="Times New Roman"/>
          <w:color w:val="auto"/>
          <w:szCs w:val="20"/>
          <w:lang w:val="es-ES_tradnl"/>
        </w:rPr>
        <w:noBreakHyphen/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 xml:space="preserve">RTI someterá al Consejo </w:t>
      </w:r>
      <w:r w:rsidRPr="00AA22E2">
        <w:rPr>
          <w:rFonts w:eastAsia="Times New Roman" w:cs="Times New Roman"/>
          <w:color w:val="auto"/>
          <w:szCs w:val="20"/>
          <w:lang w:val="es-ES_tradnl"/>
        </w:rPr>
        <w:t>e</w:t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>n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2018 debe ser claro y conciso</w:t>
      </w:r>
      <w:r w:rsidR="00F32231" w:rsidRPr="00AA22E2">
        <w:rPr>
          <w:rFonts w:eastAsia="Times New Roman" w:cs="Times New Roman"/>
          <w:color w:val="auto"/>
          <w:szCs w:val="20"/>
          <w:lang w:val="es-ES_tradnl"/>
        </w:rPr>
        <w:t>,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y reflejar todas las opiniones expresadas </w:t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>con respecto al e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xamen </w:t>
      </w:r>
      <w:r w:rsidR="00F32231" w:rsidRPr="00AA22E2">
        <w:rPr>
          <w:rFonts w:eastAsia="Times New Roman" w:cs="Times New Roman"/>
          <w:color w:val="auto"/>
          <w:szCs w:val="20"/>
          <w:lang w:val="es-ES_tradnl"/>
        </w:rPr>
        <w:t>en cuestión</w:t>
      </w:r>
      <w:r w:rsidRPr="00AA22E2">
        <w:rPr>
          <w:rFonts w:eastAsia="Times New Roman" w:cs="Times New Roman"/>
          <w:color w:val="auto"/>
          <w:szCs w:val="20"/>
          <w:lang w:val="es-ES_tradnl"/>
        </w:rPr>
        <w:t>.</w:t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 xml:space="preserve"> Partiendo del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informe final, los </w:t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 xml:space="preserve">miembros del Consejo </w:t>
      </w:r>
      <w:r w:rsidRPr="00AA22E2">
        <w:rPr>
          <w:rFonts w:eastAsia="Times New Roman" w:cs="Times New Roman"/>
          <w:color w:val="auto"/>
          <w:szCs w:val="20"/>
          <w:lang w:val="es-ES_tradnl"/>
        </w:rPr>
        <w:t>debe</w:t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>ría</w:t>
      </w:r>
      <w:r w:rsidRPr="00AA22E2">
        <w:rPr>
          <w:rFonts w:eastAsia="Times New Roman" w:cs="Times New Roman"/>
          <w:color w:val="auto"/>
          <w:szCs w:val="20"/>
          <w:lang w:val="es-ES_tradnl"/>
        </w:rPr>
        <w:t>n</w:t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 xml:space="preserve"> poder formarse una opinión fundamentada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sobre la aplicabilidad, </w:t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 xml:space="preserve">la </w:t>
      </w:r>
      <w:r w:rsidRPr="00AA22E2">
        <w:rPr>
          <w:rFonts w:eastAsia="Times New Roman" w:cs="Times New Roman"/>
          <w:color w:val="auto"/>
          <w:szCs w:val="20"/>
          <w:lang w:val="es-ES_tradnl"/>
        </w:rPr>
        <w:t>relevancia</w:t>
      </w:r>
      <w:r w:rsidR="00DD375E" w:rsidRPr="00AA22E2">
        <w:rPr>
          <w:rFonts w:eastAsia="Times New Roman" w:cs="Times New Roman"/>
          <w:color w:val="auto"/>
          <w:szCs w:val="20"/>
          <w:lang w:val="es-ES_tradnl"/>
        </w:rPr>
        <w:t xml:space="preserve"> y la ejecución del RTI </w:t>
      </w:r>
      <w:r w:rsidRPr="00AA22E2">
        <w:rPr>
          <w:rFonts w:eastAsia="Times New Roman" w:cs="Times New Roman"/>
          <w:color w:val="auto"/>
          <w:szCs w:val="20"/>
          <w:lang w:val="es-ES_tradnl"/>
        </w:rPr>
        <w:t>de 2012.</w:t>
      </w:r>
    </w:p>
    <w:p w:rsidR="00104F53" w:rsidRPr="00AA22E2" w:rsidRDefault="00605BFF" w:rsidP="003F1DAA">
      <w:pPr>
        <w:pStyle w:val="Headingb"/>
        <w:rPr>
          <w:lang w:val="es-ES_tradnl"/>
        </w:rPr>
      </w:pPr>
      <w:r w:rsidRPr="00AA22E2">
        <w:rPr>
          <w:lang w:val="es-ES_tradnl"/>
        </w:rPr>
        <w:t>Postura de los Estados Unidos con respecto al RTI</w:t>
      </w:r>
    </w:p>
    <w:p w:rsidR="00104F53" w:rsidRPr="00AA22E2" w:rsidRDefault="00A0515A" w:rsidP="003F1DAA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  <w:lang w:val="es-ES_tradnl"/>
        </w:rPr>
      </w:pP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En la era de los monopolios, el RTI era esencial para la prestación y explotación de 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 xml:space="preserve">los </w:t>
      </w:r>
      <w:r w:rsidRPr="00AA22E2">
        <w:rPr>
          <w:rFonts w:eastAsia="Times New Roman" w:cs="Times New Roman"/>
          <w:color w:val="auto"/>
          <w:szCs w:val="20"/>
          <w:lang w:val="es-ES_tradnl"/>
        </w:rPr>
        <w:t>servicios de telecomunicaciones internacionales. No obstante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>,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los monopolios 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>ha</w:t>
      </w:r>
      <w:r w:rsidRPr="00AA22E2">
        <w:rPr>
          <w:rFonts w:eastAsia="Times New Roman" w:cs="Times New Roman"/>
          <w:color w:val="auto"/>
          <w:szCs w:val="20"/>
          <w:lang w:val="es-ES_tradnl"/>
        </w:rPr>
        <w:t>n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desaparecido en la gran mayoría de los países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y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>,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con ellos, la razón de ser de un tratado que versa sobre sus posibles efectos en los servicios de telecomunicaciones internacionales.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Además, la existencia de dos versiones del R</w:t>
      </w:r>
      <w:r w:rsidRPr="00AA22E2">
        <w:rPr>
          <w:rFonts w:eastAsia="Times New Roman" w:cs="Times New Roman"/>
          <w:color w:val="auto"/>
          <w:szCs w:val="20"/>
          <w:lang w:val="es-ES_tradnl"/>
        </w:rPr>
        <w:t>TI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no parece </w:t>
      </w:r>
      <w:r w:rsidRPr="00AA22E2">
        <w:rPr>
          <w:rFonts w:eastAsia="Times New Roman" w:cs="Times New Roman"/>
          <w:color w:val="auto"/>
          <w:szCs w:val="20"/>
          <w:lang w:val="es-ES_tradnl"/>
        </w:rPr>
        <w:t>generar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conflicto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alguno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entre las obligaciones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contraídas por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los signatarios de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amb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>os tratados. Los Estados Unidos</w:t>
      </w:r>
      <w:r w:rsidR="00F32231" w:rsidRPr="00AA22E2">
        <w:rPr>
          <w:rFonts w:eastAsia="Times New Roman" w:cs="Times New Roman"/>
          <w:color w:val="auto"/>
          <w:szCs w:val="20"/>
          <w:lang w:val="es-ES_tradnl"/>
        </w:rPr>
        <w:t xml:space="preserve"> no tienen conocimiento de ningún caso 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>en que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la existencia de dos versiones del R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>TI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 xml:space="preserve">haya 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>interfer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>ido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con las disposiciones y el funcionamiento de los servicios de telecomunicaciones internacionales</w:t>
      </w:r>
      <w:r w:rsidR="00F32231" w:rsidRPr="00AA22E2">
        <w:rPr>
          <w:rFonts w:eastAsia="Times New Roman" w:cs="Times New Roman"/>
          <w:color w:val="auto"/>
          <w:szCs w:val="20"/>
          <w:lang w:val="es-ES_tradnl"/>
        </w:rPr>
        <w:t>,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y 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 xml:space="preserve">señalan que las contribuciones presentadas a este grupo tampoco recogen 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>conflictos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 xml:space="preserve"> de esa índole. En l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a única queja planteada en las contribuciones 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 xml:space="preserve">recibidas 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>hasta la fecha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 xml:space="preserve"> se indica que los Estados M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>iembros no aplican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 xml:space="preserve"> las disposiciones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(idéntic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>as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) 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>d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el </w:t>
      </w:r>
      <w:r w:rsidR="00AA22E2" w:rsidRPr="00AA22E2">
        <w:rPr>
          <w:rFonts w:eastAsia="Times New Roman" w:cs="Times New Roman"/>
          <w:color w:val="auto"/>
          <w:szCs w:val="20"/>
          <w:lang w:val="es-ES_tradnl"/>
        </w:rPr>
        <w:t xml:space="preserve">Artículo 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>8.3.1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del RTI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 xml:space="preserve"> de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2012 y 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>d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el </w:t>
      </w:r>
      <w:r w:rsidR="00AA22E2" w:rsidRPr="00AA22E2">
        <w:rPr>
          <w:rFonts w:eastAsia="Times New Roman" w:cs="Times New Roman"/>
          <w:color w:val="auto"/>
          <w:szCs w:val="20"/>
          <w:lang w:val="es-ES_tradnl"/>
        </w:rPr>
        <w:t xml:space="preserve">Artículo </w:t>
      </w:r>
      <w:r w:rsidR="00AA3AD1" w:rsidRPr="00AA22E2">
        <w:rPr>
          <w:rFonts w:eastAsia="Times New Roman" w:cs="Times New Roman"/>
          <w:color w:val="auto"/>
          <w:szCs w:val="20"/>
          <w:lang w:val="es-ES_tradnl"/>
        </w:rPr>
        <w:t>6.1.3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del RTI de 1988 de manera coherente, sin </w:t>
      </w:r>
      <w:r w:rsidR="0024054B" w:rsidRPr="00AA22E2">
        <w:rPr>
          <w:rFonts w:eastAsia="Times New Roman" w:cs="Times New Roman"/>
          <w:color w:val="auto"/>
          <w:szCs w:val="20"/>
          <w:lang w:val="es-ES_tradnl"/>
        </w:rPr>
        <w:t xml:space="preserve">citar 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>ejemplos específicos. Ad</w:t>
      </w:r>
      <w:r w:rsidR="0024054B" w:rsidRPr="00AA22E2">
        <w:rPr>
          <w:rFonts w:eastAsia="Times New Roman" w:cs="Times New Roman"/>
          <w:color w:val="auto"/>
          <w:szCs w:val="20"/>
          <w:lang w:val="es-ES_tradnl"/>
        </w:rPr>
        <w:t>emás, la mayoría de los países signatarios del RTI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de 2012 </w:t>
      </w:r>
      <w:r w:rsidR="0097127B" w:rsidRPr="00AA22E2">
        <w:rPr>
          <w:rFonts w:eastAsia="Times New Roman" w:cs="Times New Roman"/>
          <w:color w:val="auto"/>
          <w:szCs w:val="20"/>
          <w:lang w:val="es-ES_tradnl"/>
        </w:rPr>
        <w:t xml:space="preserve">tiene pendiente 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>la ratificación formal</w:t>
      </w:r>
      <w:r w:rsidR="00F32231" w:rsidRPr="00AA22E2">
        <w:rPr>
          <w:rFonts w:eastAsia="Times New Roman" w:cs="Times New Roman"/>
          <w:color w:val="auto"/>
          <w:szCs w:val="20"/>
          <w:lang w:val="es-ES_tradnl"/>
        </w:rPr>
        <w:t xml:space="preserve"> del instrumento</w:t>
      </w:r>
      <w:r w:rsidR="0024054B" w:rsidRPr="00AA22E2">
        <w:rPr>
          <w:rFonts w:eastAsia="Times New Roman" w:cs="Times New Roman"/>
          <w:color w:val="auto"/>
          <w:szCs w:val="20"/>
          <w:lang w:val="es-ES_tradnl"/>
        </w:rPr>
        <w:t>;</w:t>
      </w:r>
      <w:r w:rsidR="00F32231" w:rsidRPr="00AA22E2">
        <w:rPr>
          <w:rFonts w:eastAsia="Times New Roman" w:cs="Times New Roman"/>
          <w:color w:val="auto"/>
          <w:szCs w:val="20"/>
          <w:lang w:val="es-ES_tradnl"/>
        </w:rPr>
        <w:t xml:space="preserve"> de hecho,</w:t>
      </w:r>
      <w:r w:rsidR="0024054B" w:rsidRPr="00AA22E2">
        <w:rPr>
          <w:rFonts w:eastAsia="Times New Roman" w:cs="Times New Roman"/>
          <w:color w:val="auto"/>
          <w:szCs w:val="20"/>
          <w:lang w:val="es-ES_tradnl"/>
        </w:rPr>
        <w:t xml:space="preserve"> en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junio de 2017, sólo siete de los 89 países signatarios del R</w:t>
      </w:r>
      <w:r w:rsidR="0024054B" w:rsidRPr="00AA22E2">
        <w:rPr>
          <w:rFonts w:eastAsia="Times New Roman" w:cs="Times New Roman"/>
          <w:color w:val="auto"/>
          <w:szCs w:val="20"/>
          <w:lang w:val="es-ES_tradnl"/>
        </w:rPr>
        <w:t>TI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 xml:space="preserve"> ha</w:t>
      </w:r>
      <w:r w:rsidR="0024054B" w:rsidRPr="00AA22E2">
        <w:rPr>
          <w:rFonts w:eastAsia="Times New Roman" w:cs="Times New Roman"/>
          <w:color w:val="auto"/>
          <w:szCs w:val="20"/>
          <w:lang w:val="es-ES_tradnl"/>
        </w:rPr>
        <w:t>bía</w:t>
      </w:r>
      <w:r w:rsidR="008500E7" w:rsidRPr="00AA22E2">
        <w:rPr>
          <w:rFonts w:eastAsia="Times New Roman" w:cs="Times New Roman"/>
          <w:color w:val="auto"/>
          <w:szCs w:val="20"/>
          <w:lang w:val="es-ES_tradnl"/>
        </w:rPr>
        <w:t>n ratificado el tratado.</w:t>
      </w:r>
    </w:p>
    <w:p w:rsidR="005A07F0" w:rsidRPr="00AA22E2" w:rsidRDefault="00605BFF" w:rsidP="003F1DAA">
      <w:pPr>
        <w:pStyle w:val="Headingb"/>
        <w:rPr>
          <w:lang w:val="es-ES_tradnl"/>
        </w:rPr>
      </w:pPr>
      <w:r w:rsidRPr="00AA22E2">
        <w:rPr>
          <w:lang w:val="es-ES_tradnl"/>
        </w:rPr>
        <w:lastRenderedPageBreak/>
        <w:t xml:space="preserve">Estructura del </w:t>
      </w:r>
      <w:r w:rsidR="00383072" w:rsidRPr="00AA22E2">
        <w:rPr>
          <w:lang w:val="es-ES_tradnl"/>
        </w:rPr>
        <w:t xml:space="preserve">informe final </w:t>
      </w:r>
      <w:r w:rsidRPr="00AA22E2">
        <w:rPr>
          <w:lang w:val="es-ES_tradnl"/>
        </w:rPr>
        <w:t>sobre el examen del RTI</w:t>
      </w:r>
    </w:p>
    <w:p w:rsidR="00DE4452" w:rsidRPr="00AA22E2" w:rsidRDefault="0024054B" w:rsidP="003F1DAA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  <w:lang w:val="es-ES_tradnl"/>
        </w:rPr>
      </w:pP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Los Estados Unidos </w:t>
      </w:r>
      <w:r w:rsidR="001E1A9E" w:rsidRPr="00AA22E2">
        <w:rPr>
          <w:rFonts w:eastAsia="Times New Roman" w:cs="Times New Roman"/>
          <w:color w:val="auto"/>
          <w:szCs w:val="20"/>
          <w:lang w:val="es-ES_tradnl"/>
        </w:rPr>
        <w:t xml:space="preserve">consideran que el mandato del GE-RTI 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debería </w:t>
      </w:r>
      <w:r w:rsidR="001E1A9E" w:rsidRPr="00AA22E2">
        <w:rPr>
          <w:rFonts w:eastAsia="Times New Roman" w:cs="Times New Roman"/>
          <w:color w:val="auto"/>
          <w:szCs w:val="20"/>
          <w:lang w:val="es-ES_tradnl"/>
        </w:rPr>
        <w:t>con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formar la estructura del </w:t>
      </w:r>
      <w:r w:rsidR="00383072" w:rsidRPr="00AA22E2">
        <w:rPr>
          <w:rFonts w:eastAsia="Times New Roman" w:cs="Times New Roman"/>
          <w:color w:val="auto"/>
          <w:szCs w:val="20"/>
          <w:lang w:val="es-ES_tradnl"/>
        </w:rPr>
        <w:t>informe final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. Por </w:t>
      </w:r>
      <w:r w:rsidR="001E1A9E" w:rsidRPr="00AA22E2">
        <w:rPr>
          <w:rFonts w:eastAsia="Times New Roman" w:cs="Times New Roman"/>
          <w:color w:val="auto"/>
          <w:szCs w:val="20"/>
          <w:lang w:val="es-ES_tradnl"/>
        </w:rPr>
        <w:t>consiguiente,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 xml:space="preserve"> existen </w:t>
      </w:r>
      <w:r w:rsidRPr="00AA22E2">
        <w:rPr>
          <w:rFonts w:eastAsia="Times New Roman" w:cs="Times New Roman"/>
          <w:color w:val="auto"/>
          <w:szCs w:val="20"/>
          <w:lang w:val="es-ES_tradnl"/>
        </w:rPr>
        <w:t>tres cuestiones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 xml:space="preserve"> esenciales para el examen de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l 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 xml:space="preserve">RTI, en torno a las cuales podría articularse 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el </w:t>
      </w:r>
      <w:r w:rsidR="00383072" w:rsidRPr="00AA22E2">
        <w:rPr>
          <w:rFonts w:eastAsia="Times New Roman" w:cs="Times New Roman"/>
          <w:color w:val="auto"/>
          <w:szCs w:val="20"/>
          <w:lang w:val="es-ES_tradnl"/>
        </w:rPr>
        <w:t>informe final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: 1) 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>aplicabilidad del RTI de 2012 en un entorno de telecomunicaciones internacionales que evoluciona con rapidez</w:t>
      </w:r>
      <w:r w:rsidR="00383072">
        <w:rPr>
          <w:rFonts w:eastAsia="Times New Roman" w:cs="Times New Roman"/>
          <w:color w:val="auto"/>
          <w:szCs w:val="20"/>
          <w:lang w:val="es-ES_tradnl"/>
        </w:rPr>
        <w:t>; 2) 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análisis 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>jurídico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del R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>TI de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2012;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 xml:space="preserve"> y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3) análisis de 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 xml:space="preserve">los </w:t>
      </w:r>
      <w:r w:rsidRPr="00AA22E2">
        <w:rPr>
          <w:rFonts w:eastAsia="Times New Roman" w:cs="Times New Roman"/>
          <w:color w:val="auto"/>
          <w:szCs w:val="20"/>
          <w:lang w:val="es-ES_tradnl"/>
        </w:rPr>
        <w:t>posibles conflictos entre las obligaciones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 xml:space="preserve"> </w:t>
      </w:r>
      <w:r w:rsidR="00F32231" w:rsidRPr="00AA22E2">
        <w:rPr>
          <w:rFonts w:eastAsia="Times New Roman" w:cs="Times New Roman"/>
          <w:color w:val="auto"/>
          <w:szCs w:val="20"/>
          <w:lang w:val="es-ES_tradnl"/>
        </w:rPr>
        <w:t>contraídas por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los signatarios 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>del RTI de 2012 y</w:t>
      </w:r>
      <w:r w:rsidR="00F32231" w:rsidRPr="00AA22E2">
        <w:rPr>
          <w:rFonts w:eastAsia="Times New Roman" w:cs="Times New Roman"/>
          <w:color w:val="auto"/>
          <w:szCs w:val="20"/>
          <w:lang w:val="es-ES_tradnl"/>
        </w:rPr>
        <w:t xml:space="preserve"> 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>el RTI de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1988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 xml:space="preserve"> en lo</w:t>
      </w:r>
      <w:r w:rsidR="004B7F55" w:rsidRPr="00AA22E2">
        <w:rPr>
          <w:rFonts w:eastAsia="Times New Roman" w:cs="Times New Roman"/>
          <w:color w:val="auto"/>
          <w:szCs w:val="20"/>
          <w:lang w:val="es-ES_tradnl"/>
        </w:rPr>
        <w:t xml:space="preserve"> tocante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 xml:space="preserve"> 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a la aplicación de las disposiciones de 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>dichos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tratados. 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 xml:space="preserve">Dado que es inevitable que surjan </w:t>
      </w:r>
      <w:r w:rsidRPr="00AA22E2">
        <w:rPr>
          <w:rFonts w:eastAsia="Times New Roman" w:cs="Times New Roman"/>
          <w:color w:val="auto"/>
          <w:szCs w:val="20"/>
          <w:lang w:val="es-ES_tradnl"/>
        </w:rPr>
        <w:t>opiniones divergentes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 xml:space="preserve"> </w:t>
      </w:r>
      <w:r w:rsidR="005829E7" w:rsidRPr="00AA22E2">
        <w:rPr>
          <w:rFonts w:eastAsia="Times New Roman" w:cs="Times New Roman"/>
          <w:color w:val="auto"/>
          <w:szCs w:val="20"/>
          <w:lang w:val="es-ES_tradnl"/>
        </w:rPr>
        <w:t>en relación con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 xml:space="preserve"> los temas </w:t>
      </w:r>
      <w:r w:rsidR="00942C06" w:rsidRPr="00AA22E2">
        <w:rPr>
          <w:rFonts w:eastAsia="Times New Roman" w:cs="Times New Roman"/>
          <w:color w:val="auto"/>
          <w:szCs w:val="20"/>
          <w:lang w:val="es-ES_tradnl"/>
        </w:rPr>
        <w:t>de estudio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>,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los Estados Unidos 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>opinan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que el </w:t>
      </w:r>
      <w:r w:rsidR="00383072" w:rsidRPr="00AA22E2">
        <w:rPr>
          <w:rFonts w:eastAsia="Times New Roman" w:cs="Times New Roman"/>
          <w:color w:val="auto"/>
          <w:szCs w:val="20"/>
          <w:lang w:val="es-ES_tradnl"/>
        </w:rPr>
        <w:t xml:space="preserve">informe </w:t>
      </w:r>
      <w:r w:rsidRPr="00AA22E2">
        <w:rPr>
          <w:rFonts w:eastAsia="Times New Roman" w:cs="Times New Roman"/>
          <w:color w:val="auto"/>
          <w:szCs w:val="20"/>
          <w:lang w:val="es-ES_tradnl"/>
        </w:rPr>
        <w:t>debe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>ría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incluir todas las </w:t>
      </w:r>
      <w:r w:rsidR="00DF6396" w:rsidRPr="00AA22E2">
        <w:rPr>
          <w:rFonts w:eastAsia="Times New Roman" w:cs="Times New Roman"/>
          <w:color w:val="auto"/>
          <w:szCs w:val="20"/>
          <w:lang w:val="es-ES_tradnl"/>
        </w:rPr>
        <w:t xml:space="preserve">observaciones formuladas en la materia 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y abstenerse de </w:t>
      </w:r>
      <w:r w:rsidR="005829E7" w:rsidRPr="00AA22E2">
        <w:rPr>
          <w:rFonts w:eastAsia="Times New Roman" w:cs="Times New Roman"/>
          <w:color w:val="auto"/>
          <w:szCs w:val="20"/>
          <w:lang w:val="es-ES_tradnl"/>
        </w:rPr>
        <w:t>enunciar</w:t>
      </w:r>
      <w:r w:rsidRPr="00AA22E2">
        <w:rPr>
          <w:rFonts w:eastAsia="Times New Roman" w:cs="Times New Roman"/>
          <w:color w:val="auto"/>
          <w:szCs w:val="20"/>
          <w:lang w:val="es-ES_tradnl"/>
        </w:rPr>
        <w:t xml:space="preserve"> conclusiones o</w:t>
      </w:r>
      <w:r w:rsidR="005829E7" w:rsidRPr="00AA22E2">
        <w:rPr>
          <w:rFonts w:eastAsia="Times New Roman" w:cs="Times New Roman"/>
          <w:color w:val="auto"/>
          <w:szCs w:val="20"/>
          <w:lang w:val="es-ES_tradnl"/>
        </w:rPr>
        <w:t xml:space="preserve"> r</w:t>
      </w:r>
      <w:r w:rsidRPr="00AA22E2">
        <w:rPr>
          <w:rFonts w:eastAsia="Times New Roman" w:cs="Times New Roman"/>
          <w:color w:val="auto"/>
          <w:szCs w:val="20"/>
          <w:lang w:val="es-ES_tradnl"/>
        </w:rPr>
        <w:t>ecomendaciones</w:t>
      </w:r>
      <w:r w:rsidR="005829E7" w:rsidRPr="00AA22E2">
        <w:rPr>
          <w:rFonts w:eastAsia="Times New Roman" w:cs="Times New Roman"/>
          <w:color w:val="auto"/>
          <w:szCs w:val="20"/>
          <w:lang w:val="es-ES_tradnl"/>
        </w:rPr>
        <w:t xml:space="preserve"> al respecto</w:t>
      </w:r>
      <w:r w:rsidRPr="00AA22E2">
        <w:rPr>
          <w:rFonts w:eastAsia="Times New Roman" w:cs="Times New Roman"/>
          <w:color w:val="auto"/>
          <w:szCs w:val="20"/>
          <w:lang w:val="es-ES_tradnl"/>
        </w:rPr>
        <w:t>.</w:t>
      </w:r>
    </w:p>
    <w:p w:rsidR="003F1DAA" w:rsidRPr="00AA22E2" w:rsidRDefault="003F1DAA" w:rsidP="0032202E">
      <w:pPr>
        <w:pStyle w:val="Reasons"/>
        <w:rPr>
          <w:lang w:val="es-ES_tradnl"/>
        </w:rPr>
      </w:pPr>
    </w:p>
    <w:p w:rsidR="003F1DAA" w:rsidRPr="00AA22E2" w:rsidRDefault="003F1DAA">
      <w:pPr>
        <w:jc w:val="center"/>
        <w:rPr>
          <w:lang w:val="es-ES_tradnl"/>
        </w:rPr>
      </w:pPr>
      <w:r w:rsidRPr="00AA22E2">
        <w:rPr>
          <w:lang w:val="es-ES_tradnl"/>
        </w:rPr>
        <w:t>______________</w:t>
      </w:r>
    </w:p>
    <w:sectPr w:rsidR="003F1DAA" w:rsidRPr="00AA22E2" w:rsidSect="00927ED1">
      <w:headerReference w:type="default" r:id="rId9"/>
      <w:footerReference w:type="default" r:id="rId10"/>
      <w:footerReference w:type="first" r:id="rId11"/>
      <w:pgSz w:w="11907" w:h="16840" w:code="9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ED" w:rsidRDefault="00C830ED" w:rsidP="002E7BF9">
      <w:pPr>
        <w:spacing w:before="0"/>
      </w:pPr>
      <w:r>
        <w:separator/>
      </w:r>
    </w:p>
  </w:endnote>
  <w:endnote w:type="continuationSeparator" w:id="0">
    <w:p w:rsidR="00C830ED" w:rsidRDefault="00C830ED" w:rsidP="002E7B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A9" w:rsidRDefault="003C07A9" w:rsidP="003C07A9">
    <w:pPr>
      <w:pStyle w:val="Footer"/>
      <w:rPr>
        <w:noProof/>
        <w:sz w:val="16"/>
      </w:rPr>
    </w:pPr>
    <w:r w:rsidRPr="003C07A9">
      <w:rPr>
        <w:noProof/>
        <w:sz w:val="16"/>
      </w:rPr>
      <w:fldChar w:fldCharType="begin"/>
    </w:r>
    <w:r w:rsidRPr="003C07A9">
      <w:rPr>
        <w:noProof/>
        <w:sz w:val="16"/>
      </w:rPr>
      <w:instrText xml:space="preserve"> FILENAME \p  \* MERGEFORMAT </w:instrText>
    </w:r>
    <w:r w:rsidRPr="003C07A9">
      <w:rPr>
        <w:noProof/>
        <w:sz w:val="16"/>
      </w:rPr>
      <w:fldChar w:fldCharType="separate"/>
    </w:r>
    <w:r w:rsidRPr="003C07A9">
      <w:rPr>
        <w:noProof/>
        <w:sz w:val="16"/>
      </w:rPr>
      <w:t>P:\ESP\SG\CONSEIL\EG-ITR\EG-ITR2\000\002S.docx</w:t>
    </w:r>
    <w:r>
      <w:rPr>
        <w:noProof/>
        <w:sz w:val="16"/>
      </w:rPr>
      <w:fldChar w:fldCharType="end"/>
    </w:r>
    <w:r>
      <w:rPr>
        <w:noProof/>
        <w:sz w:val="16"/>
      </w:rPr>
      <w:t xml:space="preserve"> (422251)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90" w:rsidRDefault="00413190" w:rsidP="00413190">
    <w:pPr>
      <w:spacing w:after="120"/>
      <w:jc w:val="center"/>
    </w:pPr>
    <w:r>
      <w:t xml:space="preserve">• </w:t>
    </w:r>
    <w:hyperlink r:id="rId1" w:history="1">
      <w:r w:rsidRPr="00413190">
        <w:rPr>
          <w:rStyle w:val="Hyperlink"/>
          <w:rFonts w:eastAsia="Times New Roman" w:cs="Times New Roman"/>
          <w:color w:val="0000FF"/>
          <w:szCs w:val="20"/>
          <w:lang w:val="fr-FR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ED" w:rsidRDefault="00C830ED" w:rsidP="002E7BF9">
      <w:pPr>
        <w:spacing w:before="0"/>
      </w:pPr>
      <w:r>
        <w:separator/>
      </w:r>
    </w:p>
  </w:footnote>
  <w:footnote w:type="continuationSeparator" w:id="0">
    <w:p w:rsidR="00C830ED" w:rsidRDefault="00C830ED" w:rsidP="002E7BF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 New Roman" w:cs="Times New Roman"/>
        <w:color w:val="auto"/>
        <w:sz w:val="18"/>
        <w:szCs w:val="20"/>
        <w:lang w:val="fr-FR"/>
      </w:rPr>
      <w:id w:val="-828524872"/>
      <w:docPartObj>
        <w:docPartGallery w:val="Page Numbers (Top of Page)"/>
        <w:docPartUnique/>
      </w:docPartObj>
    </w:sdtPr>
    <w:sdtContent>
      <w:p w:rsidR="003C07A9" w:rsidRPr="003C07A9" w:rsidRDefault="003C07A9" w:rsidP="003C07A9">
        <w:pPr>
          <w:pStyle w:val="Header"/>
          <w:tabs>
            <w:tab w:val="clear" w:pos="4680"/>
            <w:tab w:val="clear" w:pos="9360"/>
            <w:tab w:val="left" w:pos="567"/>
            <w:tab w:val="left" w:pos="1134"/>
            <w:tab w:val="left" w:pos="1701"/>
            <w:tab w:val="left" w:pos="2268"/>
            <w:tab w:val="left" w:pos="2835"/>
          </w:tabs>
          <w:overflowPunct w:val="0"/>
          <w:autoSpaceDE w:val="0"/>
          <w:autoSpaceDN w:val="0"/>
          <w:adjustRightInd w:val="0"/>
          <w:jc w:val="center"/>
          <w:textAlignment w:val="baseline"/>
          <w:rPr>
            <w:rFonts w:eastAsia="Times New Roman" w:cs="Times New Roman"/>
            <w:color w:val="auto"/>
            <w:sz w:val="18"/>
            <w:szCs w:val="20"/>
            <w:lang w:val="fr-FR"/>
          </w:rPr>
        </w:pPr>
        <w:r w:rsidRPr="003C07A9">
          <w:rPr>
            <w:rFonts w:eastAsia="Times New Roman" w:cs="Times New Roman"/>
            <w:color w:val="auto"/>
            <w:sz w:val="18"/>
            <w:szCs w:val="20"/>
            <w:lang w:val="fr-FR"/>
          </w:rPr>
          <w:fldChar w:fldCharType="begin"/>
        </w:r>
        <w:r w:rsidRPr="003C07A9">
          <w:rPr>
            <w:rFonts w:eastAsia="Times New Roman" w:cs="Times New Roman"/>
            <w:color w:val="auto"/>
            <w:sz w:val="18"/>
            <w:szCs w:val="20"/>
            <w:lang w:val="fr-FR"/>
          </w:rPr>
          <w:instrText xml:space="preserve"> PAGE   \* MERGEFORMAT </w:instrText>
        </w:r>
        <w:r w:rsidRPr="003C07A9">
          <w:rPr>
            <w:rFonts w:eastAsia="Times New Roman" w:cs="Times New Roman"/>
            <w:color w:val="auto"/>
            <w:sz w:val="18"/>
            <w:szCs w:val="20"/>
            <w:lang w:val="fr-FR"/>
          </w:rPr>
          <w:fldChar w:fldCharType="separate"/>
        </w:r>
        <w:r w:rsidR="00383072">
          <w:rPr>
            <w:rFonts w:eastAsia="Times New Roman" w:cs="Times New Roman"/>
            <w:noProof/>
            <w:color w:val="auto"/>
            <w:sz w:val="18"/>
            <w:szCs w:val="20"/>
            <w:lang w:val="fr-FR"/>
          </w:rPr>
          <w:t>2</w:t>
        </w:r>
        <w:r w:rsidRPr="003C07A9">
          <w:rPr>
            <w:rFonts w:eastAsia="Times New Roman" w:cs="Times New Roman"/>
            <w:color w:val="auto"/>
            <w:sz w:val="18"/>
            <w:szCs w:val="20"/>
            <w:lang w:val="fr-FR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DEF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926B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688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9EB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940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503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449C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D6E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C27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9EB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30"/>
    <w:rsid w:val="0000534C"/>
    <w:rsid w:val="000343B4"/>
    <w:rsid w:val="00046582"/>
    <w:rsid w:val="00046A88"/>
    <w:rsid w:val="00076C2A"/>
    <w:rsid w:val="00080D62"/>
    <w:rsid w:val="00087353"/>
    <w:rsid w:val="000A351D"/>
    <w:rsid w:val="000B155A"/>
    <w:rsid w:val="000B54EF"/>
    <w:rsid w:val="000C34C8"/>
    <w:rsid w:val="000C6904"/>
    <w:rsid w:val="000C6FBE"/>
    <w:rsid w:val="000E18D6"/>
    <w:rsid w:val="0010354D"/>
    <w:rsid w:val="00104F53"/>
    <w:rsid w:val="0011574E"/>
    <w:rsid w:val="00115892"/>
    <w:rsid w:val="001429FC"/>
    <w:rsid w:val="00150CDC"/>
    <w:rsid w:val="001636AA"/>
    <w:rsid w:val="001712DE"/>
    <w:rsid w:val="0019391C"/>
    <w:rsid w:val="00196100"/>
    <w:rsid w:val="001B26D7"/>
    <w:rsid w:val="001B369B"/>
    <w:rsid w:val="001C0870"/>
    <w:rsid w:val="001E1A9E"/>
    <w:rsid w:val="001E78FC"/>
    <w:rsid w:val="001F1FFD"/>
    <w:rsid w:val="002034A3"/>
    <w:rsid w:val="002108E5"/>
    <w:rsid w:val="002234B3"/>
    <w:rsid w:val="00235650"/>
    <w:rsid w:val="0024054B"/>
    <w:rsid w:val="00241D13"/>
    <w:rsid w:val="00247B60"/>
    <w:rsid w:val="00251DFB"/>
    <w:rsid w:val="0025205F"/>
    <w:rsid w:val="00274508"/>
    <w:rsid w:val="00281B54"/>
    <w:rsid w:val="00282208"/>
    <w:rsid w:val="002A025E"/>
    <w:rsid w:val="002A1F3C"/>
    <w:rsid w:val="002B18FE"/>
    <w:rsid w:val="002D2547"/>
    <w:rsid w:val="002D2D56"/>
    <w:rsid w:val="002E5B62"/>
    <w:rsid w:val="002E7BF9"/>
    <w:rsid w:val="00300570"/>
    <w:rsid w:val="003021A2"/>
    <w:rsid w:val="003132AA"/>
    <w:rsid w:val="0036088C"/>
    <w:rsid w:val="00366723"/>
    <w:rsid w:val="003827FC"/>
    <w:rsid w:val="00383072"/>
    <w:rsid w:val="0039031D"/>
    <w:rsid w:val="00395040"/>
    <w:rsid w:val="003A5503"/>
    <w:rsid w:val="003C07A9"/>
    <w:rsid w:val="003E0D27"/>
    <w:rsid w:val="003E4529"/>
    <w:rsid w:val="003F1DAA"/>
    <w:rsid w:val="00413190"/>
    <w:rsid w:val="004229B4"/>
    <w:rsid w:val="00451E58"/>
    <w:rsid w:val="00466AC2"/>
    <w:rsid w:val="00481076"/>
    <w:rsid w:val="004A1B89"/>
    <w:rsid w:val="004A6F4E"/>
    <w:rsid w:val="004B3EC5"/>
    <w:rsid w:val="004B7F55"/>
    <w:rsid w:val="004E1DA2"/>
    <w:rsid w:val="005046E5"/>
    <w:rsid w:val="005078F8"/>
    <w:rsid w:val="00521FB0"/>
    <w:rsid w:val="00525036"/>
    <w:rsid w:val="00551FEB"/>
    <w:rsid w:val="00561DFC"/>
    <w:rsid w:val="0056260D"/>
    <w:rsid w:val="00570A13"/>
    <w:rsid w:val="00572749"/>
    <w:rsid w:val="005829E7"/>
    <w:rsid w:val="005A07F0"/>
    <w:rsid w:val="005A1120"/>
    <w:rsid w:val="005C0FB0"/>
    <w:rsid w:val="005C578E"/>
    <w:rsid w:val="005D62FC"/>
    <w:rsid w:val="005E5B9D"/>
    <w:rsid w:val="00605BFF"/>
    <w:rsid w:val="00614D87"/>
    <w:rsid w:val="006255CB"/>
    <w:rsid w:val="00641F13"/>
    <w:rsid w:val="00663124"/>
    <w:rsid w:val="00667FFC"/>
    <w:rsid w:val="00684664"/>
    <w:rsid w:val="006960DF"/>
    <w:rsid w:val="006B49C5"/>
    <w:rsid w:val="006D14A3"/>
    <w:rsid w:val="006F6D44"/>
    <w:rsid w:val="00701D78"/>
    <w:rsid w:val="0070426D"/>
    <w:rsid w:val="00737AA6"/>
    <w:rsid w:val="007429A4"/>
    <w:rsid w:val="007446F9"/>
    <w:rsid w:val="00760079"/>
    <w:rsid w:val="00761711"/>
    <w:rsid w:val="00796594"/>
    <w:rsid w:val="007A3D80"/>
    <w:rsid w:val="007B4350"/>
    <w:rsid w:val="007C5C5F"/>
    <w:rsid w:val="007D341B"/>
    <w:rsid w:val="007D6980"/>
    <w:rsid w:val="007F257F"/>
    <w:rsid w:val="007F34D1"/>
    <w:rsid w:val="00803F51"/>
    <w:rsid w:val="0080584B"/>
    <w:rsid w:val="00811D16"/>
    <w:rsid w:val="008404AF"/>
    <w:rsid w:val="008500E7"/>
    <w:rsid w:val="00856317"/>
    <w:rsid w:val="008717A5"/>
    <w:rsid w:val="00893796"/>
    <w:rsid w:val="008A687C"/>
    <w:rsid w:val="008D580D"/>
    <w:rsid w:val="008D6D21"/>
    <w:rsid w:val="008E4276"/>
    <w:rsid w:val="00922651"/>
    <w:rsid w:val="00927ED1"/>
    <w:rsid w:val="00933C40"/>
    <w:rsid w:val="0093678B"/>
    <w:rsid w:val="00942C06"/>
    <w:rsid w:val="009518A6"/>
    <w:rsid w:val="0097127B"/>
    <w:rsid w:val="00973349"/>
    <w:rsid w:val="009765D0"/>
    <w:rsid w:val="00984B80"/>
    <w:rsid w:val="009B16BF"/>
    <w:rsid w:val="009B56AF"/>
    <w:rsid w:val="009C1A90"/>
    <w:rsid w:val="009F23A0"/>
    <w:rsid w:val="00A03A1F"/>
    <w:rsid w:val="00A0515A"/>
    <w:rsid w:val="00A1314E"/>
    <w:rsid w:val="00A3638E"/>
    <w:rsid w:val="00A42B3D"/>
    <w:rsid w:val="00A50D85"/>
    <w:rsid w:val="00A7020E"/>
    <w:rsid w:val="00A81FDB"/>
    <w:rsid w:val="00A94885"/>
    <w:rsid w:val="00A9679A"/>
    <w:rsid w:val="00AA22E2"/>
    <w:rsid w:val="00AA3AD1"/>
    <w:rsid w:val="00AB4BD2"/>
    <w:rsid w:val="00AD250E"/>
    <w:rsid w:val="00AD7001"/>
    <w:rsid w:val="00AE5D64"/>
    <w:rsid w:val="00B361FA"/>
    <w:rsid w:val="00B36E32"/>
    <w:rsid w:val="00B45D1F"/>
    <w:rsid w:val="00B47273"/>
    <w:rsid w:val="00B53486"/>
    <w:rsid w:val="00B61589"/>
    <w:rsid w:val="00B656F2"/>
    <w:rsid w:val="00B77345"/>
    <w:rsid w:val="00B93274"/>
    <w:rsid w:val="00B93439"/>
    <w:rsid w:val="00B937C1"/>
    <w:rsid w:val="00BA4380"/>
    <w:rsid w:val="00BB3930"/>
    <w:rsid w:val="00BC0654"/>
    <w:rsid w:val="00BE02A5"/>
    <w:rsid w:val="00C3791A"/>
    <w:rsid w:val="00C830ED"/>
    <w:rsid w:val="00CA3A6A"/>
    <w:rsid w:val="00CB1B0C"/>
    <w:rsid w:val="00CB7A02"/>
    <w:rsid w:val="00CC2994"/>
    <w:rsid w:val="00CC399F"/>
    <w:rsid w:val="00CE1B3E"/>
    <w:rsid w:val="00CF1234"/>
    <w:rsid w:val="00CF506B"/>
    <w:rsid w:val="00CF608F"/>
    <w:rsid w:val="00D206EA"/>
    <w:rsid w:val="00D30227"/>
    <w:rsid w:val="00D34171"/>
    <w:rsid w:val="00D40F3B"/>
    <w:rsid w:val="00D673D1"/>
    <w:rsid w:val="00D86D0A"/>
    <w:rsid w:val="00D92631"/>
    <w:rsid w:val="00D94CD9"/>
    <w:rsid w:val="00DA6032"/>
    <w:rsid w:val="00DB2C1C"/>
    <w:rsid w:val="00DD1913"/>
    <w:rsid w:val="00DD375E"/>
    <w:rsid w:val="00DD3D0C"/>
    <w:rsid w:val="00DE234E"/>
    <w:rsid w:val="00DE4452"/>
    <w:rsid w:val="00DF0D1C"/>
    <w:rsid w:val="00DF13EF"/>
    <w:rsid w:val="00DF6396"/>
    <w:rsid w:val="00DF6D14"/>
    <w:rsid w:val="00DF715D"/>
    <w:rsid w:val="00E2264B"/>
    <w:rsid w:val="00E22A4A"/>
    <w:rsid w:val="00E24FD0"/>
    <w:rsid w:val="00E32BAD"/>
    <w:rsid w:val="00E41D01"/>
    <w:rsid w:val="00EC58F3"/>
    <w:rsid w:val="00EF5662"/>
    <w:rsid w:val="00F168B9"/>
    <w:rsid w:val="00F24F3F"/>
    <w:rsid w:val="00F32231"/>
    <w:rsid w:val="00F33D15"/>
    <w:rsid w:val="00F44092"/>
    <w:rsid w:val="00F536E0"/>
    <w:rsid w:val="00F53E89"/>
    <w:rsid w:val="00F55F9D"/>
    <w:rsid w:val="00F63910"/>
    <w:rsid w:val="00F73ECE"/>
    <w:rsid w:val="00FB6951"/>
    <w:rsid w:val="00FC77F6"/>
    <w:rsid w:val="00F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FD867-893C-4632-9F1D-0FD3610A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930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91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B3930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B3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930"/>
    <w:rPr>
      <w:rFonts w:ascii="Calibri" w:eastAsia="Calibri" w:hAnsi="Calibri" w:cs="Calibri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93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30"/>
    <w:rPr>
      <w:rFonts w:ascii="Segoe UI" w:eastAsia="Calibri" w:hAnsi="Segoe UI" w:cs="Segoe UI"/>
      <w:color w:val="000000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BF9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BF9"/>
    <w:rPr>
      <w:rFonts w:ascii="Calibri" w:eastAsia="Calibri" w:hAnsi="Calibri" w:cs="Calibri"/>
      <w:color w:val="000000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E7BF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0DF"/>
    <w:rPr>
      <w:rFonts w:ascii="Calibri" w:eastAsia="Calibri" w:hAnsi="Calibri" w:cs="Calibri"/>
      <w:b/>
      <w:bCs/>
      <w:color w:val="00000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A351D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D19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6171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61711"/>
    <w:rPr>
      <w:rFonts w:ascii="Calibri" w:eastAsia="Calibri" w:hAnsi="Calibri" w:cs="Calibri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76171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61711"/>
    <w:rPr>
      <w:rFonts w:ascii="Calibri" w:eastAsia="Calibri" w:hAnsi="Calibri" w:cs="Calibri"/>
      <w:color w:val="000000"/>
      <w:sz w:val="24"/>
      <w:szCs w:val="24"/>
      <w:lang w:val="en-GB"/>
    </w:rPr>
  </w:style>
  <w:style w:type="paragraph" w:customStyle="1" w:styleId="Title1">
    <w:name w:val="Title 1"/>
    <w:basedOn w:val="Normal1"/>
    <w:rsid w:val="001C0870"/>
    <w:pPr>
      <w:spacing w:before="240"/>
      <w:jc w:val="center"/>
    </w:pPr>
    <w:rPr>
      <w:rFonts w:asciiTheme="minorHAnsi" w:hAnsiTheme="minorHAnsi" w:cs="Times New Roman"/>
      <w:sz w:val="28"/>
      <w:szCs w:val="28"/>
    </w:rPr>
  </w:style>
  <w:style w:type="character" w:styleId="Hyperlink">
    <w:name w:val="Hyperlink"/>
    <w:basedOn w:val="DefaultParagraphFont"/>
    <w:unhideWhenUsed/>
    <w:rsid w:val="001C08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870"/>
    <w:rPr>
      <w:color w:val="954F72" w:themeColor="followedHyperlink"/>
      <w:u w:val="single"/>
    </w:rPr>
  </w:style>
  <w:style w:type="paragraph" w:customStyle="1" w:styleId="Source">
    <w:name w:val="Source"/>
    <w:basedOn w:val="Normal"/>
    <w:next w:val="Normal"/>
    <w:rsid w:val="008D580D"/>
    <w:pPr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eastAsia="Times New Roman" w:cs="Times New Roman"/>
      <w:b/>
      <w:color w:val="auto"/>
      <w:sz w:val="28"/>
      <w:szCs w:val="20"/>
      <w:lang w:val="fr-FR"/>
    </w:rPr>
  </w:style>
  <w:style w:type="paragraph" w:customStyle="1" w:styleId="Headingb">
    <w:name w:val="Heading_b"/>
    <w:basedOn w:val="Normal"/>
    <w:next w:val="Normal"/>
    <w:rsid w:val="003F1DAA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 w:cs="Times New Roman"/>
      <w:b/>
      <w:color w:val="auto"/>
      <w:szCs w:val="20"/>
      <w:lang w:val="fr-FR"/>
    </w:rPr>
  </w:style>
  <w:style w:type="paragraph" w:customStyle="1" w:styleId="Reasons">
    <w:name w:val="Reasons"/>
    <w:basedOn w:val="Normal"/>
    <w:qFormat/>
    <w:rsid w:val="003F1DA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  <w:rPr>
      <w:rFonts w:ascii="Times New Roman" w:eastAsia="Times New Roman" w:hAnsi="Times New Roman" w:cs="Times New Roman"/>
      <w:color w:val="auto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7B03-C631-41F9-9FC5-B20A6D7A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Ricardo Sáez Grau</cp:lastModifiedBy>
  <cp:revision>9</cp:revision>
  <cp:lastPrinted>2017-08-08T09:35:00Z</cp:lastPrinted>
  <dcterms:created xsi:type="dcterms:W3CDTF">2017-08-10T07:38:00Z</dcterms:created>
  <dcterms:modified xsi:type="dcterms:W3CDTF">2017-08-10T07:47:00Z</dcterms:modified>
</cp:coreProperties>
</file>