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
      <w:tblGrid>
        <w:gridCol w:w="6911"/>
        <w:gridCol w:w="3120"/>
        <w:gridCol w:w="34"/>
      </w:tblGrid>
      <w:tr w:rsidR="00700D1F" w:rsidTr="00E83199">
        <w:trPr>
          <w:gridAfter w:val="1"/>
          <w:wAfter w:w="34" w:type="dxa"/>
          <w:cantSplit/>
        </w:trPr>
        <w:tc>
          <w:tcPr>
            <w:tcW w:w="6911" w:type="dxa"/>
          </w:tcPr>
          <w:p w:rsidR="00700D1F" w:rsidRPr="00C27E00" w:rsidRDefault="008F2D3A" w:rsidP="0031277E">
            <w:pPr>
              <w:spacing w:before="360" w:after="48"/>
              <w:rPr>
                <w:position w:val="6"/>
                <w:sz w:val="30"/>
                <w:szCs w:val="30"/>
                <w:lang w:eastAsia="zh-CN"/>
              </w:rPr>
            </w:pPr>
            <w:r w:rsidRPr="00C27E00">
              <w:rPr>
                <w:b/>
                <w:bCs/>
                <w:sz w:val="30"/>
                <w:szCs w:val="30"/>
                <w:lang w:val="en-US" w:eastAsia="zh-CN"/>
              </w:rPr>
              <w:t>《国际电信规则》专家组（</w:t>
            </w:r>
            <w:r w:rsidRPr="00C27E00">
              <w:rPr>
                <w:b/>
                <w:bCs/>
                <w:sz w:val="30"/>
                <w:szCs w:val="30"/>
                <w:lang w:val="en-US" w:eastAsia="zh-CN"/>
              </w:rPr>
              <w:t>EG</w:t>
            </w:r>
            <w:r w:rsidRPr="00C27E00">
              <w:rPr>
                <w:b/>
                <w:bCs/>
                <w:sz w:val="30"/>
                <w:szCs w:val="30"/>
                <w:lang w:val="en-US" w:eastAsia="zh-CN"/>
              </w:rPr>
              <w:noBreakHyphen/>
              <w:t>ITR</w:t>
            </w:r>
            <w:r w:rsidR="00402C3A" w:rsidRPr="00C27E00">
              <w:rPr>
                <w:b/>
                <w:bCs/>
                <w:sz w:val="30"/>
                <w:szCs w:val="30"/>
                <w:lang w:val="en-US" w:eastAsia="zh-CN"/>
              </w:rPr>
              <w:t>s</w:t>
            </w:r>
            <w:r w:rsidRPr="00C27E00">
              <w:rPr>
                <w:b/>
                <w:bCs/>
                <w:sz w:val="30"/>
                <w:szCs w:val="30"/>
                <w:lang w:val="en-US" w:eastAsia="zh-CN"/>
              </w:rPr>
              <w:t>）</w:t>
            </w:r>
          </w:p>
        </w:tc>
        <w:tc>
          <w:tcPr>
            <w:tcW w:w="3120" w:type="dxa"/>
          </w:tcPr>
          <w:p w:rsidR="00700D1F" w:rsidRDefault="00AB42C1" w:rsidP="0031277E">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rsidTr="00E83199">
        <w:trPr>
          <w:gridAfter w:val="1"/>
          <w:wAfter w:w="34" w:type="dxa"/>
          <w:cantSplit/>
        </w:trPr>
        <w:tc>
          <w:tcPr>
            <w:tcW w:w="6911" w:type="dxa"/>
            <w:tcBorders>
              <w:bottom w:val="single" w:sz="12" w:space="0" w:color="auto"/>
            </w:tcBorders>
          </w:tcPr>
          <w:p w:rsidR="00700D1F" w:rsidRPr="00617BE4" w:rsidRDefault="008F2D3A" w:rsidP="0031277E">
            <w:pPr>
              <w:spacing w:before="0" w:after="48"/>
              <w:rPr>
                <w:b/>
                <w:smallCaps/>
                <w:szCs w:val="24"/>
                <w:lang w:eastAsia="zh-CN"/>
              </w:rPr>
            </w:pPr>
            <w:r>
              <w:rPr>
                <w:rFonts w:hint="eastAsia"/>
                <w:b/>
                <w:smallCaps/>
                <w:szCs w:val="24"/>
                <w:lang w:eastAsia="zh-CN"/>
              </w:rPr>
              <w:t>第</w:t>
            </w:r>
            <w:r>
              <w:rPr>
                <w:b/>
                <w:smallCaps/>
                <w:szCs w:val="24"/>
                <w:lang w:eastAsia="zh-CN"/>
              </w:rPr>
              <w:t>一</w:t>
            </w:r>
            <w:r>
              <w:rPr>
                <w:rFonts w:hint="eastAsia"/>
                <w:b/>
                <w:smallCaps/>
                <w:szCs w:val="24"/>
                <w:lang w:eastAsia="zh-CN"/>
              </w:rPr>
              <w:t>次</w:t>
            </w:r>
            <w:r>
              <w:rPr>
                <w:b/>
                <w:smallCaps/>
                <w:szCs w:val="24"/>
                <w:lang w:eastAsia="zh-CN"/>
              </w:rPr>
              <w:t>会议</w:t>
            </w:r>
            <w:r>
              <w:rPr>
                <w:rFonts w:hint="eastAsia"/>
                <w:b/>
                <w:smallCaps/>
                <w:szCs w:val="24"/>
                <w:lang w:eastAsia="zh-CN"/>
              </w:rPr>
              <w:t xml:space="preserve"> </w:t>
            </w:r>
            <w:r w:rsidRPr="008F2D3A">
              <w:rPr>
                <w:b/>
                <w:smallCaps/>
                <w:szCs w:val="24"/>
                <w:lang w:eastAsia="zh-CN"/>
              </w:rPr>
              <w:t>–</w:t>
            </w:r>
            <w:r>
              <w:rPr>
                <w:b/>
                <w:smallCaps/>
                <w:szCs w:val="24"/>
                <w:lang w:eastAsia="zh-CN"/>
              </w:rPr>
              <w:t xml:space="preserve"> 2017</w:t>
            </w:r>
            <w:r>
              <w:rPr>
                <w:b/>
                <w:smallCaps/>
                <w:szCs w:val="24"/>
                <w:lang w:eastAsia="zh-CN"/>
              </w:rPr>
              <w:t>年</w:t>
            </w:r>
            <w:r>
              <w:rPr>
                <w:b/>
                <w:smallCaps/>
                <w:szCs w:val="24"/>
                <w:lang w:eastAsia="zh-CN"/>
              </w:rPr>
              <w:t>2</w:t>
            </w:r>
            <w:r>
              <w:rPr>
                <w:b/>
                <w:smallCaps/>
                <w:szCs w:val="24"/>
                <w:lang w:eastAsia="zh-CN"/>
              </w:rPr>
              <w:t>月</w:t>
            </w:r>
            <w:r>
              <w:rPr>
                <w:b/>
                <w:smallCaps/>
                <w:szCs w:val="24"/>
                <w:lang w:eastAsia="zh-CN"/>
              </w:rPr>
              <w:t>9-10</w:t>
            </w:r>
            <w:r>
              <w:rPr>
                <w:b/>
                <w:smallCaps/>
                <w:szCs w:val="24"/>
                <w:lang w:eastAsia="zh-CN"/>
              </w:rPr>
              <w:t>日，日内瓦</w:t>
            </w:r>
          </w:p>
        </w:tc>
        <w:tc>
          <w:tcPr>
            <w:tcW w:w="3120" w:type="dxa"/>
            <w:tcBorders>
              <w:bottom w:val="single" w:sz="12" w:space="0" w:color="auto"/>
            </w:tcBorders>
          </w:tcPr>
          <w:p w:rsidR="00700D1F" w:rsidRPr="00617BE4" w:rsidRDefault="00700D1F" w:rsidP="0031277E">
            <w:pPr>
              <w:spacing w:before="0"/>
              <w:rPr>
                <w:rFonts w:ascii="Verdana" w:hAnsi="Verdana"/>
                <w:szCs w:val="24"/>
                <w:lang w:eastAsia="zh-CN"/>
              </w:rPr>
            </w:pPr>
          </w:p>
        </w:tc>
      </w:tr>
      <w:tr w:rsidR="00700D1F" w:rsidRPr="00617BE4" w:rsidTr="00E83199">
        <w:trPr>
          <w:gridAfter w:val="1"/>
          <w:wAfter w:w="34" w:type="dxa"/>
          <w:cantSplit/>
        </w:trPr>
        <w:tc>
          <w:tcPr>
            <w:tcW w:w="6911" w:type="dxa"/>
            <w:tcBorders>
              <w:top w:val="single" w:sz="12" w:space="0" w:color="auto"/>
            </w:tcBorders>
          </w:tcPr>
          <w:p w:rsidR="00700D1F" w:rsidRPr="00617BE4" w:rsidRDefault="00700D1F" w:rsidP="0031277E">
            <w:pPr>
              <w:spacing w:before="0" w:after="48"/>
              <w:rPr>
                <w:b/>
                <w:smallCaps/>
                <w:szCs w:val="24"/>
                <w:lang w:eastAsia="zh-CN"/>
              </w:rPr>
            </w:pPr>
          </w:p>
        </w:tc>
        <w:tc>
          <w:tcPr>
            <w:tcW w:w="3120" w:type="dxa"/>
            <w:tcBorders>
              <w:top w:val="single" w:sz="12" w:space="0" w:color="auto"/>
            </w:tcBorders>
          </w:tcPr>
          <w:p w:rsidR="00700D1F" w:rsidRPr="00617BE4" w:rsidRDefault="00700D1F" w:rsidP="0031277E">
            <w:pPr>
              <w:spacing w:before="0"/>
              <w:rPr>
                <w:rFonts w:ascii="Verdana" w:hAnsi="Verdana"/>
                <w:szCs w:val="24"/>
                <w:lang w:eastAsia="zh-CN"/>
              </w:rPr>
            </w:pPr>
          </w:p>
        </w:tc>
      </w:tr>
      <w:tr w:rsidR="00700D1F" w:rsidTr="00E83199">
        <w:trPr>
          <w:gridAfter w:val="1"/>
          <w:wAfter w:w="34" w:type="dxa"/>
          <w:cantSplit/>
          <w:trHeight w:val="23"/>
        </w:trPr>
        <w:tc>
          <w:tcPr>
            <w:tcW w:w="6911" w:type="dxa"/>
            <w:vMerge w:val="restart"/>
          </w:tcPr>
          <w:p w:rsidR="00700D1F" w:rsidRPr="00FC5386" w:rsidRDefault="00700D1F" w:rsidP="0031277E">
            <w:pPr>
              <w:tabs>
                <w:tab w:val="left" w:pos="851"/>
              </w:tabs>
              <w:rPr>
                <w:b/>
                <w:szCs w:val="24"/>
                <w:lang w:eastAsia="zh-CN"/>
              </w:rPr>
            </w:pPr>
            <w:bookmarkStart w:id="1" w:name="dmeeting" w:colFirst="0" w:colLast="0"/>
          </w:p>
        </w:tc>
        <w:tc>
          <w:tcPr>
            <w:tcW w:w="3120" w:type="dxa"/>
          </w:tcPr>
          <w:p w:rsidR="00700D1F" w:rsidRPr="00700D1F" w:rsidRDefault="00700D1F" w:rsidP="0058664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8F2D3A">
              <w:rPr>
                <w:rFonts w:eastAsia="Calibri" w:cs="Calibri"/>
                <w:b/>
                <w:color w:val="000000"/>
                <w:szCs w:val="24"/>
                <w:lang w:val="de-CH"/>
              </w:rPr>
              <w:t>E</w:t>
            </w:r>
            <w:r w:rsidR="008F2D3A" w:rsidRPr="005476DB">
              <w:rPr>
                <w:rFonts w:eastAsia="Calibri" w:cs="Calibri"/>
                <w:b/>
                <w:color w:val="000000"/>
                <w:szCs w:val="24"/>
                <w:lang w:val="de-CH"/>
              </w:rPr>
              <w:t>G-I</w:t>
            </w:r>
            <w:r w:rsidR="008F2D3A">
              <w:rPr>
                <w:rFonts w:eastAsia="Calibri" w:cs="Calibri"/>
                <w:b/>
                <w:color w:val="000000"/>
                <w:szCs w:val="24"/>
                <w:lang w:val="de-CH"/>
              </w:rPr>
              <w:t>TRs</w:t>
            </w:r>
            <w:r w:rsidR="008F2D3A" w:rsidRPr="005476DB">
              <w:rPr>
                <w:rFonts w:eastAsia="Calibri" w:cs="Calibri"/>
                <w:b/>
                <w:color w:val="000000"/>
                <w:szCs w:val="24"/>
                <w:lang w:val="de-CH"/>
              </w:rPr>
              <w:t xml:space="preserve"> </w:t>
            </w:r>
            <w:r w:rsidR="008F2D3A">
              <w:rPr>
                <w:rFonts w:eastAsia="Calibri" w:cs="Calibri"/>
                <w:b/>
                <w:color w:val="000000"/>
                <w:szCs w:val="24"/>
                <w:lang w:val="de-CH"/>
              </w:rPr>
              <w:t>1</w:t>
            </w:r>
            <w:r w:rsidR="008F2D3A" w:rsidRPr="005476DB">
              <w:rPr>
                <w:rFonts w:eastAsia="Calibri" w:cs="Calibri"/>
                <w:b/>
                <w:color w:val="000000"/>
                <w:szCs w:val="24"/>
                <w:lang w:val="de-CH"/>
              </w:rPr>
              <w:t>/</w:t>
            </w:r>
            <w:r w:rsidR="00586647">
              <w:rPr>
                <w:rFonts w:eastAsia="Calibri" w:cs="Calibri"/>
                <w:b/>
                <w:color w:val="000000"/>
                <w:szCs w:val="24"/>
                <w:lang w:val="de-CH"/>
              </w:rPr>
              <w:t>11(Rev.1)</w:t>
            </w:r>
            <w:r w:rsidR="008F2D3A">
              <w:rPr>
                <w:rFonts w:eastAsia="Calibri" w:cs="Calibri"/>
                <w:b/>
                <w:color w:val="000000"/>
                <w:szCs w:val="24"/>
                <w:lang w:val="de-CH"/>
              </w:rPr>
              <w:t>-C</w:t>
            </w:r>
          </w:p>
        </w:tc>
      </w:tr>
      <w:bookmarkEnd w:id="1"/>
      <w:tr w:rsidR="00700D1F" w:rsidTr="00E83199">
        <w:trPr>
          <w:gridAfter w:val="1"/>
          <w:wAfter w:w="34" w:type="dxa"/>
          <w:cantSplit/>
          <w:trHeight w:val="23"/>
        </w:trPr>
        <w:tc>
          <w:tcPr>
            <w:tcW w:w="6911" w:type="dxa"/>
            <w:vMerge/>
          </w:tcPr>
          <w:p w:rsidR="00700D1F" w:rsidRDefault="00700D1F" w:rsidP="0031277E">
            <w:pPr>
              <w:tabs>
                <w:tab w:val="left" w:pos="851"/>
              </w:tabs>
              <w:rPr>
                <w:b/>
                <w:lang w:eastAsia="zh-CN"/>
              </w:rPr>
            </w:pPr>
          </w:p>
        </w:tc>
        <w:tc>
          <w:tcPr>
            <w:tcW w:w="3120" w:type="dxa"/>
          </w:tcPr>
          <w:p w:rsidR="00700D1F" w:rsidRPr="00FC5386" w:rsidRDefault="00700D1F" w:rsidP="00586647">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7E19F0">
              <w:rPr>
                <w:b/>
                <w:bCs/>
                <w:szCs w:val="24"/>
                <w:lang w:eastAsia="zh-CN"/>
              </w:rPr>
              <w:t>7</w:t>
            </w:r>
            <w:r w:rsidRPr="00FC5386">
              <w:rPr>
                <w:rFonts w:hint="eastAsia"/>
                <w:b/>
                <w:bCs/>
                <w:szCs w:val="24"/>
                <w:lang w:eastAsia="zh-CN"/>
              </w:rPr>
              <w:t>年</w:t>
            </w:r>
            <w:r w:rsidR="008F2D3A">
              <w:rPr>
                <w:rFonts w:asciiTheme="minorHAnsi" w:hAnsiTheme="minorHAnsi" w:cstheme="minorHAnsi"/>
                <w:b/>
                <w:bCs/>
                <w:szCs w:val="24"/>
                <w:lang w:eastAsia="zh-CN"/>
              </w:rPr>
              <w:t>1</w:t>
            </w:r>
            <w:r w:rsidRPr="00FC5386">
              <w:rPr>
                <w:rFonts w:hint="eastAsia"/>
                <w:b/>
                <w:bCs/>
                <w:szCs w:val="24"/>
                <w:lang w:eastAsia="zh-CN"/>
              </w:rPr>
              <w:t>月</w:t>
            </w:r>
            <w:r w:rsidR="007E19F0">
              <w:rPr>
                <w:rFonts w:asciiTheme="minorHAnsi" w:hAnsiTheme="minorHAnsi" w:cstheme="minorHAnsi"/>
                <w:b/>
                <w:bCs/>
                <w:szCs w:val="24"/>
                <w:lang w:eastAsia="zh-CN"/>
              </w:rPr>
              <w:t>2</w:t>
            </w:r>
            <w:r w:rsidR="00586647">
              <w:rPr>
                <w:b/>
                <w:bCs/>
                <w:szCs w:val="24"/>
                <w:lang w:eastAsia="zh-CN"/>
              </w:rPr>
              <w:t>6</w:t>
            </w:r>
            <w:r w:rsidRPr="00FC5386">
              <w:rPr>
                <w:rFonts w:hint="eastAsia"/>
                <w:b/>
                <w:bCs/>
                <w:szCs w:val="24"/>
                <w:lang w:eastAsia="zh-CN"/>
              </w:rPr>
              <w:t>日</w:t>
            </w:r>
          </w:p>
        </w:tc>
      </w:tr>
      <w:tr w:rsidR="00700D1F" w:rsidTr="00E83199">
        <w:trPr>
          <w:gridAfter w:val="1"/>
          <w:wAfter w:w="34" w:type="dxa"/>
          <w:cantSplit/>
          <w:trHeight w:val="23"/>
        </w:trPr>
        <w:tc>
          <w:tcPr>
            <w:tcW w:w="6911" w:type="dxa"/>
            <w:vMerge/>
          </w:tcPr>
          <w:p w:rsidR="00700D1F" w:rsidRDefault="00700D1F" w:rsidP="0031277E">
            <w:pPr>
              <w:tabs>
                <w:tab w:val="left" w:pos="851"/>
              </w:tabs>
              <w:rPr>
                <w:b/>
                <w:lang w:eastAsia="zh-CN"/>
              </w:rPr>
            </w:pPr>
          </w:p>
        </w:tc>
        <w:tc>
          <w:tcPr>
            <w:tcW w:w="3120" w:type="dxa"/>
          </w:tcPr>
          <w:p w:rsidR="00700D1F" w:rsidRPr="00FC5386" w:rsidRDefault="00700D1F" w:rsidP="00586647">
            <w:pPr>
              <w:tabs>
                <w:tab w:val="left" w:pos="993"/>
              </w:tabs>
              <w:spacing w:before="0"/>
              <w:rPr>
                <w:rFonts w:ascii="SimSun" w:hAnsi="SimSun"/>
                <w:b/>
                <w:bCs/>
                <w:szCs w:val="24"/>
                <w:lang w:eastAsia="zh-CN"/>
              </w:rPr>
            </w:pPr>
            <w:r w:rsidRPr="00FC5386">
              <w:rPr>
                <w:rFonts w:hint="eastAsia"/>
                <w:b/>
                <w:bCs/>
                <w:szCs w:val="24"/>
                <w:lang w:eastAsia="zh-CN"/>
              </w:rPr>
              <w:t>原文：</w:t>
            </w:r>
            <w:r w:rsidR="00586647">
              <w:rPr>
                <w:rFonts w:hint="eastAsia"/>
                <w:b/>
                <w:bCs/>
                <w:szCs w:val="24"/>
                <w:lang w:eastAsia="zh-CN"/>
              </w:rPr>
              <w:t>西班牙</w:t>
            </w:r>
            <w:r w:rsidR="00E83199">
              <w:rPr>
                <w:rFonts w:hint="eastAsia"/>
                <w:b/>
                <w:bCs/>
                <w:szCs w:val="24"/>
                <w:lang w:eastAsia="zh-CN"/>
              </w:rPr>
              <w:t>文</w:t>
            </w:r>
          </w:p>
        </w:tc>
      </w:tr>
      <w:tr w:rsidR="00E83199" w:rsidRPr="00813E5E" w:rsidTr="00E83199">
        <w:trPr>
          <w:cantSplit/>
        </w:trPr>
        <w:tc>
          <w:tcPr>
            <w:tcW w:w="10065" w:type="dxa"/>
            <w:gridSpan w:val="3"/>
          </w:tcPr>
          <w:p w:rsidR="00E83199" w:rsidRPr="00813E5E" w:rsidRDefault="006F3F81" w:rsidP="002E6532">
            <w:pPr>
              <w:pStyle w:val="Source"/>
              <w:rPr>
                <w:lang w:eastAsia="zh-CN"/>
              </w:rPr>
            </w:pPr>
            <w:r w:rsidRPr="009B327D">
              <w:rPr>
                <w:rFonts w:asciiTheme="minorEastAsia" w:eastAsiaTheme="minorEastAsia" w:hAnsiTheme="minorEastAsia" w:hint="eastAsia"/>
                <w:szCs w:val="24"/>
                <w:lang w:eastAsia="zh-CN"/>
              </w:rPr>
              <w:t>墨西哥</w:t>
            </w:r>
          </w:p>
        </w:tc>
      </w:tr>
      <w:tr w:rsidR="00E83199" w:rsidRPr="00813E5E" w:rsidTr="00E83199">
        <w:trPr>
          <w:cantSplit/>
        </w:trPr>
        <w:tc>
          <w:tcPr>
            <w:tcW w:w="10065" w:type="dxa"/>
            <w:gridSpan w:val="3"/>
          </w:tcPr>
          <w:p w:rsidR="00E83199" w:rsidRPr="00813E5E" w:rsidRDefault="00E83199" w:rsidP="0031277E">
            <w:pPr>
              <w:pStyle w:val="Title1"/>
              <w:rPr>
                <w:lang w:eastAsia="zh-CN"/>
              </w:rPr>
            </w:pPr>
            <w:r w:rsidRPr="00EC21E1">
              <w:rPr>
                <w:rFonts w:asciiTheme="minorHAnsi" w:hAnsiTheme="minorHAnsi" w:hint="eastAsia"/>
                <w:b/>
                <w:bCs/>
                <w:szCs w:val="28"/>
                <w:lang w:eastAsia="zh-CN"/>
              </w:rPr>
              <w:t>《国际电信规则》专家组</w:t>
            </w:r>
            <w:r>
              <w:rPr>
                <w:rFonts w:asciiTheme="minorHAnsi" w:hAnsiTheme="minorHAnsi" w:hint="eastAsia"/>
                <w:b/>
                <w:bCs/>
                <w:szCs w:val="28"/>
                <w:lang w:eastAsia="zh-CN"/>
              </w:rPr>
              <w:t>（</w:t>
            </w:r>
            <w:r>
              <w:rPr>
                <w:rFonts w:asciiTheme="minorHAnsi" w:hAnsiTheme="minorHAnsi"/>
                <w:b/>
                <w:bCs/>
                <w:szCs w:val="28"/>
                <w:lang w:eastAsia="zh-CN"/>
              </w:rPr>
              <w:t>EG-ITRs</w:t>
            </w:r>
            <w:r>
              <w:rPr>
                <w:rFonts w:asciiTheme="minorHAnsi" w:hAnsiTheme="minorHAnsi" w:hint="eastAsia"/>
                <w:b/>
                <w:bCs/>
                <w:szCs w:val="28"/>
                <w:lang w:eastAsia="zh-CN"/>
              </w:rPr>
              <w:t>）</w:t>
            </w:r>
            <w:r w:rsidR="006F3F81" w:rsidRPr="006F3F81">
              <w:rPr>
                <w:rFonts w:asciiTheme="minorEastAsia" w:eastAsiaTheme="minorEastAsia" w:hAnsiTheme="minorEastAsia" w:hint="eastAsia"/>
                <w:b/>
                <w:szCs w:val="24"/>
                <w:lang w:eastAsia="zh-CN"/>
              </w:rPr>
              <w:t>职责范围</w:t>
            </w:r>
            <w:r w:rsidR="006F3F81" w:rsidRPr="006F3F81">
              <w:rPr>
                <w:rFonts w:asciiTheme="minorEastAsia" w:eastAsiaTheme="minorEastAsia" w:hAnsiTheme="minorEastAsia"/>
                <w:b/>
                <w:szCs w:val="24"/>
                <w:lang w:eastAsia="zh-CN"/>
              </w:rPr>
              <w:t>的影响</w:t>
            </w:r>
          </w:p>
        </w:tc>
      </w:tr>
    </w:tbl>
    <w:p w:rsidR="00013961" w:rsidRDefault="00013961" w:rsidP="0031277E">
      <w:pPr>
        <w:rPr>
          <w:rFonts w:asciiTheme="minorHAnsi" w:hAnsiTheme="minorHAnsi"/>
          <w:b/>
          <w:bCs/>
          <w:szCs w:val="24"/>
          <w:lang w:eastAsia="zh-CN"/>
        </w:rPr>
      </w:pPr>
    </w:p>
    <w:p w:rsidR="00013961" w:rsidRDefault="006F3F81" w:rsidP="0031277E">
      <w:pPr>
        <w:pStyle w:val="Headingb"/>
        <w:rPr>
          <w:lang w:eastAsia="zh-CN"/>
        </w:rPr>
      </w:pPr>
      <w:r w:rsidRPr="009B327D">
        <w:rPr>
          <w:rFonts w:asciiTheme="minorEastAsia" w:eastAsiaTheme="minorEastAsia" w:hAnsiTheme="minorEastAsia" w:hint="eastAsia"/>
          <w:szCs w:val="24"/>
          <w:lang w:eastAsia="zh-CN"/>
        </w:rPr>
        <w:t>引言</w:t>
      </w:r>
    </w:p>
    <w:p w:rsidR="006F3F81" w:rsidRPr="000D68D9" w:rsidRDefault="006F3F81" w:rsidP="000D68D9">
      <w:pPr>
        <w:ind w:firstLineChars="200" w:firstLine="480"/>
        <w:rPr>
          <w:rFonts w:asciiTheme="minorHAnsi" w:eastAsiaTheme="minorEastAsia" w:hAnsiTheme="minorHAnsi"/>
          <w:bCs/>
          <w:szCs w:val="24"/>
          <w:lang w:eastAsia="zh-CN"/>
        </w:rPr>
      </w:pPr>
      <w:r w:rsidRPr="000D68D9">
        <w:rPr>
          <w:rFonts w:asciiTheme="minorHAnsi" w:eastAsiaTheme="minorEastAsia" w:hAnsiTheme="minorHAnsi"/>
          <w:bCs/>
          <w:szCs w:val="24"/>
          <w:lang w:eastAsia="zh-CN"/>
        </w:rPr>
        <w:t>随着国际电联理事会</w:t>
      </w:r>
      <w:r w:rsidRPr="000D68D9">
        <w:rPr>
          <w:rFonts w:asciiTheme="minorHAnsi" w:eastAsiaTheme="minorEastAsia" w:hAnsiTheme="minorHAnsi"/>
          <w:bCs/>
          <w:szCs w:val="24"/>
          <w:lang w:eastAsia="zh-CN"/>
        </w:rPr>
        <w:t>2016</w:t>
      </w:r>
      <w:r w:rsidRPr="000D68D9">
        <w:rPr>
          <w:rFonts w:asciiTheme="minorHAnsi" w:eastAsiaTheme="minorEastAsia" w:hAnsiTheme="minorHAnsi"/>
          <w:bCs/>
          <w:szCs w:val="24"/>
          <w:lang w:eastAsia="zh-CN"/>
        </w:rPr>
        <w:t>年会议通过第</w:t>
      </w:r>
      <w:r w:rsidRPr="000D68D9">
        <w:rPr>
          <w:rFonts w:asciiTheme="minorHAnsi" w:eastAsiaTheme="minorEastAsia" w:hAnsiTheme="minorHAnsi"/>
          <w:bCs/>
          <w:szCs w:val="24"/>
          <w:lang w:eastAsia="zh-CN"/>
        </w:rPr>
        <w:t>1379</w:t>
      </w:r>
      <w:r w:rsidRPr="000D68D9">
        <w:rPr>
          <w:rFonts w:asciiTheme="minorHAnsi" w:eastAsiaTheme="minorEastAsia" w:hAnsiTheme="minorHAnsi"/>
          <w:bCs/>
          <w:szCs w:val="24"/>
          <w:lang w:eastAsia="zh-CN"/>
        </w:rPr>
        <w:t>号决议，《国际电信规则》专家组及其职责范围应运而生。</w:t>
      </w:r>
    </w:p>
    <w:p w:rsidR="006F3F81" w:rsidRPr="000D68D9" w:rsidRDefault="006F3F81" w:rsidP="000D68D9">
      <w:pPr>
        <w:ind w:firstLineChars="200" w:firstLine="480"/>
        <w:rPr>
          <w:rFonts w:asciiTheme="minorHAnsi" w:eastAsiaTheme="minorEastAsia" w:hAnsiTheme="minorHAnsi"/>
          <w:bCs/>
          <w:szCs w:val="24"/>
          <w:lang w:eastAsia="zh-CN"/>
        </w:rPr>
      </w:pPr>
      <w:r w:rsidRPr="000D68D9">
        <w:rPr>
          <w:rFonts w:asciiTheme="minorHAnsi" w:eastAsiaTheme="minorEastAsia" w:hAnsiTheme="minorHAnsi"/>
          <w:bCs/>
          <w:szCs w:val="24"/>
          <w:lang w:eastAsia="zh-CN"/>
        </w:rPr>
        <w:t>墨西哥主管部门深信，所有专家组与会者对上述职责范围具有同样的理解至关重要，因为，这将务必有助于为取得脚踏实地的成果而做出的努力和分析。</w:t>
      </w:r>
    </w:p>
    <w:p w:rsidR="006F3F81" w:rsidRPr="000D68D9" w:rsidRDefault="006F3F81" w:rsidP="000D68D9">
      <w:pPr>
        <w:ind w:firstLineChars="200" w:firstLine="480"/>
        <w:rPr>
          <w:rFonts w:asciiTheme="minorHAnsi" w:eastAsiaTheme="minorEastAsia" w:hAnsiTheme="minorHAnsi"/>
          <w:bCs/>
          <w:szCs w:val="24"/>
          <w:lang w:eastAsia="zh-CN"/>
        </w:rPr>
      </w:pPr>
      <w:r w:rsidRPr="000D68D9">
        <w:rPr>
          <w:rFonts w:asciiTheme="minorHAnsi" w:eastAsiaTheme="minorEastAsia" w:hAnsiTheme="minorHAnsi"/>
          <w:bCs/>
          <w:szCs w:val="24"/>
          <w:lang w:eastAsia="zh-CN"/>
        </w:rPr>
        <w:t>为此，墨西哥主管部门特别为即将召开的会议提出如下考量。</w:t>
      </w:r>
    </w:p>
    <w:p w:rsidR="006F3F81" w:rsidRPr="000D68D9" w:rsidRDefault="006F3F81" w:rsidP="000D68D9">
      <w:pPr>
        <w:pStyle w:val="Headingb"/>
        <w:rPr>
          <w:rFonts w:asciiTheme="minorHAnsi" w:eastAsiaTheme="minorEastAsia" w:hAnsiTheme="minorHAnsi"/>
          <w:b w:val="0"/>
          <w:szCs w:val="24"/>
          <w:lang w:eastAsia="zh-CN"/>
        </w:rPr>
      </w:pPr>
      <w:r w:rsidRPr="000D68D9">
        <w:rPr>
          <w:rFonts w:asciiTheme="minorHAnsi" w:eastAsiaTheme="minorEastAsia" w:hAnsiTheme="minorHAnsi"/>
          <w:szCs w:val="24"/>
          <w:lang w:eastAsia="zh-CN"/>
        </w:rPr>
        <w:t>提交</w:t>
      </w:r>
      <w:r w:rsidRPr="000D68D9">
        <w:rPr>
          <w:rFonts w:asciiTheme="minorHAnsi" w:eastAsiaTheme="minorEastAsia" w:hAnsiTheme="minorHAnsi"/>
          <w:szCs w:val="24"/>
          <w:lang w:eastAsia="zh-CN"/>
        </w:rPr>
        <w:t>2012</w:t>
      </w:r>
      <w:r w:rsidRPr="000D68D9">
        <w:rPr>
          <w:rFonts w:asciiTheme="minorHAnsi" w:eastAsiaTheme="minorEastAsia" w:hAnsiTheme="minorHAnsi"/>
          <w:szCs w:val="24"/>
          <w:lang w:eastAsia="zh-CN"/>
        </w:rPr>
        <w:t>年</w:t>
      </w:r>
      <w:r w:rsidRPr="000D68D9">
        <w:rPr>
          <w:rFonts w:asciiTheme="minorHAnsi" w:eastAsiaTheme="minorEastAsia" w:hAnsiTheme="minorHAnsi"/>
          <w:szCs w:val="24"/>
          <w:lang w:eastAsia="zh-CN"/>
        </w:rPr>
        <w:t>ITR</w:t>
      </w:r>
      <w:r w:rsidRPr="000D68D9">
        <w:rPr>
          <w:rFonts w:asciiTheme="minorHAnsi" w:eastAsiaTheme="minorEastAsia" w:hAnsiTheme="minorHAnsi"/>
          <w:szCs w:val="24"/>
          <w:lang w:eastAsia="zh-CN"/>
        </w:rPr>
        <w:t>审查中将审议的的文稿和要素</w:t>
      </w:r>
    </w:p>
    <w:p w:rsidR="006F3F81" w:rsidRPr="000D68D9" w:rsidRDefault="006F3F81" w:rsidP="000D68D9">
      <w:pPr>
        <w:ind w:firstLineChars="200" w:firstLine="480"/>
        <w:rPr>
          <w:rFonts w:asciiTheme="minorHAnsi" w:eastAsiaTheme="minorEastAsia" w:hAnsiTheme="minorHAnsi"/>
          <w:bCs/>
          <w:szCs w:val="24"/>
          <w:lang w:eastAsia="zh-CN"/>
        </w:rPr>
      </w:pPr>
      <w:r w:rsidRPr="000D68D9">
        <w:rPr>
          <w:rFonts w:asciiTheme="minorHAnsi" w:eastAsiaTheme="minorEastAsia" w:hAnsiTheme="minorHAnsi"/>
          <w:bCs/>
          <w:szCs w:val="24"/>
          <w:lang w:eastAsia="zh-CN"/>
        </w:rPr>
        <w:t>对墨西哥而言，明确有资格直接向</w:t>
      </w:r>
      <w:r w:rsidRPr="000D68D9">
        <w:rPr>
          <w:rFonts w:asciiTheme="minorHAnsi" w:eastAsiaTheme="minorEastAsia" w:hAnsiTheme="minorHAnsi"/>
          <w:bCs/>
          <w:szCs w:val="24"/>
          <w:lang w:eastAsia="zh-CN"/>
        </w:rPr>
        <w:t>EG-ITRs</w:t>
      </w:r>
      <w:r w:rsidRPr="000D68D9">
        <w:rPr>
          <w:rFonts w:asciiTheme="minorHAnsi" w:eastAsiaTheme="minorEastAsia" w:hAnsiTheme="minorHAnsi"/>
          <w:bCs/>
          <w:szCs w:val="24"/>
          <w:lang w:eastAsia="zh-CN"/>
        </w:rPr>
        <w:t>提交文稿的各方（成员国、部门成员、各局主任）对于提高该组的效率和有效性至关重要，同时应考虑到该组履行职责所需要的时间。</w:t>
      </w:r>
    </w:p>
    <w:p w:rsidR="006F3F81" w:rsidRPr="000D68D9" w:rsidRDefault="006F3F81" w:rsidP="000D68D9">
      <w:pPr>
        <w:ind w:firstLineChars="200" w:firstLine="480"/>
        <w:rPr>
          <w:rFonts w:asciiTheme="minorHAnsi" w:eastAsiaTheme="minorEastAsia" w:hAnsiTheme="minorHAnsi"/>
          <w:bCs/>
          <w:szCs w:val="24"/>
          <w:lang w:eastAsia="zh-CN"/>
        </w:rPr>
      </w:pPr>
      <w:r w:rsidRPr="000D68D9">
        <w:rPr>
          <w:rFonts w:asciiTheme="minorHAnsi" w:eastAsiaTheme="minorEastAsia" w:hAnsiTheme="minorHAnsi"/>
          <w:bCs/>
          <w:szCs w:val="24"/>
          <w:lang w:eastAsia="zh-CN"/>
        </w:rPr>
        <w:t>职责范围内所述对</w:t>
      </w:r>
      <w:r w:rsidRPr="000D68D9">
        <w:rPr>
          <w:rFonts w:asciiTheme="minorHAnsi" w:eastAsiaTheme="minorEastAsia" w:hAnsiTheme="minorHAnsi"/>
          <w:bCs/>
          <w:szCs w:val="24"/>
          <w:lang w:eastAsia="zh-CN"/>
        </w:rPr>
        <w:t>2012</w:t>
      </w:r>
      <w:r w:rsidRPr="000D68D9">
        <w:rPr>
          <w:rFonts w:asciiTheme="minorHAnsi" w:eastAsiaTheme="minorEastAsia" w:hAnsiTheme="minorHAnsi"/>
          <w:bCs/>
          <w:szCs w:val="24"/>
          <w:lang w:eastAsia="zh-CN"/>
        </w:rPr>
        <w:t>年</w:t>
      </w:r>
      <w:r w:rsidRPr="000D68D9">
        <w:rPr>
          <w:rFonts w:asciiTheme="minorHAnsi" w:eastAsiaTheme="minorEastAsia" w:hAnsiTheme="minorHAnsi"/>
          <w:bCs/>
          <w:szCs w:val="24"/>
          <w:lang w:eastAsia="zh-CN"/>
        </w:rPr>
        <w:t>ITR</w:t>
      </w:r>
      <w:r w:rsidRPr="000D68D9">
        <w:rPr>
          <w:rFonts w:asciiTheme="minorHAnsi" w:eastAsiaTheme="minorEastAsia" w:hAnsiTheme="minorHAnsi"/>
          <w:bCs/>
          <w:szCs w:val="24"/>
          <w:lang w:eastAsia="zh-CN"/>
        </w:rPr>
        <w:t>的审查和总体分析应只侧重于</w:t>
      </w:r>
      <w:r w:rsidRPr="000D68D9">
        <w:rPr>
          <w:rFonts w:asciiTheme="minorHAnsi" w:eastAsiaTheme="minorEastAsia" w:hAnsiTheme="minorHAnsi"/>
          <w:bCs/>
          <w:szCs w:val="24"/>
          <w:lang w:eastAsia="zh-CN"/>
        </w:rPr>
        <w:t>2012</w:t>
      </w:r>
      <w:r w:rsidRPr="000D68D9">
        <w:rPr>
          <w:rFonts w:asciiTheme="minorHAnsi" w:eastAsiaTheme="minorEastAsia" w:hAnsiTheme="minorHAnsi"/>
          <w:bCs/>
          <w:szCs w:val="24"/>
          <w:lang w:eastAsia="zh-CN"/>
        </w:rPr>
        <w:t>年国际电信世界大会（</w:t>
      </w:r>
      <w:r w:rsidRPr="000D68D9">
        <w:rPr>
          <w:rFonts w:asciiTheme="minorHAnsi" w:eastAsiaTheme="minorEastAsia" w:hAnsiTheme="minorHAnsi"/>
          <w:bCs/>
          <w:szCs w:val="24"/>
          <w:lang w:eastAsia="zh-CN"/>
        </w:rPr>
        <w:t>WCIT-12</w:t>
      </w:r>
      <w:r w:rsidRPr="000D68D9">
        <w:rPr>
          <w:rFonts w:asciiTheme="minorHAnsi" w:eastAsiaTheme="minorEastAsia" w:hAnsiTheme="minorHAnsi"/>
          <w:bCs/>
          <w:szCs w:val="24"/>
          <w:lang w:eastAsia="zh-CN"/>
        </w:rPr>
        <w:t>）产生的文本，无需考虑那些签署或未签署大会最后文件的国家。对于</w:t>
      </w:r>
      <w:r w:rsidRPr="000D68D9">
        <w:rPr>
          <w:rFonts w:asciiTheme="minorHAnsi" w:eastAsiaTheme="minorEastAsia" w:hAnsiTheme="minorHAnsi"/>
          <w:bCs/>
          <w:szCs w:val="24"/>
          <w:lang w:eastAsia="zh-CN"/>
        </w:rPr>
        <w:t>WCIT-12</w:t>
      </w:r>
      <w:r w:rsidRPr="000D68D9">
        <w:rPr>
          <w:rFonts w:asciiTheme="minorHAnsi" w:eastAsiaTheme="minorEastAsia" w:hAnsiTheme="minorHAnsi"/>
          <w:bCs/>
          <w:szCs w:val="24"/>
          <w:lang w:eastAsia="zh-CN"/>
        </w:rPr>
        <w:t>文本的分析应基于目前的国际电信环境，包括新的趋势和问题，以便确定应用</w:t>
      </w:r>
      <w:r w:rsidRPr="000D68D9">
        <w:rPr>
          <w:rFonts w:asciiTheme="minorHAnsi" w:eastAsiaTheme="minorEastAsia" w:hAnsiTheme="minorHAnsi"/>
          <w:bCs/>
          <w:szCs w:val="24"/>
          <w:lang w:eastAsia="zh-CN"/>
        </w:rPr>
        <w:t>2012</w:t>
      </w:r>
      <w:r w:rsidRPr="000D68D9">
        <w:rPr>
          <w:rFonts w:asciiTheme="minorHAnsi" w:eastAsiaTheme="minorEastAsia" w:hAnsiTheme="minorHAnsi"/>
          <w:bCs/>
          <w:szCs w:val="24"/>
          <w:lang w:eastAsia="zh-CN"/>
        </w:rPr>
        <w:t>年</w:t>
      </w:r>
      <w:r w:rsidRPr="000D68D9">
        <w:rPr>
          <w:rFonts w:asciiTheme="minorHAnsi" w:eastAsiaTheme="minorEastAsia" w:hAnsiTheme="minorHAnsi"/>
          <w:bCs/>
          <w:szCs w:val="24"/>
          <w:lang w:eastAsia="zh-CN"/>
        </w:rPr>
        <w:t>ITR</w:t>
      </w:r>
      <w:r w:rsidRPr="000D68D9">
        <w:rPr>
          <w:rFonts w:asciiTheme="minorHAnsi" w:eastAsiaTheme="minorEastAsia" w:hAnsiTheme="minorHAnsi"/>
          <w:bCs/>
          <w:szCs w:val="24"/>
          <w:lang w:eastAsia="zh-CN"/>
        </w:rPr>
        <w:t>及其相关决议面临的障碍。</w:t>
      </w:r>
    </w:p>
    <w:p w:rsidR="006F3F81" w:rsidRPr="000D68D9" w:rsidRDefault="006F3F81" w:rsidP="000D68D9">
      <w:pPr>
        <w:pStyle w:val="Headingb"/>
        <w:rPr>
          <w:rFonts w:asciiTheme="minorHAnsi" w:eastAsiaTheme="minorEastAsia" w:hAnsiTheme="minorHAnsi"/>
          <w:bCs/>
          <w:szCs w:val="24"/>
          <w:lang w:eastAsia="zh-CN"/>
        </w:rPr>
      </w:pPr>
      <w:r w:rsidRPr="000D68D9">
        <w:rPr>
          <w:rFonts w:asciiTheme="minorHAnsi" w:eastAsiaTheme="minorEastAsia" w:hAnsiTheme="minorHAnsi"/>
          <w:szCs w:val="24"/>
          <w:lang w:eastAsia="zh-CN"/>
        </w:rPr>
        <w:t>目前环境的适用性和与其他国际条约的关系</w:t>
      </w:r>
      <w:r w:rsidRPr="000D68D9">
        <w:rPr>
          <w:rFonts w:asciiTheme="minorHAnsi" w:eastAsiaTheme="minorEastAsia" w:hAnsiTheme="minorHAnsi"/>
          <w:szCs w:val="24"/>
          <w:lang w:eastAsia="zh-CN"/>
        </w:rPr>
        <w:t xml:space="preserve"> </w:t>
      </w:r>
    </w:p>
    <w:p w:rsidR="006F3F81" w:rsidRPr="000D68D9" w:rsidRDefault="006F3F81" w:rsidP="000D68D9">
      <w:pPr>
        <w:ind w:firstLineChars="200" w:firstLine="480"/>
        <w:rPr>
          <w:rFonts w:asciiTheme="minorHAnsi" w:eastAsiaTheme="minorEastAsia" w:hAnsiTheme="minorHAnsi"/>
          <w:bCs/>
          <w:szCs w:val="24"/>
          <w:lang w:eastAsia="zh-CN"/>
        </w:rPr>
      </w:pPr>
      <w:r w:rsidRPr="000D68D9">
        <w:rPr>
          <w:rFonts w:asciiTheme="minorHAnsi" w:eastAsiaTheme="minorEastAsia" w:hAnsiTheme="minorHAnsi"/>
          <w:bCs/>
          <w:szCs w:val="24"/>
          <w:lang w:eastAsia="zh-CN"/>
        </w:rPr>
        <w:t>ITR</w:t>
      </w:r>
      <w:r w:rsidRPr="000D68D9">
        <w:rPr>
          <w:rFonts w:asciiTheme="minorHAnsi" w:eastAsiaTheme="minorEastAsia" w:hAnsiTheme="minorHAnsi"/>
          <w:bCs/>
          <w:szCs w:val="24"/>
          <w:lang w:eastAsia="zh-CN"/>
        </w:rPr>
        <w:t>的适用性应从履行其法律义务相对于其他约束性多边和</w:t>
      </w:r>
      <w:r w:rsidRPr="000D68D9">
        <w:rPr>
          <w:rFonts w:asciiTheme="minorHAnsi" w:eastAsiaTheme="minorEastAsia" w:hAnsiTheme="minorHAnsi"/>
          <w:bCs/>
          <w:szCs w:val="24"/>
          <w:lang w:eastAsia="zh-CN"/>
        </w:rPr>
        <w:t>/</w:t>
      </w:r>
      <w:r w:rsidRPr="000D68D9">
        <w:rPr>
          <w:rFonts w:asciiTheme="minorHAnsi" w:eastAsiaTheme="minorEastAsia" w:hAnsiTheme="minorHAnsi"/>
          <w:bCs/>
          <w:szCs w:val="24"/>
          <w:lang w:eastAsia="zh-CN"/>
        </w:rPr>
        <w:t>或国际条约获得的优势上予以考虑。简单地说，适用性指</w:t>
      </w:r>
      <w:r w:rsidRPr="000D68D9">
        <w:rPr>
          <w:rFonts w:asciiTheme="minorHAnsi" w:eastAsiaTheme="minorEastAsia" w:hAnsiTheme="minorHAnsi"/>
          <w:bCs/>
          <w:szCs w:val="24"/>
          <w:lang w:eastAsia="zh-CN"/>
        </w:rPr>
        <w:t>2012</w:t>
      </w:r>
      <w:r w:rsidRPr="000D68D9">
        <w:rPr>
          <w:rFonts w:asciiTheme="minorHAnsi" w:eastAsiaTheme="minorEastAsia" w:hAnsiTheme="minorHAnsi"/>
          <w:bCs/>
          <w:szCs w:val="24"/>
          <w:lang w:eastAsia="zh-CN"/>
        </w:rPr>
        <w:t>年</w:t>
      </w:r>
      <w:r w:rsidRPr="000D68D9">
        <w:rPr>
          <w:rFonts w:asciiTheme="minorHAnsi" w:eastAsiaTheme="minorEastAsia" w:hAnsiTheme="minorHAnsi"/>
          <w:bCs/>
          <w:szCs w:val="24"/>
          <w:lang w:eastAsia="zh-CN"/>
        </w:rPr>
        <w:t>ITR</w:t>
      </w:r>
      <w:r w:rsidRPr="000D68D9">
        <w:rPr>
          <w:rFonts w:asciiTheme="minorHAnsi" w:eastAsiaTheme="minorEastAsia" w:hAnsiTheme="minorHAnsi"/>
          <w:bCs/>
          <w:szCs w:val="24"/>
          <w:lang w:eastAsia="zh-CN"/>
        </w:rPr>
        <w:t>条款在实施中对国际条约和国家法律框架的约束程度</w:t>
      </w:r>
      <w:r w:rsidRPr="000D68D9">
        <w:rPr>
          <w:rFonts w:asciiTheme="minorHAnsi" w:eastAsiaTheme="minorEastAsia" w:hAnsiTheme="minorHAnsi"/>
          <w:bCs/>
          <w:szCs w:val="24"/>
          <w:lang w:eastAsia="zh-CN"/>
        </w:rPr>
        <w:t>/</w:t>
      </w:r>
      <w:r w:rsidRPr="000D68D9">
        <w:rPr>
          <w:rFonts w:asciiTheme="minorHAnsi" w:eastAsiaTheme="minorEastAsia" w:hAnsiTheme="minorHAnsi"/>
          <w:bCs/>
          <w:szCs w:val="24"/>
          <w:lang w:eastAsia="zh-CN"/>
        </w:rPr>
        <w:t>水平。</w:t>
      </w:r>
    </w:p>
    <w:p w:rsidR="006F3F81" w:rsidRPr="000D68D9" w:rsidRDefault="006F3F81" w:rsidP="000D68D9">
      <w:pPr>
        <w:pStyle w:val="Headingb"/>
        <w:rPr>
          <w:rFonts w:asciiTheme="minorHAnsi" w:eastAsiaTheme="minorEastAsia" w:hAnsiTheme="minorHAnsi"/>
          <w:bCs/>
          <w:szCs w:val="24"/>
          <w:lang w:eastAsia="zh-CN"/>
        </w:rPr>
      </w:pPr>
      <w:r w:rsidRPr="000D68D9">
        <w:rPr>
          <w:rFonts w:asciiTheme="minorHAnsi" w:eastAsiaTheme="minorEastAsia" w:hAnsiTheme="minorHAnsi"/>
          <w:szCs w:val="24"/>
          <w:lang w:eastAsia="zh-CN"/>
        </w:rPr>
        <w:t>2012</w:t>
      </w:r>
      <w:r w:rsidRPr="000D68D9">
        <w:rPr>
          <w:rFonts w:asciiTheme="minorHAnsi" w:eastAsiaTheme="minorEastAsia" w:hAnsiTheme="minorHAnsi"/>
          <w:szCs w:val="24"/>
          <w:lang w:eastAsia="zh-CN"/>
        </w:rPr>
        <w:t>年</w:t>
      </w:r>
      <w:r w:rsidRPr="000D68D9">
        <w:rPr>
          <w:rFonts w:asciiTheme="minorHAnsi" w:eastAsiaTheme="minorEastAsia" w:hAnsiTheme="minorHAnsi"/>
          <w:szCs w:val="24"/>
          <w:lang w:eastAsia="zh-CN"/>
        </w:rPr>
        <w:t>ITR</w:t>
      </w:r>
      <w:r w:rsidRPr="000D68D9">
        <w:rPr>
          <w:rFonts w:asciiTheme="minorHAnsi" w:eastAsiaTheme="minorEastAsia" w:hAnsiTheme="minorHAnsi"/>
          <w:szCs w:val="24"/>
          <w:lang w:eastAsia="zh-CN"/>
        </w:rPr>
        <w:t>的法律分析</w:t>
      </w:r>
    </w:p>
    <w:p w:rsidR="006F3F81" w:rsidRPr="000D68D9" w:rsidRDefault="006F3F81" w:rsidP="000D68D9">
      <w:pPr>
        <w:ind w:firstLineChars="200" w:firstLine="480"/>
        <w:rPr>
          <w:rFonts w:asciiTheme="minorHAnsi" w:eastAsiaTheme="minorEastAsia" w:hAnsiTheme="minorHAnsi"/>
          <w:bCs/>
          <w:szCs w:val="24"/>
          <w:lang w:eastAsia="zh-CN"/>
        </w:rPr>
      </w:pPr>
      <w:r w:rsidRPr="000D68D9">
        <w:rPr>
          <w:rFonts w:asciiTheme="minorHAnsi" w:eastAsiaTheme="minorEastAsia" w:hAnsiTheme="minorHAnsi"/>
          <w:bCs/>
          <w:szCs w:val="24"/>
          <w:lang w:eastAsia="zh-CN"/>
        </w:rPr>
        <w:t>法律分析当然可以涉及不同方面，但墨西哥认为，这里的分析概念仅指</w:t>
      </w:r>
      <w:r w:rsidRPr="000D68D9">
        <w:rPr>
          <w:rFonts w:asciiTheme="minorHAnsi" w:eastAsiaTheme="minorEastAsia" w:hAnsiTheme="minorHAnsi"/>
          <w:bCs/>
          <w:szCs w:val="24"/>
          <w:lang w:eastAsia="zh-CN"/>
        </w:rPr>
        <w:t>2012</w:t>
      </w:r>
      <w:r w:rsidRPr="000D68D9">
        <w:rPr>
          <w:rFonts w:asciiTheme="minorHAnsi" w:eastAsiaTheme="minorEastAsia" w:hAnsiTheme="minorHAnsi"/>
          <w:bCs/>
          <w:szCs w:val="24"/>
          <w:lang w:eastAsia="zh-CN"/>
        </w:rPr>
        <w:t>年</w:t>
      </w:r>
      <w:r w:rsidRPr="000D68D9">
        <w:rPr>
          <w:rFonts w:asciiTheme="minorHAnsi" w:eastAsiaTheme="minorEastAsia" w:hAnsiTheme="minorHAnsi"/>
          <w:bCs/>
          <w:szCs w:val="24"/>
          <w:lang w:eastAsia="zh-CN"/>
        </w:rPr>
        <w:t>ITR</w:t>
      </w:r>
      <w:r w:rsidRPr="000D68D9">
        <w:rPr>
          <w:rFonts w:asciiTheme="minorHAnsi" w:eastAsiaTheme="minorEastAsia" w:hAnsiTheme="minorHAnsi"/>
          <w:bCs/>
          <w:szCs w:val="24"/>
          <w:lang w:eastAsia="zh-CN"/>
        </w:rPr>
        <w:t>的法律分析必须注意确认，《规则》每个条款符合第一条规定的《规则》宗旨。</w:t>
      </w:r>
    </w:p>
    <w:p w:rsidR="006F3F81" w:rsidRPr="000D68D9" w:rsidRDefault="006F3F81" w:rsidP="000D68D9">
      <w:pPr>
        <w:pStyle w:val="Headingb"/>
        <w:rPr>
          <w:rFonts w:asciiTheme="minorHAnsi" w:eastAsiaTheme="minorEastAsia" w:hAnsiTheme="minorHAnsi"/>
          <w:bCs/>
          <w:szCs w:val="24"/>
          <w:lang w:eastAsia="zh-CN"/>
        </w:rPr>
      </w:pPr>
      <w:r w:rsidRPr="000D68D9">
        <w:rPr>
          <w:rFonts w:asciiTheme="minorHAnsi" w:eastAsiaTheme="minorEastAsia" w:hAnsiTheme="minorHAnsi"/>
          <w:szCs w:val="24"/>
          <w:lang w:eastAsia="zh-CN"/>
        </w:rPr>
        <w:t>1988</w:t>
      </w:r>
      <w:r w:rsidRPr="000D68D9">
        <w:rPr>
          <w:rFonts w:asciiTheme="minorHAnsi" w:eastAsiaTheme="minorEastAsia" w:hAnsiTheme="minorHAnsi"/>
          <w:szCs w:val="24"/>
          <w:lang w:eastAsia="zh-CN"/>
        </w:rPr>
        <w:t>和</w:t>
      </w:r>
      <w:r w:rsidRPr="000D68D9">
        <w:rPr>
          <w:rFonts w:asciiTheme="minorHAnsi" w:eastAsiaTheme="minorEastAsia" w:hAnsiTheme="minorHAnsi"/>
          <w:szCs w:val="24"/>
          <w:lang w:eastAsia="zh-CN"/>
        </w:rPr>
        <w:t>2012</w:t>
      </w:r>
      <w:r w:rsidRPr="000D68D9">
        <w:rPr>
          <w:rFonts w:asciiTheme="minorHAnsi" w:eastAsiaTheme="minorEastAsia" w:hAnsiTheme="minorHAnsi"/>
          <w:szCs w:val="24"/>
          <w:lang w:eastAsia="zh-CN"/>
        </w:rPr>
        <w:t>年</w:t>
      </w:r>
      <w:r w:rsidRPr="000D68D9">
        <w:rPr>
          <w:rFonts w:asciiTheme="minorHAnsi" w:eastAsiaTheme="minorEastAsia" w:hAnsiTheme="minorHAnsi"/>
          <w:szCs w:val="24"/>
          <w:lang w:eastAsia="zh-CN"/>
        </w:rPr>
        <w:t>ITR</w:t>
      </w:r>
      <w:r w:rsidRPr="000D68D9">
        <w:rPr>
          <w:rFonts w:asciiTheme="minorHAnsi" w:eastAsiaTheme="minorEastAsia" w:hAnsiTheme="minorHAnsi"/>
          <w:szCs w:val="24"/>
          <w:lang w:eastAsia="zh-CN"/>
        </w:rPr>
        <w:t>之间在义务和应用上的潜在冲突</w:t>
      </w:r>
    </w:p>
    <w:p w:rsidR="006F3F81" w:rsidRPr="000D68D9" w:rsidRDefault="006F3F81" w:rsidP="000D68D9">
      <w:pPr>
        <w:ind w:firstLineChars="200" w:firstLine="480"/>
        <w:rPr>
          <w:rFonts w:asciiTheme="minorHAnsi" w:eastAsiaTheme="minorEastAsia" w:hAnsiTheme="minorHAnsi"/>
          <w:bCs/>
          <w:szCs w:val="24"/>
          <w:lang w:eastAsia="zh-CN"/>
        </w:rPr>
      </w:pPr>
      <w:r w:rsidRPr="000D68D9">
        <w:rPr>
          <w:rFonts w:asciiTheme="minorHAnsi" w:eastAsiaTheme="minorEastAsia" w:hAnsiTheme="minorHAnsi"/>
          <w:bCs/>
          <w:szCs w:val="24"/>
          <w:lang w:eastAsia="zh-CN"/>
        </w:rPr>
        <w:t>墨西哥认为，国际电联已分析了两个文本之间的矛盾之处并指出，当</w:t>
      </w:r>
      <w:r w:rsidRPr="000D68D9">
        <w:rPr>
          <w:rFonts w:asciiTheme="minorHAnsi" w:eastAsiaTheme="minorEastAsia" w:hAnsiTheme="minorHAnsi"/>
          <w:bCs/>
          <w:szCs w:val="24"/>
          <w:lang w:eastAsia="zh-CN"/>
        </w:rPr>
        <w:t>1988</w:t>
      </w:r>
      <w:r w:rsidRPr="000D68D9">
        <w:rPr>
          <w:rFonts w:asciiTheme="minorHAnsi" w:eastAsiaTheme="minorEastAsia" w:hAnsiTheme="minorHAnsi"/>
          <w:bCs/>
          <w:szCs w:val="24"/>
          <w:lang w:eastAsia="zh-CN"/>
        </w:rPr>
        <w:t>年</w:t>
      </w:r>
      <w:r w:rsidRPr="000D68D9">
        <w:rPr>
          <w:rFonts w:asciiTheme="minorHAnsi" w:eastAsiaTheme="minorEastAsia" w:hAnsiTheme="minorHAnsi"/>
          <w:bCs/>
          <w:szCs w:val="24"/>
          <w:lang w:eastAsia="zh-CN"/>
        </w:rPr>
        <w:t>ITR</w:t>
      </w:r>
      <w:r w:rsidRPr="000D68D9">
        <w:rPr>
          <w:rFonts w:asciiTheme="minorHAnsi" w:eastAsiaTheme="minorEastAsia" w:hAnsiTheme="minorHAnsi"/>
          <w:bCs/>
          <w:szCs w:val="24"/>
          <w:lang w:eastAsia="zh-CN"/>
        </w:rPr>
        <w:t>签字成员国试图与</w:t>
      </w:r>
      <w:r w:rsidRPr="000D68D9">
        <w:rPr>
          <w:rFonts w:asciiTheme="minorHAnsi" w:eastAsiaTheme="minorEastAsia" w:hAnsiTheme="minorHAnsi"/>
          <w:bCs/>
          <w:szCs w:val="24"/>
          <w:lang w:eastAsia="zh-CN"/>
        </w:rPr>
        <w:t>2012</w:t>
      </w:r>
      <w:r w:rsidRPr="000D68D9">
        <w:rPr>
          <w:rFonts w:asciiTheme="minorHAnsi" w:eastAsiaTheme="minorEastAsia" w:hAnsiTheme="minorHAnsi"/>
          <w:bCs/>
          <w:szCs w:val="24"/>
          <w:lang w:eastAsia="zh-CN"/>
        </w:rPr>
        <w:t>年</w:t>
      </w:r>
      <w:r w:rsidRPr="000D68D9">
        <w:rPr>
          <w:rFonts w:asciiTheme="minorHAnsi" w:eastAsiaTheme="minorEastAsia" w:hAnsiTheme="minorHAnsi"/>
          <w:bCs/>
          <w:szCs w:val="24"/>
          <w:lang w:eastAsia="zh-CN"/>
        </w:rPr>
        <w:t>ITR</w:t>
      </w:r>
      <w:r w:rsidRPr="000D68D9">
        <w:rPr>
          <w:rFonts w:asciiTheme="minorHAnsi" w:eastAsiaTheme="minorEastAsia" w:hAnsiTheme="minorHAnsi"/>
          <w:bCs/>
          <w:szCs w:val="24"/>
          <w:lang w:eastAsia="zh-CN"/>
        </w:rPr>
        <w:t>签字成员国建立关系时，双方均受</w:t>
      </w:r>
      <w:r w:rsidRPr="000D68D9">
        <w:rPr>
          <w:rFonts w:asciiTheme="minorHAnsi" w:eastAsiaTheme="minorEastAsia" w:hAnsiTheme="minorHAnsi"/>
          <w:bCs/>
          <w:szCs w:val="24"/>
          <w:lang w:eastAsia="zh-CN"/>
        </w:rPr>
        <w:t>1988</w:t>
      </w:r>
      <w:r w:rsidRPr="000D68D9">
        <w:rPr>
          <w:rFonts w:asciiTheme="minorHAnsi" w:eastAsiaTheme="minorEastAsia" w:hAnsiTheme="minorHAnsi"/>
          <w:bCs/>
          <w:szCs w:val="24"/>
          <w:lang w:eastAsia="zh-CN"/>
        </w:rPr>
        <w:t>年条约约束。然而，新条约的某些条款并不适用，如，移动漫游价格的透明度、无障碍性、电子废物的减少、在打击批量推送电子信函方面的合作等。</w:t>
      </w:r>
    </w:p>
    <w:p w:rsidR="006F3F81" w:rsidRPr="000D68D9" w:rsidRDefault="006F3F81" w:rsidP="000D68D9">
      <w:pPr>
        <w:pStyle w:val="Headingb"/>
        <w:rPr>
          <w:rFonts w:asciiTheme="minorHAnsi" w:eastAsiaTheme="minorEastAsia" w:hAnsiTheme="minorHAnsi"/>
          <w:bCs/>
          <w:szCs w:val="24"/>
          <w:lang w:eastAsia="zh-CN"/>
        </w:rPr>
      </w:pPr>
      <w:r w:rsidRPr="000D68D9">
        <w:rPr>
          <w:rFonts w:asciiTheme="minorHAnsi" w:eastAsiaTheme="minorEastAsia" w:hAnsiTheme="minorHAnsi"/>
          <w:szCs w:val="24"/>
          <w:lang w:eastAsia="zh-CN"/>
        </w:rPr>
        <w:lastRenderedPageBreak/>
        <w:t>理事会</w:t>
      </w:r>
      <w:r w:rsidRPr="000D68D9">
        <w:rPr>
          <w:rFonts w:asciiTheme="minorHAnsi" w:eastAsiaTheme="minorEastAsia" w:hAnsiTheme="minorHAnsi"/>
          <w:szCs w:val="24"/>
          <w:lang w:eastAsia="zh-CN"/>
        </w:rPr>
        <w:t>2018</w:t>
      </w:r>
      <w:r w:rsidRPr="000D68D9">
        <w:rPr>
          <w:rFonts w:asciiTheme="minorHAnsi" w:eastAsiaTheme="minorEastAsia" w:hAnsiTheme="minorHAnsi"/>
          <w:szCs w:val="24"/>
          <w:lang w:eastAsia="zh-CN"/>
        </w:rPr>
        <w:t>年会议最终报告的内容</w:t>
      </w:r>
    </w:p>
    <w:p w:rsidR="002841C2" w:rsidRDefault="006F3F81" w:rsidP="006F3F81">
      <w:pPr>
        <w:ind w:firstLineChars="200" w:firstLine="480"/>
        <w:rPr>
          <w:rFonts w:asciiTheme="minorHAnsi" w:eastAsiaTheme="minorEastAsia" w:hAnsiTheme="minorHAnsi"/>
          <w:bCs/>
          <w:szCs w:val="24"/>
          <w:lang w:eastAsia="zh-CN"/>
        </w:rPr>
      </w:pPr>
      <w:r w:rsidRPr="000D68D9">
        <w:rPr>
          <w:rFonts w:asciiTheme="minorHAnsi" w:eastAsiaTheme="minorEastAsia" w:hAnsiTheme="minorHAnsi"/>
          <w:bCs/>
          <w:szCs w:val="24"/>
          <w:lang w:eastAsia="zh-CN"/>
        </w:rPr>
        <w:t>该报告必须侧重于综合成员国、部门成员和各局主任在必要时提交的立场和提案，以便为促进</w:t>
      </w:r>
      <w:r w:rsidRPr="000D68D9">
        <w:rPr>
          <w:rFonts w:asciiTheme="minorHAnsi" w:eastAsiaTheme="minorEastAsia" w:hAnsiTheme="minorHAnsi"/>
          <w:bCs/>
          <w:szCs w:val="24"/>
          <w:lang w:eastAsia="zh-CN"/>
        </w:rPr>
        <w:t>2018</w:t>
      </w:r>
      <w:r w:rsidRPr="000D68D9">
        <w:rPr>
          <w:rFonts w:asciiTheme="minorHAnsi" w:eastAsiaTheme="minorEastAsia" w:hAnsiTheme="minorHAnsi"/>
          <w:bCs/>
          <w:szCs w:val="24"/>
          <w:lang w:eastAsia="zh-CN"/>
        </w:rPr>
        <w:t>年全权代表大会就审议和</w:t>
      </w:r>
      <w:r w:rsidRPr="000D68D9">
        <w:rPr>
          <w:rFonts w:asciiTheme="minorHAnsi" w:eastAsiaTheme="minorEastAsia" w:hAnsiTheme="minorHAnsi"/>
          <w:bCs/>
          <w:szCs w:val="24"/>
          <w:lang w:eastAsia="zh-CN"/>
        </w:rPr>
        <w:t>/</w:t>
      </w:r>
      <w:r w:rsidRPr="000D68D9">
        <w:rPr>
          <w:rFonts w:asciiTheme="minorHAnsi" w:eastAsiaTheme="minorEastAsia" w:hAnsiTheme="minorHAnsi"/>
          <w:bCs/>
          <w:szCs w:val="24"/>
          <w:lang w:eastAsia="zh-CN"/>
        </w:rPr>
        <w:t>或修改</w:t>
      </w:r>
      <w:r w:rsidRPr="000D68D9">
        <w:rPr>
          <w:rFonts w:asciiTheme="minorHAnsi" w:eastAsiaTheme="minorEastAsia" w:hAnsiTheme="minorHAnsi"/>
          <w:bCs/>
          <w:szCs w:val="24"/>
          <w:lang w:eastAsia="zh-CN"/>
        </w:rPr>
        <w:t>ITR</w:t>
      </w:r>
      <w:r w:rsidRPr="000D68D9">
        <w:rPr>
          <w:rFonts w:asciiTheme="minorHAnsi" w:eastAsiaTheme="minorEastAsia" w:hAnsiTheme="minorHAnsi"/>
          <w:bCs/>
          <w:szCs w:val="24"/>
          <w:lang w:eastAsia="zh-CN"/>
        </w:rPr>
        <w:t>的必要性以及由此得出的举办国际电信世界大会的必要性做出的决定提供一份言简意赅，思路清晰的文件。</w:t>
      </w:r>
    </w:p>
    <w:p w:rsidR="000D68D9" w:rsidRDefault="000D68D9" w:rsidP="006F3F81">
      <w:pPr>
        <w:ind w:firstLineChars="200" w:firstLine="480"/>
        <w:rPr>
          <w:rFonts w:asciiTheme="minorHAnsi" w:eastAsiaTheme="minorEastAsia" w:hAnsiTheme="minorHAnsi"/>
          <w:bCs/>
          <w:szCs w:val="24"/>
          <w:lang w:eastAsia="zh-CN"/>
        </w:rPr>
      </w:pPr>
    </w:p>
    <w:p w:rsidR="000D68D9" w:rsidRDefault="000D68D9" w:rsidP="0032202E">
      <w:pPr>
        <w:pStyle w:val="Reasons"/>
      </w:pPr>
    </w:p>
    <w:p w:rsidR="000D68D9" w:rsidRDefault="000D68D9">
      <w:pPr>
        <w:jc w:val="center"/>
      </w:pPr>
      <w:r>
        <w:t>______________</w:t>
      </w:r>
    </w:p>
    <w:p w:rsidR="000D68D9" w:rsidRPr="000D68D9" w:rsidRDefault="000D68D9" w:rsidP="006F3F81">
      <w:pPr>
        <w:ind w:firstLineChars="200" w:firstLine="480"/>
        <w:rPr>
          <w:rFonts w:asciiTheme="minorHAnsi" w:hAnsiTheme="minorHAnsi" w:hint="eastAsia"/>
          <w:lang w:eastAsia="zh-CN"/>
        </w:rPr>
      </w:pPr>
    </w:p>
    <w:sectPr w:rsidR="000D68D9" w:rsidRPr="000D68D9" w:rsidSect="006C36CD">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BF7" w:rsidRDefault="000A6BF7">
      <w:r>
        <w:separator/>
      </w:r>
    </w:p>
  </w:endnote>
  <w:endnote w:type="continuationSeparator" w:id="0">
    <w:p w:rsidR="000A6BF7" w:rsidRDefault="000A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D9" w:rsidRDefault="000D68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D9" w:rsidRDefault="000D68D9" w:rsidP="000D68D9">
    <w:pPr>
      <w:pStyle w:val="Footer"/>
    </w:pPr>
    <w:r>
      <w:fldChar w:fldCharType="begin"/>
    </w:r>
    <w:r>
      <w:instrText xml:space="preserve"> FILENAME \p  \* MERGEFORMAT </w:instrText>
    </w:r>
    <w:r>
      <w:fldChar w:fldCharType="separate"/>
    </w:r>
    <w:r>
      <w:t>P:\CHI\SG\CONSEIL\EG-ITR-1\000\011REV1C.docx</w:t>
    </w:r>
    <w:r>
      <w:fldChar w:fldCharType="end"/>
    </w:r>
    <w:r>
      <w:t xml:space="preserve"> (411871)</w:t>
    </w:r>
    <w:r>
      <w:tab/>
    </w: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BF7" w:rsidRDefault="0095392F" w:rsidP="006F3F81">
    <w:pPr>
      <w:pStyle w:val="Footer"/>
    </w:pPr>
    <w:fldSimple w:instr=" FILENAME \p  \* MERGEFORMAT ">
      <w:r w:rsidR="006F3F81">
        <w:t>P:\CHI\SG\CONSEIL\EG-ITR-1\000\011REV1C.docx</w:t>
      </w:r>
    </w:fldSimple>
    <w:r w:rsidR="000A6BF7">
      <w:t xml:space="preserve"> (41</w:t>
    </w:r>
    <w:r w:rsidR="00E611A9">
      <w:t>1</w:t>
    </w:r>
    <w:r w:rsidR="006F3F81">
      <w:t>8</w:t>
    </w:r>
    <w:r w:rsidR="00E611A9">
      <w:t>71</w:t>
    </w:r>
    <w:r w:rsidR="000A6BF7">
      <w:t>)</w:t>
    </w:r>
    <w:r w:rsidR="000A6BF7">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BF7" w:rsidRDefault="000A6BF7">
      <w:r>
        <w:t>____________________</w:t>
      </w:r>
    </w:p>
  </w:footnote>
  <w:footnote w:type="continuationSeparator" w:id="0">
    <w:p w:rsidR="000A6BF7" w:rsidRDefault="000A6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D9" w:rsidRDefault="000D68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D9" w:rsidRDefault="000D68D9" w:rsidP="000D68D9">
    <w:pPr>
      <w:pStyle w:val="Header"/>
    </w:pPr>
    <w:r>
      <w:fldChar w:fldCharType="begin"/>
    </w:r>
    <w:r>
      <w:instrText>PAGE</w:instrText>
    </w:r>
    <w:r>
      <w:fldChar w:fldCharType="separate"/>
    </w:r>
    <w:r>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D9" w:rsidRDefault="000D6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3A"/>
    <w:rsid w:val="00001B77"/>
    <w:rsid w:val="0000517A"/>
    <w:rsid w:val="00013961"/>
    <w:rsid w:val="00031E72"/>
    <w:rsid w:val="000404D2"/>
    <w:rsid w:val="0006514F"/>
    <w:rsid w:val="00075ED5"/>
    <w:rsid w:val="000853C0"/>
    <w:rsid w:val="000A1C21"/>
    <w:rsid w:val="000A6BF7"/>
    <w:rsid w:val="000D15EA"/>
    <w:rsid w:val="000D68D9"/>
    <w:rsid w:val="00100D84"/>
    <w:rsid w:val="00124C9D"/>
    <w:rsid w:val="00157773"/>
    <w:rsid w:val="0018251A"/>
    <w:rsid w:val="00190272"/>
    <w:rsid w:val="00193244"/>
    <w:rsid w:val="00195C6C"/>
    <w:rsid w:val="00195FED"/>
    <w:rsid w:val="001A4BD6"/>
    <w:rsid w:val="001A5EED"/>
    <w:rsid w:val="001D5A18"/>
    <w:rsid w:val="002000A4"/>
    <w:rsid w:val="0026240F"/>
    <w:rsid w:val="00280EB8"/>
    <w:rsid w:val="002841C2"/>
    <w:rsid w:val="002A6670"/>
    <w:rsid w:val="002B69BB"/>
    <w:rsid w:val="002E6532"/>
    <w:rsid w:val="00303502"/>
    <w:rsid w:val="0031277E"/>
    <w:rsid w:val="00325C25"/>
    <w:rsid w:val="00372C8F"/>
    <w:rsid w:val="00380ECE"/>
    <w:rsid w:val="00393DDF"/>
    <w:rsid w:val="00397F55"/>
    <w:rsid w:val="003B4454"/>
    <w:rsid w:val="003C2E37"/>
    <w:rsid w:val="003F1415"/>
    <w:rsid w:val="0040144C"/>
    <w:rsid w:val="00402C3A"/>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86647"/>
    <w:rsid w:val="005A72E1"/>
    <w:rsid w:val="005C6632"/>
    <w:rsid w:val="005D1C9E"/>
    <w:rsid w:val="00654257"/>
    <w:rsid w:val="0065435A"/>
    <w:rsid w:val="006A2DD3"/>
    <w:rsid w:val="006A5AF8"/>
    <w:rsid w:val="006C36CD"/>
    <w:rsid w:val="006F3F81"/>
    <w:rsid w:val="00700D1F"/>
    <w:rsid w:val="007205CB"/>
    <w:rsid w:val="00726073"/>
    <w:rsid w:val="00734FE8"/>
    <w:rsid w:val="007360CE"/>
    <w:rsid w:val="00772315"/>
    <w:rsid w:val="00775157"/>
    <w:rsid w:val="007813AE"/>
    <w:rsid w:val="007A37DB"/>
    <w:rsid w:val="007D0BF5"/>
    <w:rsid w:val="007E189D"/>
    <w:rsid w:val="007E19F0"/>
    <w:rsid w:val="00811259"/>
    <w:rsid w:val="00813AA2"/>
    <w:rsid w:val="008173A3"/>
    <w:rsid w:val="0086059C"/>
    <w:rsid w:val="00864589"/>
    <w:rsid w:val="00873845"/>
    <w:rsid w:val="00890AFB"/>
    <w:rsid w:val="00890FC4"/>
    <w:rsid w:val="00895905"/>
    <w:rsid w:val="008F2D3A"/>
    <w:rsid w:val="009164A9"/>
    <w:rsid w:val="009258CB"/>
    <w:rsid w:val="0093362E"/>
    <w:rsid w:val="00944563"/>
    <w:rsid w:val="00953160"/>
    <w:rsid w:val="0095392F"/>
    <w:rsid w:val="009625D8"/>
    <w:rsid w:val="0098459B"/>
    <w:rsid w:val="00997185"/>
    <w:rsid w:val="009C2458"/>
    <w:rsid w:val="009C4A7B"/>
    <w:rsid w:val="009C6123"/>
    <w:rsid w:val="009F1E3E"/>
    <w:rsid w:val="00A1213C"/>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25121"/>
    <w:rsid w:val="00C27E00"/>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75B0F"/>
    <w:rsid w:val="00D83542"/>
    <w:rsid w:val="00D92F45"/>
    <w:rsid w:val="00D94637"/>
    <w:rsid w:val="00D9725C"/>
    <w:rsid w:val="00DA7006"/>
    <w:rsid w:val="00DC6427"/>
    <w:rsid w:val="00DD66A1"/>
    <w:rsid w:val="00DE196D"/>
    <w:rsid w:val="00DF6B49"/>
    <w:rsid w:val="00E067C5"/>
    <w:rsid w:val="00E265BF"/>
    <w:rsid w:val="00E378D8"/>
    <w:rsid w:val="00E43A12"/>
    <w:rsid w:val="00E611A9"/>
    <w:rsid w:val="00E67C67"/>
    <w:rsid w:val="00E77476"/>
    <w:rsid w:val="00E8228B"/>
    <w:rsid w:val="00E83199"/>
    <w:rsid w:val="00EC21E1"/>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B48376C-0DF8-4252-83FC-AF068E00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71405411">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D299D-AC95-4821-86A9-2AEA3D86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6</TotalTime>
  <Pages>2</Pages>
  <Words>861</Words>
  <Characters>190</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Yuan, Tianxiang</cp:lastModifiedBy>
  <cp:revision>4</cp:revision>
  <cp:lastPrinted>2015-02-24T13:23:00Z</cp:lastPrinted>
  <dcterms:created xsi:type="dcterms:W3CDTF">2017-02-01T14:18:00Z</dcterms:created>
  <dcterms:modified xsi:type="dcterms:W3CDTF">2017-02-01T14:25:00Z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