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0E4FF0" w:rsidRDefault="00ED3E3E" w:rsidP="00ED3E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760E68">
              <w:rPr>
                <w:rFonts w:eastAsiaTheme="minorEastAsia"/>
                <w:b/>
                <w:bCs/>
                <w:lang w:eastAsia="zh-CN" w:bidi="ar-SY"/>
              </w:rPr>
              <w:t>EG-ITR</w:t>
            </w:r>
            <w:r>
              <w:rPr>
                <w:rFonts w:eastAsiaTheme="minorEastAsia"/>
                <w:b/>
                <w:bCs/>
                <w:lang w:eastAsia="zh-CN" w:bidi="ar-SY"/>
              </w:rPr>
              <w:t> </w:t>
            </w:r>
            <w:r w:rsidR="00760E68">
              <w:rPr>
                <w:rFonts w:eastAsiaTheme="minorEastAsia"/>
                <w:b/>
                <w:bCs/>
                <w:lang w:eastAsia="zh-CN" w:bidi="ar-SY"/>
              </w:rPr>
              <w:t>1</w:t>
            </w:r>
            <w:r w:rsidR="000E4FF0" w:rsidRPr="000E4FF0">
              <w:rPr>
                <w:rFonts w:eastAsiaTheme="minorEastAsia"/>
                <w:b/>
                <w:bCs/>
                <w:lang w:eastAsia="zh-CN" w:bidi="ar-SY"/>
              </w:rPr>
              <w:t>/</w:t>
            </w:r>
            <w:r>
              <w:rPr>
                <w:rFonts w:eastAsiaTheme="minorEastAsia"/>
                <w:b/>
                <w:bCs/>
                <w:lang w:eastAsia="zh-CN" w:bidi="ar-SY"/>
              </w:rPr>
              <w:t>11</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ED3E3E" w:rsidP="00ED3E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26</w:t>
            </w:r>
            <w:r w:rsidR="000E4FF0" w:rsidRPr="000E4FF0">
              <w:rPr>
                <w:rFonts w:eastAsiaTheme="minorEastAsia" w:hint="cs"/>
                <w:b/>
                <w:bCs/>
                <w:rtl/>
                <w:lang w:eastAsia="zh-CN" w:bidi="ar-EG"/>
              </w:rPr>
              <w:t xml:space="preserve"> </w:t>
            </w:r>
            <w:r>
              <w:rPr>
                <w:rFonts w:eastAsiaTheme="minorEastAsia" w:hint="cs"/>
                <w:b/>
                <w:bCs/>
                <w:rtl/>
                <w:lang w:eastAsia="zh-CN" w:bidi="ar-EG"/>
              </w:rPr>
              <w:t>يناير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ED3E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ED3E3E">
              <w:rPr>
                <w:rFonts w:eastAsiaTheme="minorEastAsia" w:hint="cs"/>
                <w:b/>
                <w:bCs/>
                <w:rtl/>
                <w:lang w:eastAsia="zh-CN" w:bidi="ar-EG"/>
              </w:rPr>
              <w:t>بالإسبانية</w:t>
            </w:r>
          </w:p>
        </w:tc>
      </w:tr>
      <w:tr w:rsidR="000E4FF0" w:rsidRPr="000E4FF0" w:rsidTr="000E4FF0">
        <w:trPr>
          <w:cantSplit/>
          <w:jc w:val="center"/>
        </w:trPr>
        <w:tc>
          <w:tcPr>
            <w:tcW w:w="9672" w:type="dxa"/>
            <w:gridSpan w:val="2"/>
          </w:tcPr>
          <w:p w:rsidR="000E4FF0" w:rsidRPr="000E4FF0" w:rsidRDefault="00ED3E3E" w:rsidP="000E4FF0">
            <w:pPr>
              <w:pStyle w:val="Source"/>
              <w:rPr>
                <w:rFonts w:eastAsiaTheme="minorEastAsia"/>
                <w:rtl/>
                <w:lang w:eastAsia="zh-CN"/>
              </w:rPr>
            </w:pPr>
            <w:r>
              <w:rPr>
                <w:rFonts w:eastAsiaTheme="minorEastAsia" w:hint="cs"/>
                <w:rtl/>
                <w:lang w:eastAsia="zh-CN"/>
              </w:rPr>
              <w:t>المكسيك</w:t>
            </w:r>
          </w:p>
        </w:tc>
      </w:tr>
      <w:tr w:rsidR="000E4FF0" w:rsidRPr="000E4FF0" w:rsidTr="000E4FF0">
        <w:trPr>
          <w:cantSplit/>
          <w:jc w:val="center"/>
        </w:trPr>
        <w:tc>
          <w:tcPr>
            <w:tcW w:w="9672" w:type="dxa"/>
            <w:gridSpan w:val="2"/>
          </w:tcPr>
          <w:p w:rsidR="000E4FF0" w:rsidRPr="000E4FF0" w:rsidRDefault="00ED3E3E" w:rsidP="000E4FF0">
            <w:pPr>
              <w:pStyle w:val="Title1"/>
              <w:rPr>
                <w:rFonts w:eastAsiaTheme="minorEastAsia"/>
                <w:lang w:eastAsia="zh-CN"/>
              </w:rPr>
            </w:pPr>
            <w:r>
              <w:rPr>
                <w:rFonts w:eastAsiaTheme="minorEastAsia" w:hint="cs"/>
                <w:rtl/>
                <w:lang w:eastAsia="zh-CN"/>
              </w:rPr>
              <w:t>آثار اختصاصات فريق الخبراء المعني بلوائح الاتصالات الدولية </w:t>
            </w:r>
            <w:r>
              <w:rPr>
                <w:rFonts w:eastAsiaTheme="minorEastAsia"/>
                <w:lang w:eastAsia="zh-CN"/>
              </w:rPr>
              <w:t>(EG</w:t>
            </w:r>
            <w:r>
              <w:rPr>
                <w:rFonts w:eastAsiaTheme="minorEastAsia"/>
                <w:lang w:eastAsia="zh-CN"/>
              </w:rPr>
              <w:noBreakHyphen/>
              <w:t>ITR)</w:t>
            </w:r>
          </w:p>
        </w:tc>
      </w:tr>
      <w:tr w:rsidR="000E4FF0" w:rsidRPr="000E4FF0" w:rsidTr="000E4FF0">
        <w:trPr>
          <w:cantSplit/>
          <w:jc w:val="center"/>
        </w:trPr>
        <w:tc>
          <w:tcPr>
            <w:tcW w:w="9672" w:type="dxa"/>
            <w:gridSpan w:val="2"/>
          </w:tcPr>
          <w:p w:rsidR="000E4FF0" w:rsidRPr="000E4FF0" w:rsidRDefault="000E4FF0" w:rsidP="000E4FF0">
            <w:pPr>
              <w:pStyle w:val="Title2"/>
              <w:rPr>
                <w:rFonts w:eastAsiaTheme="minorEastAsia"/>
                <w:w w:val="120"/>
                <w:rtl/>
                <w:lang w:eastAsia="zh-CN"/>
              </w:rPr>
            </w:pPr>
          </w:p>
        </w:tc>
      </w:tr>
    </w:tbl>
    <w:p w:rsidR="00352F17" w:rsidRPr="00DC1909" w:rsidRDefault="00352F17" w:rsidP="00F655AB">
      <w:pPr>
        <w:pStyle w:val="Headingb"/>
        <w:rPr>
          <w:rtl/>
        </w:rPr>
      </w:pPr>
      <w:r w:rsidRPr="00DC1909">
        <w:rPr>
          <w:rFonts w:hint="cs"/>
          <w:rtl/>
        </w:rPr>
        <w:t>مقدمة</w:t>
      </w:r>
    </w:p>
    <w:p w:rsidR="00352F17" w:rsidRDefault="00352F17" w:rsidP="003E0903">
      <w:pPr>
        <w:pStyle w:val="Headingb"/>
        <w:spacing w:before="120"/>
        <w:rPr>
          <w:b w:val="0"/>
          <w:bCs w:val="0"/>
          <w:sz w:val="22"/>
          <w:szCs w:val="30"/>
          <w:rtl/>
        </w:rPr>
      </w:pPr>
      <w:r>
        <w:rPr>
          <w:rFonts w:hint="cs"/>
          <w:b w:val="0"/>
          <w:bCs w:val="0"/>
          <w:sz w:val="22"/>
          <w:szCs w:val="30"/>
          <w:rtl/>
        </w:rPr>
        <w:t>أنشئ فريق الخبراء المعني بلوائح الاتصالات الدولية و</w:t>
      </w:r>
      <w:r>
        <w:rPr>
          <w:rFonts w:hint="cs"/>
          <w:b w:val="0"/>
          <w:bCs w:val="0"/>
          <w:sz w:val="22"/>
          <w:szCs w:val="30"/>
          <w:rtl/>
        </w:rPr>
        <w:t xml:space="preserve">وُضعت </w:t>
      </w:r>
      <w:r>
        <w:rPr>
          <w:rFonts w:hint="cs"/>
          <w:b w:val="0"/>
          <w:bCs w:val="0"/>
          <w:sz w:val="22"/>
          <w:szCs w:val="30"/>
          <w:rtl/>
        </w:rPr>
        <w:t xml:space="preserve">اختصاصاته بموجب القرار </w:t>
      </w:r>
      <w:r>
        <w:rPr>
          <w:b w:val="0"/>
          <w:bCs w:val="0"/>
          <w:sz w:val="22"/>
          <w:szCs w:val="30"/>
        </w:rPr>
        <w:t>1379</w:t>
      </w:r>
      <w:r>
        <w:rPr>
          <w:rFonts w:hint="cs"/>
          <w:b w:val="0"/>
          <w:bCs w:val="0"/>
          <w:sz w:val="22"/>
          <w:szCs w:val="30"/>
          <w:rtl/>
        </w:rPr>
        <w:t xml:space="preserve"> المعتمد في دورة مجلس الاتحاد لعام</w:t>
      </w:r>
      <w:r>
        <w:rPr>
          <w:rFonts w:hint="eastAsia"/>
          <w:b w:val="0"/>
          <w:bCs w:val="0"/>
          <w:sz w:val="22"/>
          <w:szCs w:val="30"/>
          <w:rtl/>
        </w:rPr>
        <w:t> </w:t>
      </w:r>
      <w:r>
        <w:rPr>
          <w:b w:val="0"/>
          <w:bCs w:val="0"/>
          <w:sz w:val="22"/>
          <w:szCs w:val="30"/>
        </w:rPr>
        <w:t>2016</w:t>
      </w:r>
      <w:r>
        <w:rPr>
          <w:rFonts w:hint="cs"/>
          <w:b w:val="0"/>
          <w:bCs w:val="0"/>
          <w:sz w:val="22"/>
          <w:szCs w:val="30"/>
          <w:rtl/>
        </w:rPr>
        <w:t>.</w:t>
      </w:r>
    </w:p>
    <w:p w:rsidR="00352F17" w:rsidRDefault="00352F17" w:rsidP="003E0903">
      <w:pPr>
        <w:pStyle w:val="Headingb"/>
        <w:spacing w:before="120"/>
        <w:rPr>
          <w:b w:val="0"/>
          <w:bCs w:val="0"/>
          <w:sz w:val="22"/>
          <w:szCs w:val="30"/>
          <w:rtl/>
        </w:rPr>
      </w:pPr>
      <w:r>
        <w:rPr>
          <w:rFonts w:hint="cs"/>
          <w:b w:val="0"/>
          <w:bCs w:val="0"/>
          <w:sz w:val="22"/>
          <w:szCs w:val="30"/>
          <w:rtl/>
        </w:rPr>
        <w:t xml:space="preserve">وتعتبر إدارة المكسيك أنه من الأهمية القصوى أن </w:t>
      </w:r>
      <w:r>
        <w:rPr>
          <w:rFonts w:hint="cs"/>
          <w:b w:val="0"/>
          <w:bCs w:val="0"/>
          <w:sz w:val="22"/>
          <w:szCs w:val="30"/>
          <w:rtl/>
        </w:rPr>
        <w:t>يكون لدى</w:t>
      </w:r>
      <w:r>
        <w:rPr>
          <w:rFonts w:hint="cs"/>
          <w:b w:val="0"/>
          <w:bCs w:val="0"/>
          <w:sz w:val="22"/>
          <w:szCs w:val="30"/>
          <w:rtl/>
        </w:rPr>
        <w:t xml:space="preserve"> جميع المشاركين في فريق الخبراء الفهم ذاته بشأن الاختصاصات المذكورة أعلاه، علماً أن ذلك سوف يسهم عملياً في العمل والتحليل الواجب الاضطلاع بهما بغية تحقيق نتائج ملموسة.</w:t>
      </w:r>
    </w:p>
    <w:p w:rsidR="00352F17" w:rsidRDefault="00352F17" w:rsidP="003E0903">
      <w:pPr>
        <w:tabs>
          <w:tab w:val="left" w:pos="2381"/>
          <w:tab w:val="center" w:pos="4819"/>
        </w:tabs>
        <w:jc w:val="left"/>
        <w:rPr>
          <w:rtl/>
        </w:rPr>
      </w:pPr>
      <w:r>
        <w:rPr>
          <w:rFonts w:hint="cs"/>
          <w:rtl/>
        </w:rPr>
        <w:t xml:space="preserve">ولذلك، </w:t>
      </w:r>
      <w:r>
        <w:rPr>
          <w:rFonts w:hint="cs"/>
          <w:rtl/>
        </w:rPr>
        <w:t>تعرض</w:t>
      </w:r>
      <w:r>
        <w:rPr>
          <w:rFonts w:hint="cs"/>
          <w:rtl/>
        </w:rPr>
        <w:t xml:space="preserve"> إدارة المكسيك اعتبارات مختلفة </w:t>
      </w:r>
      <w:r>
        <w:rPr>
          <w:rFonts w:hint="cs"/>
          <w:rtl/>
        </w:rPr>
        <w:t>كي تركز عليها</w:t>
      </w:r>
      <w:r>
        <w:rPr>
          <w:rFonts w:hint="cs"/>
          <w:rtl/>
        </w:rPr>
        <w:t xml:space="preserve"> أعمال الاجتماعات المقبلة.</w:t>
      </w:r>
    </w:p>
    <w:p w:rsidR="00352F17" w:rsidRPr="00354B6B" w:rsidRDefault="00352F17" w:rsidP="00F655AB">
      <w:pPr>
        <w:pStyle w:val="Headingb"/>
        <w:rPr>
          <w:rtl/>
        </w:rPr>
      </w:pPr>
      <w:r w:rsidRPr="00354B6B">
        <w:rPr>
          <w:rFonts w:hint="cs"/>
          <w:rtl/>
        </w:rPr>
        <w:t>تقديم المساهمات والعناصر التي ينبغي أن تؤخذ بعين الاعتبار في دراسة لوائح الاتصالات الدولية لعام</w:t>
      </w:r>
      <w:r w:rsidR="00A5695F">
        <w:rPr>
          <w:rFonts w:hint="eastAsia"/>
          <w:rtl/>
        </w:rPr>
        <w:t> </w:t>
      </w:r>
      <w:r w:rsidRPr="00354B6B">
        <w:t>2012</w:t>
      </w:r>
    </w:p>
    <w:p w:rsidR="00352F17" w:rsidRDefault="00352F17" w:rsidP="003E0903">
      <w:pPr>
        <w:rPr>
          <w:rtl/>
        </w:rPr>
      </w:pPr>
      <w:r>
        <w:rPr>
          <w:rFonts w:hint="cs"/>
          <w:rtl/>
        </w:rPr>
        <w:t xml:space="preserve">ترى المكسيك أن التحديد الواضح للأطراف الفاعلة المؤهلة لتقديم مساهمات إلى فريق الخبراء كالدول الأعضاء وأعضاء القطاعات ومديري المكاتب، أمر أساسي إذا كان لعمل الفريق أن يتسم بالكفاءة والفعالية، </w:t>
      </w:r>
      <w:r w:rsidR="00C1150E">
        <w:rPr>
          <w:rFonts w:hint="cs"/>
          <w:rtl/>
        </w:rPr>
        <w:t>نظراً إلى الوقت اللازم للوفاء باختصاصات</w:t>
      </w:r>
      <w:r w:rsidR="00C1150E">
        <w:rPr>
          <w:rFonts w:hint="eastAsia"/>
          <w:rtl/>
        </w:rPr>
        <w:t> </w:t>
      </w:r>
      <w:r>
        <w:rPr>
          <w:rFonts w:hint="cs"/>
          <w:rtl/>
        </w:rPr>
        <w:t>الفريق.</w:t>
      </w:r>
    </w:p>
    <w:p w:rsidR="00352F17" w:rsidRDefault="00352F17" w:rsidP="000360E8">
      <w:pPr>
        <w:rPr>
          <w:b/>
          <w:bCs/>
          <w:rtl/>
        </w:rPr>
      </w:pPr>
      <w:r>
        <w:rPr>
          <w:rFonts w:hint="cs"/>
          <w:rtl/>
        </w:rPr>
        <w:t xml:space="preserve">وينبغي أن يقتصر تركيز الدراسة أو التحليل العام للوائح الاتصالات الدولية لعام </w:t>
      </w:r>
      <w:r>
        <w:t>2012</w:t>
      </w:r>
      <w:r w:rsidR="008A4C9A">
        <w:rPr>
          <w:rFonts w:hint="cs"/>
          <w:rtl/>
        </w:rPr>
        <w:t>،</w:t>
      </w:r>
      <w:r>
        <w:rPr>
          <w:rFonts w:hint="cs"/>
          <w:rtl/>
        </w:rPr>
        <w:t xml:space="preserve">كما هو مبين في الاختصاصات ذاتها، على النص الناتج عن المؤتمر العالمي للاتصالات الدولية لعام </w:t>
      </w:r>
      <w:r>
        <w:t>2012</w:t>
      </w:r>
      <w:r>
        <w:rPr>
          <w:rFonts w:hint="cs"/>
          <w:rtl/>
        </w:rPr>
        <w:t xml:space="preserve"> بدون المساس بالبلدان التي وقّعت أم لم توقّع على الوثائق الختامية لهذا المؤتمر. وينبغي تحليل النص الناتج عن المؤتمر استناداً إلى البيئة الحالية للاتصالات الدولية بما في ذلك الاتجاهات والقضايا الجديدة بهدف تحديد العقبات المواج</w:t>
      </w:r>
      <w:r w:rsidR="00C21B8B">
        <w:rPr>
          <w:rFonts w:hint="cs"/>
          <w:rtl/>
        </w:rPr>
        <w:t>َ</w:t>
      </w:r>
      <w:r>
        <w:rPr>
          <w:rFonts w:hint="cs"/>
          <w:rtl/>
        </w:rPr>
        <w:t>هة في تطبيق لوائح الاتصالات الدولية لعام</w:t>
      </w:r>
      <w:r w:rsidR="008A4C9A">
        <w:rPr>
          <w:rFonts w:hint="eastAsia"/>
          <w:rtl/>
        </w:rPr>
        <w:t> </w:t>
      </w:r>
      <w:r>
        <w:t>2012</w:t>
      </w:r>
      <w:r>
        <w:rPr>
          <w:rFonts w:hint="cs"/>
          <w:rtl/>
        </w:rPr>
        <w:t xml:space="preserve"> والقرارات ذات الصلة.</w:t>
      </w:r>
    </w:p>
    <w:p w:rsidR="00352F17" w:rsidRPr="00191746" w:rsidRDefault="00352F17" w:rsidP="00A8610D">
      <w:pPr>
        <w:pStyle w:val="Headingb"/>
        <w:spacing w:before="240"/>
        <w:rPr>
          <w:sz w:val="22"/>
          <w:szCs w:val="30"/>
          <w:rtl/>
        </w:rPr>
      </w:pPr>
      <w:r w:rsidRPr="00191746">
        <w:rPr>
          <w:rFonts w:hint="cs"/>
          <w:sz w:val="22"/>
          <w:szCs w:val="30"/>
          <w:rtl/>
        </w:rPr>
        <w:t>إمكانية التطبيق في البيئة الحالية والعلاقة مع الصكوك الدولية الأخرى</w:t>
      </w:r>
    </w:p>
    <w:p w:rsidR="00352F17" w:rsidRPr="003E0903" w:rsidRDefault="00352F17" w:rsidP="003E0903">
      <w:pPr>
        <w:rPr>
          <w:rtl/>
        </w:rPr>
      </w:pPr>
      <w:r w:rsidRPr="003E0903">
        <w:rPr>
          <w:rFonts w:hint="cs"/>
          <w:rtl/>
        </w:rPr>
        <w:t xml:space="preserve">ينبغي أن تُفهم إمكانية تطبيق لوائح الاتصالات الدولية من حيث المزايا المستمدة من الوفاء بالالتزامات القانونية </w:t>
      </w:r>
      <w:r w:rsidR="0040501A" w:rsidRPr="003E0903">
        <w:rPr>
          <w:rFonts w:hint="cs"/>
          <w:rtl/>
        </w:rPr>
        <w:t>لهذه اللوائح</w:t>
      </w:r>
      <w:r w:rsidRPr="003E0903">
        <w:rPr>
          <w:rFonts w:hint="cs"/>
          <w:rtl/>
        </w:rPr>
        <w:t xml:space="preserve"> حيال صكوك</w:t>
      </w:r>
      <w:r w:rsidR="00C70138">
        <w:rPr>
          <w:rFonts w:hint="cs"/>
          <w:rtl/>
        </w:rPr>
        <w:t xml:space="preserve"> أخرى</w:t>
      </w:r>
      <w:bookmarkStart w:id="1" w:name="_GoBack"/>
      <w:bookmarkEnd w:id="1"/>
      <w:r w:rsidRPr="003E0903">
        <w:rPr>
          <w:rFonts w:hint="cs"/>
          <w:rtl/>
        </w:rPr>
        <w:t xml:space="preserve"> ملزمة متعددة الأطراف و/أو دولية. ويشير ذلك بصفة عامة إلى درجة/مستوى تنفيذ أحكام لوائح الاتصالات الدولية لعام</w:t>
      </w:r>
      <w:r w:rsidR="00C21B8B" w:rsidRPr="003E0903">
        <w:rPr>
          <w:rFonts w:hint="eastAsia"/>
          <w:rtl/>
        </w:rPr>
        <w:t> </w:t>
      </w:r>
      <w:r w:rsidRPr="003E0903">
        <w:t>2012</w:t>
      </w:r>
      <w:r w:rsidRPr="003E0903">
        <w:rPr>
          <w:rFonts w:hint="cs"/>
          <w:rtl/>
        </w:rPr>
        <w:t xml:space="preserve"> في إطار الصكوك الدولية الملزمة والأطر القانونية الوطنية.</w:t>
      </w:r>
    </w:p>
    <w:p w:rsidR="00352F17" w:rsidRPr="00156946" w:rsidRDefault="00CF0A46" w:rsidP="00A8610D">
      <w:pPr>
        <w:pStyle w:val="Headingb"/>
        <w:spacing w:before="240"/>
        <w:rPr>
          <w:sz w:val="22"/>
          <w:szCs w:val="30"/>
        </w:rPr>
      </w:pPr>
      <w:r>
        <w:rPr>
          <w:rFonts w:hint="cs"/>
          <w:sz w:val="22"/>
          <w:szCs w:val="30"/>
          <w:rtl/>
        </w:rPr>
        <w:lastRenderedPageBreak/>
        <w:t>التحليل القانوني</w:t>
      </w:r>
      <w:r w:rsidR="00352F17" w:rsidRPr="00156946">
        <w:rPr>
          <w:rFonts w:hint="cs"/>
          <w:sz w:val="22"/>
          <w:szCs w:val="30"/>
          <w:rtl/>
        </w:rPr>
        <w:t xml:space="preserve"> للوائح الاتصالات الدولية</w:t>
      </w:r>
      <w:r w:rsidR="00352F17">
        <w:rPr>
          <w:rFonts w:hint="cs"/>
          <w:sz w:val="22"/>
          <w:szCs w:val="30"/>
          <w:rtl/>
        </w:rPr>
        <w:t xml:space="preserve"> لعام </w:t>
      </w:r>
      <w:r w:rsidR="00352F17">
        <w:rPr>
          <w:sz w:val="22"/>
          <w:szCs w:val="30"/>
        </w:rPr>
        <w:t>2012</w:t>
      </w:r>
    </w:p>
    <w:p w:rsidR="00352F17" w:rsidRDefault="00352F17" w:rsidP="00A8610D">
      <w:pPr>
        <w:pStyle w:val="Headingb"/>
        <w:spacing w:before="240"/>
        <w:rPr>
          <w:rFonts w:eastAsiaTheme="minorEastAsia"/>
          <w:b w:val="0"/>
          <w:bCs w:val="0"/>
          <w:rtl/>
          <w:lang w:eastAsia="zh-CN"/>
        </w:rPr>
      </w:pPr>
      <w:r>
        <w:rPr>
          <w:rFonts w:hint="cs"/>
          <w:b w:val="0"/>
          <w:bCs w:val="0"/>
          <w:sz w:val="22"/>
          <w:szCs w:val="30"/>
          <w:rtl/>
        </w:rPr>
        <w:t>على الرغم</w:t>
      </w:r>
      <w:r w:rsidR="00CF0A46">
        <w:rPr>
          <w:rFonts w:hint="cs"/>
          <w:b w:val="0"/>
          <w:bCs w:val="0"/>
          <w:sz w:val="22"/>
          <w:szCs w:val="30"/>
          <w:rtl/>
        </w:rPr>
        <w:t xml:space="preserve"> من أن التحليل القانوني</w:t>
      </w:r>
      <w:r>
        <w:rPr>
          <w:rFonts w:hint="cs"/>
          <w:b w:val="0"/>
          <w:bCs w:val="0"/>
          <w:sz w:val="22"/>
          <w:szCs w:val="30"/>
          <w:rtl/>
        </w:rPr>
        <w:t xml:space="preserve"> يمكن أن </w:t>
      </w:r>
      <w:r w:rsidR="00CF0A46">
        <w:rPr>
          <w:rFonts w:hint="cs"/>
          <w:b w:val="0"/>
          <w:bCs w:val="0"/>
          <w:sz w:val="22"/>
          <w:szCs w:val="30"/>
          <w:rtl/>
        </w:rPr>
        <w:t>يتناول</w:t>
      </w:r>
      <w:r>
        <w:rPr>
          <w:rFonts w:hint="cs"/>
          <w:b w:val="0"/>
          <w:bCs w:val="0"/>
          <w:sz w:val="22"/>
          <w:szCs w:val="30"/>
          <w:rtl/>
        </w:rPr>
        <w:t xml:space="preserve"> بالتأكيد</w:t>
      </w:r>
      <w:r w:rsidRPr="0003672F">
        <w:rPr>
          <w:rFonts w:hint="cs"/>
          <w:b w:val="0"/>
          <w:bCs w:val="0"/>
          <w:sz w:val="22"/>
          <w:szCs w:val="30"/>
          <w:rtl/>
        </w:rPr>
        <w:t xml:space="preserve"> </w:t>
      </w:r>
      <w:r>
        <w:rPr>
          <w:rFonts w:hint="cs"/>
          <w:b w:val="0"/>
          <w:bCs w:val="0"/>
          <w:sz w:val="22"/>
          <w:szCs w:val="30"/>
          <w:rtl/>
        </w:rPr>
        <w:t>جوانب مختلفة</w:t>
      </w:r>
      <w:r w:rsidR="00CF0A46">
        <w:rPr>
          <w:rFonts w:hint="cs"/>
          <w:b w:val="0"/>
          <w:bCs w:val="0"/>
          <w:sz w:val="22"/>
          <w:szCs w:val="30"/>
          <w:rtl/>
        </w:rPr>
        <w:t xml:space="preserve"> ومتنوعة</w:t>
      </w:r>
      <w:r>
        <w:rPr>
          <w:rFonts w:hint="cs"/>
          <w:b w:val="0"/>
          <w:bCs w:val="0"/>
          <w:sz w:val="22"/>
          <w:szCs w:val="30"/>
          <w:rtl/>
        </w:rPr>
        <w:t xml:space="preserve">، ترى المكسيك أن المفهوم المطروح ينطوي فقط على </w:t>
      </w:r>
      <w:r w:rsidR="00E772D9">
        <w:rPr>
          <w:rFonts w:hint="cs"/>
          <w:b w:val="0"/>
          <w:bCs w:val="0"/>
          <w:sz w:val="22"/>
          <w:szCs w:val="30"/>
          <w:rtl/>
        </w:rPr>
        <w:t xml:space="preserve">وجوب </w:t>
      </w:r>
      <w:r>
        <w:rPr>
          <w:rFonts w:eastAsiaTheme="minorEastAsia" w:hint="cs"/>
          <w:b w:val="0"/>
          <w:bCs w:val="0"/>
          <w:rtl/>
          <w:lang w:eastAsia="zh-CN"/>
        </w:rPr>
        <w:t xml:space="preserve">أن يركز التحليل القانوني للوائح الاتصالات الدولية لعام </w:t>
      </w:r>
      <w:r>
        <w:rPr>
          <w:rFonts w:eastAsiaTheme="minorEastAsia"/>
          <w:b w:val="0"/>
          <w:bCs w:val="0"/>
          <w:lang w:eastAsia="zh-CN"/>
        </w:rPr>
        <w:t>2012</w:t>
      </w:r>
      <w:r>
        <w:rPr>
          <w:rFonts w:eastAsiaTheme="minorEastAsia" w:hint="cs"/>
          <w:b w:val="0"/>
          <w:bCs w:val="0"/>
          <w:rtl/>
          <w:lang w:eastAsia="zh-CN"/>
        </w:rPr>
        <w:t xml:space="preserve"> على تأكيد امتثال كل حكم فيها لغرض اللوائح على النحو المنصوص عليه في المادة </w:t>
      </w:r>
      <w:r>
        <w:rPr>
          <w:rFonts w:eastAsiaTheme="minorEastAsia"/>
          <w:b w:val="0"/>
          <w:bCs w:val="0"/>
          <w:lang w:eastAsia="zh-CN"/>
        </w:rPr>
        <w:t>1</w:t>
      </w:r>
      <w:r>
        <w:rPr>
          <w:rFonts w:eastAsiaTheme="minorEastAsia" w:hint="cs"/>
          <w:b w:val="0"/>
          <w:bCs w:val="0"/>
          <w:rtl/>
          <w:lang w:eastAsia="zh-CN"/>
        </w:rPr>
        <w:t>.</w:t>
      </w:r>
    </w:p>
    <w:p w:rsidR="00352F17" w:rsidRDefault="00352F17" w:rsidP="00F655AB">
      <w:pPr>
        <w:pStyle w:val="Headingb"/>
        <w:rPr>
          <w:rtl/>
        </w:rPr>
      </w:pPr>
      <w:r w:rsidRPr="00DC1909">
        <w:rPr>
          <w:rFonts w:hint="cs"/>
          <w:rtl/>
        </w:rPr>
        <w:t>أوجه التضارب المحتملة بين الالتزامات وتطبيق لوائح الاتصالات الدولية</w:t>
      </w:r>
      <w:r w:rsidR="00AA4093">
        <w:rPr>
          <w:rFonts w:hint="cs"/>
          <w:rtl/>
        </w:rPr>
        <w:t xml:space="preserve"> بصيغتيها</w:t>
      </w:r>
      <w:r w:rsidRPr="00DC1909">
        <w:rPr>
          <w:rFonts w:hint="cs"/>
          <w:rtl/>
        </w:rPr>
        <w:t xml:space="preserve"> لعام</w:t>
      </w:r>
      <w:r>
        <w:rPr>
          <w:rFonts w:hint="cs"/>
          <w:rtl/>
        </w:rPr>
        <w:t>ي</w:t>
      </w:r>
      <w:r w:rsidRPr="00DC1909">
        <w:rPr>
          <w:rFonts w:hint="cs"/>
          <w:rtl/>
        </w:rPr>
        <w:t xml:space="preserve"> </w:t>
      </w:r>
      <w:r w:rsidRPr="00DC1909">
        <w:t>1988</w:t>
      </w:r>
      <w:r w:rsidRPr="00DC1909">
        <w:rPr>
          <w:rFonts w:hint="cs"/>
          <w:rtl/>
        </w:rPr>
        <w:t xml:space="preserve"> و</w:t>
      </w:r>
      <w:r w:rsidRPr="00DC1909">
        <w:t>2012</w:t>
      </w:r>
    </w:p>
    <w:p w:rsidR="00352F17" w:rsidRDefault="00352F17" w:rsidP="003E0903">
      <w:pPr>
        <w:pStyle w:val="Headingb"/>
        <w:spacing w:before="120"/>
        <w:rPr>
          <w:rFonts w:eastAsiaTheme="minorEastAsia"/>
          <w:b w:val="0"/>
          <w:bCs w:val="0"/>
          <w:sz w:val="22"/>
          <w:szCs w:val="30"/>
          <w:rtl/>
          <w:lang w:eastAsia="zh-CN"/>
        </w:rPr>
      </w:pPr>
      <w:r w:rsidRPr="00685136">
        <w:rPr>
          <w:rFonts w:hint="cs"/>
          <w:b w:val="0"/>
          <w:bCs w:val="0"/>
          <w:sz w:val="22"/>
          <w:szCs w:val="30"/>
          <w:rtl/>
        </w:rPr>
        <w:t xml:space="preserve">ترى المكسيك أن الاتحاد </w:t>
      </w:r>
      <w:r w:rsidR="00C033F1">
        <w:rPr>
          <w:rFonts w:hint="cs"/>
          <w:b w:val="0"/>
          <w:bCs w:val="0"/>
          <w:sz w:val="22"/>
          <w:szCs w:val="30"/>
          <w:rtl/>
        </w:rPr>
        <w:t xml:space="preserve">سبق </w:t>
      </w:r>
      <w:r>
        <w:rPr>
          <w:rFonts w:hint="cs"/>
          <w:b w:val="0"/>
          <w:bCs w:val="0"/>
          <w:sz w:val="22"/>
          <w:szCs w:val="30"/>
          <w:rtl/>
        </w:rPr>
        <w:t>أن حلل</w:t>
      </w:r>
      <w:r w:rsidRPr="00685136">
        <w:rPr>
          <w:rFonts w:hint="cs"/>
          <w:b w:val="0"/>
          <w:bCs w:val="0"/>
          <w:sz w:val="22"/>
          <w:szCs w:val="30"/>
          <w:rtl/>
        </w:rPr>
        <w:t xml:space="preserve"> أوجه التضارب الناشئة عن تطبيق كلا الصكين، </w:t>
      </w:r>
      <w:r w:rsidR="00C033F1">
        <w:rPr>
          <w:rFonts w:eastAsiaTheme="minorEastAsia" w:hint="cs"/>
          <w:b w:val="0"/>
          <w:bCs w:val="0"/>
          <w:sz w:val="22"/>
          <w:szCs w:val="30"/>
          <w:rtl/>
          <w:lang w:eastAsia="zh-CN"/>
        </w:rPr>
        <w:t>علماً</w:t>
      </w:r>
      <w:r w:rsidRPr="00685136">
        <w:rPr>
          <w:rFonts w:eastAsiaTheme="minorEastAsia" w:hint="cs"/>
          <w:b w:val="0"/>
          <w:bCs w:val="0"/>
          <w:sz w:val="22"/>
          <w:szCs w:val="30"/>
          <w:rtl/>
          <w:lang w:eastAsia="zh-CN"/>
        </w:rPr>
        <w:t xml:space="preserve"> أنه في حال </w:t>
      </w:r>
      <w:r>
        <w:rPr>
          <w:rFonts w:eastAsiaTheme="minorEastAsia" w:hint="cs"/>
          <w:b w:val="0"/>
          <w:bCs w:val="0"/>
          <w:sz w:val="22"/>
          <w:szCs w:val="30"/>
          <w:rtl/>
          <w:lang w:eastAsia="zh-CN"/>
        </w:rPr>
        <w:t>السعي</w:t>
      </w:r>
      <w:r w:rsidRPr="00685136">
        <w:rPr>
          <w:rFonts w:eastAsiaTheme="minorEastAsia" w:hint="cs"/>
          <w:b w:val="0"/>
          <w:bCs w:val="0"/>
          <w:sz w:val="22"/>
          <w:szCs w:val="30"/>
          <w:rtl/>
          <w:lang w:eastAsia="zh-CN"/>
        </w:rPr>
        <w:t xml:space="preserve"> إلى إقامة علاقة بين الدول الأعضاء الموقّعة على لوائح الاتصالات الدولية لعام </w:t>
      </w:r>
      <w:r w:rsidRPr="00685136">
        <w:rPr>
          <w:rFonts w:eastAsiaTheme="minorEastAsia"/>
          <w:b w:val="0"/>
          <w:bCs w:val="0"/>
          <w:sz w:val="22"/>
          <w:szCs w:val="30"/>
          <w:lang w:eastAsia="zh-CN"/>
        </w:rPr>
        <w:t>1988</w:t>
      </w:r>
      <w:r w:rsidRPr="00685136">
        <w:rPr>
          <w:rFonts w:eastAsiaTheme="minorEastAsia" w:hint="cs"/>
          <w:b w:val="0"/>
          <w:bCs w:val="0"/>
          <w:sz w:val="22"/>
          <w:szCs w:val="30"/>
          <w:rtl/>
          <w:lang w:eastAsia="zh-CN"/>
        </w:rPr>
        <w:t xml:space="preserve"> ودولة عضو أخرى موقّعة على لوائح الاتصالات الدولية لعام</w:t>
      </w:r>
      <w:r w:rsidR="00976E18">
        <w:rPr>
          <w:rFonts w:eastAsiaTheme="minorEastAsia" w:hint="eastAsia"/>
          <w:b w:val="0"/>
          <w:bCs w:val="0"/>
          <w:sz w:val="22"/>
          <w:szCs w:val="30"/>
          <w:rtl/>
          <w:lang w:eastAsia="zh-CN"/>
        </w:rPr>
        <w:t> </w:t>
      </w:r>
      <w:r w:rsidRPr="00685136">
        <w:rPr>
          <w:rFonts w:eastAsiaTheme="minorEastAsia"/>
          <w:b w:val="0"/>
          <w:bCs w:val="0"/>
          <w:sz w:val="22"/>
          <w:szCs w:val="30"/>
          <w:lang w:eastAsia="zh-CN"/>
        </w:rPr>
        <w:t>2012</w:t>
      </w:r>
      <w:r w:rsidRPr="00685136">
        <w:rPr>
          <w:rFonts w:eastAsiaTheme="minorEastAsia" w:hint="cs"/>
          <w:b w:val="0"/>
          <w:bCs w:val="0"/>
          <w:sz w:val="22"/>
          <w:szCs w:val="30"/>
          <w:rtl/>
          <w:lang w:eastAsia="zh-CN"/>
        </w:rPr>
        <w:t xml:space="preserve">، يكون كلا الطرفين ملزمين بمعاهدة عام </w:t>
      </w:r>
      <w:r w:rsidRPr="00685136">
        <w:rPr>
          <w:rFonts w:eastAsiaTheme="minorEastAsia"/>
          <w:b w:val="0"/>
          <w:bCs w:val="0"/>
          <w:sz w:val="22"/>
          <w:szCs w:val="30"/>
          <w:lang w:eastAsia="zh-CN"/>
        </w:rPr>
        <w:t>1988</w:t>
      </w:r>
      <w:r w:rsidRPr="00685136">
        <w:rPr>
          <w:rFonts w:eastAsiaTheme="minorEastAsia" w:hint="cs"/>
          <w:b w:val="0"/>
          <w:bCs w:val="0"/>
          <w:sz w:val="22"/>
          <w:szCs w:val="30"/>
          <w:rtl/>
          <w:lang w:eastAsia="zh-CN"/>
        </w:rPr>
        <w:t>. ومع ذلك، لا تنطبق بعض أحكام المعاهدة الجديدة</w:t>
      </w:r>
      <w:r>
        <w:rPr>
          <w:rFonts w:eastAsiaTheme="minorEastAsia" w:hint="cs"/>
          <w:b w:val="0"/>
          <w:bCs w:val="0"/>
          <w:sz w:val="22"/>
          <w:szCs w:val="30"/>
          <w:rtl/>
          <w:lang w:eastAsia="zh-CN"/>
        </w:rPr>
        <w:t xml:space="preserve"> </w:t>
      </w:r>
      <w:r w:rsidR="00CD3B58">
        <w:rPr>
          <w:rFonts w:eastAsiaTheme="minorEastAsia" w:hint="cs"/>
          <w:b w:val="0"/>
          <w:bCs w:val="0"/>
          <w:sz w:val="22"/>
          <w:szCs w:val="30"/>
          <w:rtl/>
          <w:lang w:eastAsia="zh-CN"/>
        </w:rPr>
        <w:t>و</w:t>
      </w:r>
      <w:r>
        <w:rPr>
          <w:rFonts w:eastAsiaTheme="minorEastAsia" w:hint="cs"/>
          <w:b w:val="0"/>
          <w:bCs w:val="0"/>
          <w:sz w:val="22"/>
          <w:szCs w:val="30"/>
          <w:rtl/>
          <w:lang w:eastAsia="zh-CN"/>
        </w:rPr>
        <w:t>يُذكر</w:t>
      </w:r>
      <w:r w:rsidRPr="00685136">
        <w:rPr>
          <w:rFonts w:eastAsiaTheme="minorEastAsia" w:hint="cs"/>
          <w:b w:val="0"/>
          <w:bCs w:val="0"/>
          <w:sz w:val="22"/>
          <w:szCs w:val="30"/>
          <w:rtl/>
          <w:lang w:eastAsia="zh-CN"/>
        </w:rPr>
        <w:t xml:space="preserve"> منها على سبيل المثال الشفافية في أسعار التجوال المتنقل وإمكانية النفاذ والحد من المخلفات الإلكترونية والتعاون في مكافحة </w:t>
      </w:r>
      <w:r w:rsidR="00976E18">
        <w:rPr>
          <w:b w:val="0"/>
          <w:bCs w:val="0"/>
          <w:color w:val="000000"/>
          <w:sz w:val="22"/>
          <w:szCs w:val="30"/>
          <w:rtl/>
        </w:rPr>
        <w:t>الاتصالات الإلكترونية غير</w:t>
      </w:r>
      <w:r w:rsidR="00976E18">
        <w:rPr>
          <w:rFonts w:hint="cs"/>
          <w:b w:val="0"/>
          <w:bCs w:val="0"/>
          <w:color w:val="000000"/>
          <w:sz w:val="22"/>
          <w:szCs w:val="30"/>
          <w:rtl/>
        </w:rPr>
        <w:t> </w:t>
      </w:r>
      <w:r w:rsidRPr="00685136">
        <w:rPr>
          <w:b w:val="0"/>
          <w:bCs w:val="0"/>
          <w:color w:val="000000"/>
          <w:sz w:val="22"/>
          <w:szCs w:val="30"/>
          <w:rtl/>
        </w:rPr>
        <w:t>المرغوبة المرسلة بالجملة</w:t>
      </w:r>
      <w:r>
        <w:rPr>
          <w:rFonts w:eastAsiaTheme="minorEastAsia" w:hint="cs"/>
          <w:b w:val="0"/>
          <w:bCs w:val="0"/>
          <w:sz w:val="22"/>
          <w:szCs w:val="30"/>
          <w:rtl/>
          <w:lang w:eastAsia="zh-CN"/>
        </w:rPr>
        <w:t xml:space="preserve"> وما إلى ذلك.</w:t>
      </w:r>
    </w:p>
    <w:p w:rsidR="00352F17" w:rsidRPr="00565898" w:rsidRDefault="00352F17" w:rsidP="00A8610D">
      <w:pPr>
        <w:pStyle w:val="Headingb"/>
        <w:spacing w:before="240"/>
        <w:rPr>
          <w:rFonts w:eastAsiaTheme="minorEastAsia"/>
          <w:sz w:val="22"/>
          <w:szCs w:val="30"/>
          <w:rtl/>
          <w:lang w:eastAsia="zh-CN"/>
        </w:rPr>
      </w:pPr>
      <w:r w:rsidRPr="00565898">
        <w:rPr>
          <w:rFonts w:eastAsiaTheme="minorEastAsia" w:hint="cs"/>
          <w:sz w:val="22"/>
          <w:szCs w:val="30"/>
          <w:rtl/>
          <w:lang w:eastAsia="zh-CN"/>
        </w:rPr>
        <w:t xml:space="preserve">محتوى التقرير النهائي المقدم إلى المجلس في دورته لعام </w:t>
      </w:r>
      <w:r w:rsidRPr="00565898">
        <w:rPr>
          <w:rFonts w:eastAsiaTheme="minorEastAsia"/>
          <w:sz w:val="22"/>
          <w:szCs w:val="30"/>
          <w:lang w:eastAsia="zh-CN"/>
        </w:rPr>
        <w:t>2018</w:t>
      </w:r>
    </w:p>
    <w:p w:rsidR="00352F17" w:rsidRPr="00DC1909" w:rsidRDefault="00352F17" w:rsidP="003E0903">
      <w:pPr>
        <w:tabs>
          <w:tab w:val="left" w:pos="2381"/>
          <w:tab w:val="center" w:pos="4819"/>
        </w:tabs>
        <w:rPr>
          <w:rtl/>
        </w:rPr>
      </w:pPr>
      <w:r w:rsidRPr="00DC1909">
        <w:rPr>
          <w:rFonts w:hint="cs"/>
          <w:rtl/>
        </w:rPr>
        <w:t>يجب أن يركز التقرير على تجميع المواقف والمقترحات المقدمة من الدول الأعضاء وأعضاء القطاعات ومديري المكاتب إذا لزم الأمر، وذلك بهدف إعداد وثيقة تحليلية موجزة لتسهيل القرار الذي سيتخذه مؤتمر المندوبين المفوضين</w:t>
      </w:r>
      <w:r w:rsidR="00EB1649">
        <w:rPr>
          <w:rFonts w:hint="cs"/>
          <w:rtl/>
        </w:rPr>
        <w:t xml:space="preserve"> لعام </w:t>
      </w:r>
      <w:r w:rsidR="00EB1649">
        <w:t>2018</w:t>
      </w:r>
      <w:r w:rsidRPr="00DC1909">
        <w:rPr>
          <w:rFonts w:hint="cs"/>
          <w:rtl/>
        </w:rPr>
        <w:t xml:space="preserve"> بشأن الحاجة إلى استعراض و/أو تعديل، حسب الاقتضاء، لوائح الاتصالات الدولية </w:t>
      </w:r>
      <w:r>
        <w:rPr>
          <w:rFonts w:hint="cs"/>
          <w:rtl/>
        </w:rPr>
        <w:t>ومن ثم</w:t>
      </w:r>
      <w:r w:rsidRPr="00DC1909">
        <w:rPr>
          <w:rFonts w:hint="cs"/>
          <w:rtl/>
        </w:rPr>
        <w:t xml:space="preserve"> بشأن ما </w:t>
      </w:r>
      <w:r w:rsidR="00F72CE4">
        <w:rPr>
          <w:rFonts w:hint="cs"/>
          <w:rtl/>
          <w:lang w:bidi="ar-EG"/>
        </w:rPr>
        <w:t xml:space="preserve">إذا </w:t>
      </w:r>
      <w:r w:rsidRPr="00DC1909">
        <w:rPr>
          <w:rFonts w:hint="cs"/>
          <w:rtl/>
        </w:rPr>
        <w:t xml:space="preserve">كان من الضروري أم لا عقد مؤتمر عالمي </w:t>
      </w:r>
      <w:r w:rsidR="001F128B">
        <w:rPr>
          <w:rFonts w:hint="cs"/>
          <w:rtl/>
        </w:rPr>
        <w:t>للاتصالات</w:t>
      </w:r>
      <w:r w:rsidR="00412AB1">
        <w:rPr>
          <w:rFonts w:hint="eastAsia"/>
          <w:rtl/>
        </w:rPr>
        <w:t> </w:t>
      </w:r>
      <w:r w:rsidRPr="00DC1909">
        <w:rPr>
          <w:rFonts w:hint="cs"/>
          <w:rtl/>
        </w:rPr>
        <w:t>الدولية.</w:t>
      </w:r>
    </w:p>
    <w:p w:rsidR="000E4FF0" w:rsidRDefault="00352F17" w:rsidP="00A861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rPr>
      </w:pPr>
      <w:r>
        <w:rPr>
          <w:rFonts w:hint="cs"/>
          <w:rtl/>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1B" w:rsidRDefault="00397A1B" w:rsidP="00E07379">
      <w:pPr>
        <w:spacing w:before="0" w:line="240" w:lineRule="auto"/>
      </w:pPr>
      <w:r>
        <w:separator/>
      </w:r>
    </w:p>
  </w:endnote>
  <w:endnote w:type="continuationSeparator" w:id="0">
    <w:p w:rsidR="00397A1B" w:rsidRDefault="00397A1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3E" w:rsidRPr="00476123" w:rsidRDefault="00ED3E3E" w:rsidP="00ED3E3E">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P:\ARA\SG\CONSEIL\EG-ITR-1\000\011REV1A.docx</w:t>
    </w:r>
    <w:r w:rsidRPr="00476123">
      <w:rPr>
        <w:rFonts w:cs="Calibri"/>
      </w:rPr>
      <w:fldChar w:fldCharType="end"/>
    </w:r>
    <w:r>
      <w:rPr>
        <w:rFonts w:cs="Calibri"/>
      </w:rPr>
      <w:t>   </w:t>
    </w:r>
    <w:r w:rsidRPr="00476123">
      <w:rPr>
        <w:rFonts w:cs="Calibri"/>
        <w:lang w:val="fr-FR"/>
      </w:rPr>
      <w:t>(</w:t>
    </w:r>
    <w:r>
      <w:rPr>
        <w:rFonts w:cs="Calibri"/>
        <w:lang w:val="fr-FR"/>
      </w:rPr>
      <w:t>411871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03.02.17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07.06.16</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ED3E3E">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ED3E3E">
      <w:rPr>
        <w:rFonts w:cs="Calibri"/>
        <w:noProof/>
        <w:lang w:val="fr-FR"/>
      </w:rPr>
      <w:t>P:\ARA\SG\CONSEIL\EG-ITR-1\000\011REV1A.docx</w:t>
    </w:r>
    <w:r w:rsidRPr="00476123">
      <w:rPr>
        <w:rFonts w:cs="Calibri"/>
      </w:rPr>
      <w:fldChar w:fldCharType="end"/>
    </w:r>
    <w:r w:rsidR="00ED3E3E">
      <w:rPr>
        <w:rFonts w:cs="Calibri"/>
      </w:rPr>
      <w:t>   </w:t>
    </w:r>
    <w:r w:rsidRPr="00476123">
      <w:rPr>
        <w:rFonts w:cs="Calibri"/>
        <w:lang w:val="fr-FR"/>
      </w:rPr>
      <w:t>(</w:t>
    </w:r>
    <w:r w:rsidR="00ED3E3E">
      <w:rPr>
        <w:rFonts w:cs="Calibri"/>
        <w:lang w:val="fr-FR"/>
      </w:rPr>
      <w:t>411871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ED3E3E">
      <w:rPr>
        <w:rFonts w:cs="Calibri"/>
        <w:noProof/>
        <w:lang w:val="fr-FR"/>
      </w:rPr>
      <w:t>03.02.17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ED3E3E">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1B" w:rsidRDefault="00397A1B" w:rsidP="00E07379">
      <w:pPr>
        <w:spacing w:before="0" w:line="240" w:lineRule="auto"/>
      </w:pPr>
      <w:r>
        <w:separator/>
      </w:r>
    </w:p>
  </w:footnote>
  <w:footnote w:type="continuationSeparator" w:id="0">
    <w:p w:rsidR="00397A1B" w:rsidRDefault="00397A1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C70138"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B233B6" w:rsidRPr="00B233B6">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1B"/>
    <w:rsid w:val="000124CC"/>
    <w:rsid w:val="000360E8"/>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F128B"/>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2F17"/>
    <w:rsid w:val="00357185"/>
    <w:rsid w:val="00397A1B"/>
    <w:rsid w:val="003C106D"/>
    <w:rsid w:val="003C475F"/>
    <w:rsid w:val="003E0903"/>
    <w:rsid w:val="003E4132"/>
    <w:rsid w:val="003F678F"/>
    <w:rsid w:val="0040501A"/>
    <w:rsid w:val="00412AB1"/>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6C1B"/>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4C9A"/>
    <w:rsid w:val="008B5B5D"/>
    <w:rsid w:val="00917694"/>
    <w:rsid w:val="009263CD"/>
    <w:rsid w:val="00930E6D"/>
    <w:rsid w:val="00972CA2"/>
    <w:rsid w:val="00976E18"/>
    <w:rsid w:val="00982B28"/>
    <w:rsid w:val="00984EA5"/>
    <w:rsid w:val="00992593"/>
    <w:rsid w:val="009C17E1"/>
    <w:rsid w:val="009C35ED"/>
    <w:rsid w:val="009F1C12"/>
    <w:rsid w:val="00A124CB"/>
    <w:rsid w:val="00A2167A"/>
    <w:rsid w:val="00A25A43"/>
    <w:rsid w:val="00A3295B"/>
    <w:rsid w:val="00A42AE5"/>
    <w:rsid w:val="00A52B61"/>
    <w:rsid w:val="00A5695F"/>
    <w:rsid w:val="00A64820"/>
    <w:rsid w:val="00A71DD6"/>
    <w:rsid w:val="00A723C7"/>
    <w:rsid w:val="00A80E11"/>
    <w:rsid w:val="00A8610D"/>
    <w:rsid w:val="00A97F94"/>
    <w:rsid w:val="00AA4093"/>
    <w:rsid w:val="00AB1309"/>
    <w:rsid w:val="00AC2C52"/>
    <w:rsid w:val="00AD1503"/>
    <w:rsid w:val="00AE7244"/>
    <w:rsid w:val="00AF3FEE"/>
    <w:rsid w:val="00B02F46"/>
    <w:rsid w:val="00B2000C"/>
    <w:rsid w:val="00B20ADE"/>
    <w:rsid w:val="00B233B6"/>
    <w:rsid w:val="00B23C4B"/>
    <w:rsid w:val="00B66B9A"/>
    <w:rsid w:val="00B82089"/>
    <w:rsid w:val="00B970AE"/>
    <w:rsid w:val="00BA1427"/>
    <w:rsid w:val="00BD0C50"/>
    <w:rsid w:val="00BE49D0"/>
    <w:rsid w:val="00BF2C38"/>
    <w:rsid w:val="00C033F1"/>
    <w:rsid w:val="00C1150E"/>
    <w:rsid w:val="00C21B8B"/>
    <w:rsid w:val="00C23331"/>
    <w:rsid w:val="00C265DA"/>
    <w:rsid w:val="00C442F2"/>
    <w:rsid w:val="00C674FE"/>
    <w:rsid w:val="00C70138"/>
    <w:rsid w:val="00C7297D"/>
    <w:rsid w:val="00C75633"/>
    <w:rsid w:val="00C8242E"/>
    <w:rsid w:val="00C82615"/>
    <w:rsid w:val="00C867DB"/>
    <w:rsid w:val="00CA2A38"/>
    <w:rsid w:val="00CA50FF"/>
    <w:rsid w:val="00CC3CD2"/>
    <w:rsid w:val="00CC43BE"/>
    <w:rsid w:val="00CD123C"/>
    <w:rsid w:val="00CD2085"/>
    <w:rsid w:val="00CD3B58"/>
    <w:rsid w:val="00CE2EE1"/>
    <w:rsid w:val="00CF0A46"/>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772D9"/>
    <w:rsid w:val="00E86CC9"/>
    <w:rsid w:val="00E96624"/>
    <w:rsid w:val="00EB1649"/>
    <w:rsid w:val="00ED3E3E"/>
    <w:rsid w:val="00F126F1"/>
    <w:rsid w:val="00F2106A"/>
    <w:rsid w:val="00F36D8B"/>
    <w:rsid w:val="00F401D0"/>
    <w:rsid w:val="00F45F2B"/>
    <w:rsid w:val="00F57AE4"/>
    <w:rsid w:val="00F655AB"/>
    <w:rsid w:val="00F67150"/>
    <w:rsid w:val="00F72CE4"/>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0B8C6-26FC-47F0-859E-4F2038EF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96b2e75-67fd-4955-a3b0-5ab9934cb50b"/>
    <ds:schemaRef ds:uri="http://purl.org/dc/elements/1.1/"/>
    <ds:schemaRef ds:uri="http://schemas.microsoft.com/office/infopath/2007/PartnerControls"/>
    <ds:schemaRef ds:uri="de10a323-94a9-4e93-88b4-ea964576960d"/>
    <ds:schemaRef ds:uri="http://www.w3.org/XML/1998/namespace"/>
  </ds:schemaRefs>
</ds:datastoreItem>
</file>

<file path=customXml/itemProps3.xml><?xml version="1.0" encoding="utf-8"?>
<ds:datastoreItem xmlns:ds="http://schemas.openxmlformats.org/officeDocument/2006/customXml" ds:itemID="{629F8DB8-E07A-4BCC-90EE-3CA612F9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79</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Awad, Samy</cp:lastModifiedBy>
  <cp:revision>25</cp:revision>
  <cp:lastPrinted>2016-06-07T13:25:00Z</cp:lastPrinted>
  <dcterms:created xsi:type="dcterms:W3CDTF">2017-02-03T08:29:00Z</dcterms:created>
  <dcterms:modified xsi:type="dcterms:W3CDTF">2017-02-03T09:49:00Z</dcterms:modified>
  <cp:category>Conference document</cp:category>
</cp:coreProperties>
</file>