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115" w:type="dxa"/>
        <w:tblLayout w:type="fixed"/>
        <w:tblLook w:val="0000" w:firstRow="0" w:lastRow="0" w:firstColumn="0" w:lastColumn="0" w:noHBand="0" w:noVBand="0"/>
      </w:tblPr>
      <w:tblGrid>
        <w:gridCol w:w="6487"/>
        <w:gridCol w:w="3544"/>
      </w:tblGrid>
      <w:tr w:rsidR="00BB3930" w14:paraId="4EBC07E0" w14:textId="77777777" w:rsidTr="006506AD">
        <w:tc>
          <w:tcPr>
            <w:tcW w:w="6487" w:type="dxa"/>
            <w:vAlign w:val="center"/>
          </w:tcPr>
          <w:p w14:paraId="4276C07F" w14:textId="77777777" w:rsidR="00BB3930" w:rsidRDefault="00BB3930" w:rsidP="006506AD">
            <w:pPr>
              <w:pStyle w:val="Normal1"/>
              <w:adjustRightInd w:val="0"/>
              <w:snapToGrid w:val="0"/>
              <w:spacing w:before="0"/>
            </w:pPr>
            <w:r>
              <w:rPr>
                <w:b/>
                <w:bCs/>
                <w:position w:val="6"/>
                <w:sz w:val="30"/>
                <w:szCs w:val="30"/>
              </w:rPr>
              <w:t>Expert Group on the International Telecommunication Regulations (EG-ITRs</w:t>
            </w:r>
            <w:r w:rsidRPr="001D2834">
              <w:rPr>
                <w:b/>
                <w:bCs/>
                <w:position w:val="6"/>
                <w:sz w:val="30"/>
                <w:szCs w:val="30"/>
              </w:rPr>
              <w:t>)</w:t>
            </w:r>
          </w:p>
        </w:tc>
        <w:tc>
          <w:tcPr>
            <w:tcW w:w="3544" w:type="dxa"/>
          </w:tcPr>
          <w:p w14:paraId="60C3B322" w14:textId="77777777" w:rsidR="00BB3930" w:rsidRDefault="00BB3930" w:rsidP="006506AD">
            <w:pPr>
              <w:pStyle w:val="Normal1"/>
              <w:spacing w:before="0"/>
            </w:pPr>
            <w:bookmarkStart w:id="0" w:name="h.30j0zll" w:colFirst="0" w:colLast="0"/>
            <w:bookmarkEnd w:id="0"/>
            <w:r>
              <w:rPr>
                <w:noProof/>
                <w:lang w:val="en-US" w:eastAsia="zh-CN"/>
              </w:rPr>
              <w:drawing>
                <wp:inline distT="0" distB="0" distL="0" distR="0" wp14:anchorId="68BBCEE6" wp14:editId="07FD3A48">
                  <wp:extent cx="1760220" cy="74676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760220" cy="746760"/>
                          </a:xfrm>
                          <a:prstGeom prst="rect">
                            <a:avLst/>
                          </a:prstGeom>
                          <a:ln/>
                        </pic:spPr>
                      </pic:pic>
                    </a:graphicData>
                  </a:graphic>
                </wp:inline>
              </w:drawing>
            </w:r>
          </w:p>
        </w:tc>
      </w:tr>
      <w:tr w:rsidR="00BB3930" w14:paraId="7057C94C" w14:textId="77777777" w:rsidTr="006506AD">
        <w:tc>
          <w:tcPr>
            <w:tcW w:w="6487" w:type="dxa"/>
            <w:tcBorders>
              <w:bottom w:val="single" w:sz="12" w:space="0" w:color="000000"/>
            </w:tcBorders>
          </w:tcPr>
          <w:p w14:paraId="1E870521" w14:textId="77777777" w:rsidR="00BB3930" w:rsidRDefault="00BB3930" w:rsidP="006506AD">
            <w:pPr>
              <w:pStyle w:val="Normal1"/>
              <w:spacing w:before="0"/>
            </w:pPr>
            <w:r>
              <w:rPr>
                <w:b/>
              </w:rPr>
              <w:t xml:space="preserve">First meeting – Geneva, 9-10 February 2017 </w:t>
            </w:r>
          </w:p>
        </w:tc>
        <w:tc>
          <w:tcPr>
            <w:tcW w:w="3544" w:type="dxa"/>
            <w:tcBorders>
              <w:bottom w:val="single" w:sz="12" w:space="0" w:color="000000"/>
            </w:tcBorders>
          </w:tcPr>
          <w:p w14:paraId="3CDC73EB" w14:textId="77777777" w:rsidR="00BB3930" w:rsidRDefault="00BB3930" w:rsidP="006506AD">
            <w:pPr>
              <w:pStyle w:val="Normal1"/>
              <w:spacing w:before="0"/>
            </w:pPr>
          </w:p>
        </w:tc>
      </w:tr>
      <w:tr w:rsidR="00BB3930" w14:paraId="55012C40" w14:textId="77777777" w:rsidTr="006506AD">
        <w:tc>
          <w:tcPr>
            <w:tcW w:w="6487" w:type="dxa"/>
            <w:tcBorders>
              <w:top w:val="single" w:sz="12" w:space="0" w:color="000000"/>
            </w:tcBorders>
          </w:tcPr>
          <w:p w14:paraId="72D25B06" w14:textId="77777777" w:rsidR="00BB3930" w:rsidRDefault="00BB3930" w:rsidP="006506AD">
            <w:pPr>
              <w:pStyle w:val="Normal1"/>
              <w:spacing w:before="0"/>
            </w:pPr>
          </w:p>
        </w:tc>
        <w:tc>
          <w:tcPr>
            <w:tcW w:w="3544" w:type="dxa"/>
            <w:tcBorders>
              <w:top w:val="single" w:sz="12" w:space="0" w:color="000000"/>
            </w:tcBorders>
          </w:tcPr>
          <w:p w14:paraId="0AFADD1C" w14:textId="77777777" w:rsidR="00BB3930" w:rsidRDefault="00BB3930" w:rsidP="006506AD">
            <w:pPr>
              <w:pStyle w:val="Normal1"/>
              <w:spacing w:before="0"/>
            </w:pPr>
          </w:p>
        </w:tc>
      </w:tr>
      <w:tr w:rsidR="00BB3930" w:rsidRPr="006E7A0C" w14:paraId="3CECCE5B" w14:textId="77777777" w:rsidTr="006506AD">
        <w:trPr>
          <w:trHeight w:val="20"/>
        </w:trPr>
        <w:tc>
          <w:tcPr>
            <w:tcW w:w="6487" w:type="dxa"/>
            <w:vMerge w:val="restart"/>
          </w:tcPr>
          <w:p w14:paraId="290B6C1E" w14:textId="77777777" w:rsidR="00BB3930" w:rsidRDefault="00BB3930" w:rsidP="006506AD">
            <w:pPr>
              <w:pStyle w:val="Normal1"/>
              <w:tabs>
                <w:tab w:val="left" w:pos="851"/>
              </w:tabs>
              <w:spacing w:before="0"/>
            </w:pPr>
          </w:p>
        </w:tc>
        <w:tc>
          <w:tcPr>
            <w:tcW w:w="3544" w:type="dxa"/>
          </w:tcPr>
          <w:p w14:paraId="363F7EB6" w14:textId="05FA0C83" w:rsidR="00BB3930" w:rsidRPr="009C773C" w:rsidRDefault="0043115D" w:rsidP="00024E46">
            <w:pPr>
              <w:pStyle w:val="Normal1"/>
              <w:tabs>
                <w:tab w:val="left" w:pos="851"/>
              </w:tabs>
            </w:pPr>
            <w:r>
              <w:rPr>
                <w:b/>
              </w:rPr>
              <w:t>Revision 1 to</w:t>
            </w:r>
            <w:r>
              <w:rPr>
                <w:b/>
              </w:rPr>
              <w:br/>
            </w:r>
            <w:r w:rsidR="00024E46" w:rsidRPr="005476DB">
              <w:rPr>
                <w:b/>
              </w:rPr>
              <w:t xml:space="preserve">Document </w:t>
            </w:r>
            <w:r w:rsidR="00024E46">
              <w:rPr>
                <w:b/>
                <w:lang w:val="de-CH"/>
              </w:rPr>
              <w:t>E</w:t>
            </w:r>
            <w:r w:rsidR="00024E46" w:rsidRPr="005476DB">
              <w:rPr>
                <w:b/>
                <w:lang w:val="de-CH"/>
              </w:rPr>
              <w:t>G-I</w:t>
            </w:r>
            <w:r w:rsidR="00024E46">
              <w:rPr>
                <w:b/>
                <w:lang w:val="de-CH"/>
              </w:rPr>
              <w:t>TRs</w:t>
            </w:r>
            <w:r w:rsidR="00024E46" w:rsidRPr="005476DB">
              <w:rPr>
                <w:b/>
                <w:lang w:val="de-CH"/>
              </w:rPr>
              <w:t xml:space="preserve"> </w:t>
            </w:r>
            <w:r w:rsidR="00024E46">
              <w:rPr>
                <w:b/>
                <w:lang w:val="de-CH"/>
              </w:rPr>
              <w:t>1</w:t>
            </w:r>
            <w:r w:rsidR="00024E46" w:rsidRPr="005476DB">
              <w:rPr>
                <w:b/>
                <w:lang w:val="de-CH"/>
              </w:rPr>
              <w:t>/</w:t>
            </w:r>
            <w:r w:rsidR="00024E46">
              <w:rPr>
                <w:b/>
                <w:lang w:val="de-CH"/>
              </w:rPr>
              <w:t>10-E</w:t>
            </w:r>
          </w:p>
        </w:tc>
      </w:tr>
      <w:tr w:rsidR="00BB3930" w14:paraId="107D7184" w14:textId="77777777" w:rsidTr="006506AD">
        <w:trPr>
          <w:trHeight w:val="20"/>
        </w:trPr>
        <w:tc>
          <w:tcPr>
            <w:tcW w:w="6487" w:type="dxa"/>
            <w:vMerge/>
          </w:tcPr>
          <w:p w14:paraId="63B54269" w14:textId="77777777" w:rsidR="00BB3930" w:rsidRPr="006E7A0C" w:rsidRDefault="00BB3930" w:rsidP="006506AD">
            <w:pPr>
              <w:pStyle w:val="Normal1"/>
              <w:tabs>
                <w:tab w:val="left" w:pos="851"/>
              </w:tabs>
              <w:rPr>
                <w:lang w:val="nl-NL"/>
                <w:rPrChange w:id="1" w:author="Kuznetsova, Elena" w:date="2017-01-25T10:48:00Z">
                  <w:rPr/>
                </w:rPrChange>
              </w:rPr>
            </w:pPr>
          </w:p>
        </w:tc>
        <w:tc>
          <w:tcPr>
            <w:tcW w:w="3544" w:type="dxa"/>
          </w:tcPr>
          <w:p w14:paraId="3BC1AFAE" w14:textId="03A41EF4" w:rsidR="00BB3930" w:rsidRDefault="0043115D" w:rsidP="002234B3">
            <w:pPr>
              <w:pStyle w:val="Normal1"/>
              <w:tabs>
                <w:tab w:val="left" w:pos="993"/>
              </w:tabs>
              <w:spacing w:before="0"/>
            </w:pPr>
            <w:r>
              <w:rPr>
                <w:b/>
              </w:rPr>
              <w:t>13 September</w:t>
            </w:r>
            <w:bookmarkStart w:id="2" w:name="_GoBack"/>
            <w:bookmarkEnd w:id="2"/>
            <w:r w:rsidR="002234B3">
              <w:rPr>
                <w:b/>
              </w:rPr>
              <w:t xml:space="preserve"> </w:t>
            </w:r>
            <w:r w:rsidR="00BB3930">
              <w:rPr>
                <w:b/>
              </w:rPr>
              <w:t>2017</w:t>
            </w:r>
          </w:p>
        </w:tc>
      </w:tr>
      <w:tr w:rsidR="00BB3930" w14:paraId="5B8D1C84" w14:textId="77777777" w:rsidTr="006506AD">
        <w:trPr>
          <w:trHeight w:val="20"/>
        </w:trPr>
        <w:tc>
          <w:tcPr>
            <w:tcW w:w="6487" w:type="dxa"/>
            <w:vMerge/>
          </w:tcPr>
          <w:p w14:paraId="37789D7C" w14:textId="77777777" w:rsidR="00BB3930" w:rsidRDefault="00BB3930" w:rsidP="006506AD">
            <w:pPr>
              <w:pStyle w:val="Normal1"/>
              <w:tabs>
                <w:tab w:val="left" w:pos="851"/>
              </w:tabs>
            </w:pPr>
          </w:p>
        </w:tc>
        <w:tc>
          <w:tcPr>
            <w:tcW w:w="3544" w:type="dxa"/>
          </w:tcPr>
          <w:p w14:paraId="293E714B" w14:textId="345AE0AD" w:rsidR="00BB3930" w:rsidRDefault="002234B3" w:rsidP="006506AD">
            <w:pPr>
              <w:pStyle w:val="Normal1"/>
              <w:tabs>
                <w:tab w:val="left" w:pos="993"/>
              </w:tabs>
              <w:spacing w:before="0"/>
            </w:pPr>
            <w:r>
              <w:rPr>
                <w:b/>
              </w:rPr>
              <w:t xml:space="preserve">Original: </w:t>
            </w:r>
            <w:r w:rsidR="00BB3930">
              <w:rPr>
                <w:b/>
              </w:rPr>
              <w:t xml:space="preserve">English </w:t>
            </w:r>
          </w:p>
        </w:tc>
      </w:tr>
      <w:tr w:rsidR="00BB3930" w:rsidRPr="008928ED" w14:paraId="43EC5931" w14:textId="77777777" w:rsidTr="006506AD">
        <w:trPr>
          <w:trHeight w:val="20"/>
        </w:trPr>
        <w:tc>
          <w:tcPr>
            <w:tcW w:w="10031" w:type="dxa"/>
            <w:gridSpan w:val="2"/>
          </w:tcPr>
          <w:p w14:paraId="4F8BDEBA" w14:textId="251837B3" w:rsidR="00BB3930" w:rsidRPr="0043115D" w:rsidRDefault="0043115D" w:rsidP="0043115D">
            <w:pPr>
              <w:pStyle w:val="Source"/>
              <w:rPr>
                <w:rFonts w:asciiTheme="minorHAnsi" w:hAnsiTheme="minorHAnsi" w:cs="Times New Roman"/>
                <w:b/>
                <w:bCs/>
                <w:sz w:val="28"/>
                <w:szCs w:val="28"/>
              </w:rPr>
            </w:pPr>
            <w:r w:rsidRPr="0043115D">
              <w:rPr>
                <w:b/>
                <w:bCs/>
                <w:sz w:val="28"/>
                <w:szCs w:val="28"/>
              </w:rPr>
              <w:t>VEON Ltd</w:t>
            </w:r>
          </w:p>
        </w:tc>
      </w:tr>
      <w:tr w:rsidR="00BB3930" w:rsidRPr="008928ED" w14:paraId="285EA664" w14:textId="77777777" w:rsidTr="006506AD">
        <w:trPr>
          <w:trHeight w:val="20"/>
        </w:trPr>
        <w:tc>
          <w:tcPr>
            <w:tcW w:w="10031" w:type="dxa"/>
            <w:gridSpan w:val="2"/>
          </w:tcPr>
          <w:p w14:paraId="5D267B8D" w14:textId="2913835E" w:rsidR="00BB3930" w:rsidRPr="001C0870" w:rsidRDefault="00BB3930" w:rsidP="00FB2170">
            <w:pPr>
              <w:pStyle w:val="Title1"/>
              <w:rPr>
                <w:caps/>
              </w:rPr>
            </w:pPr>
            <w:r w:rsidRPr="001C0870">
              <w:rPr>
                <w:caps/>
              </w:rPr>
              <w:t>Review of the International Telecommunication Regulations</w:t>
            </w:r>
            <w:r w:rsidR="000D1A54">
              <w:rPr>
                <w:caps/>
              </w:rPr>
              <w:t xml:space="preserve">: </w:t>
            </w:r>
            <w:r w:rsidR="00FB2170">
              <w:rPr>
                <w:caps/>
              </w:rPr>
              <w:t>APPLICATION</w:t>
            </w:r>
            <w:r w:rsidR="000D1A54">
              <w:rPr>
                <w:caps/>
              </w:rPr>
              <w:t xml:space="preserve"> OF ARTICLE 8.3 of itrs 2012 and ARTICLE 6.13 of ITRs 1988</w:t>
            </w:r>
            <w:r w:rsidRPr="001C0870">
              <w:rPr>
                <w:caps/>
              </w:rPr>
              <w:t xml:space="preserve">  </w:t>
            </w:r>
          </w:p>
        </w:tc>
      </w:tr>
    </w:tbl>
    <w:p w14:paraId="52221FD2" w14:textId="77777777" w:rsidR="00BB3930" w:rsidRPr="008928ED" w:rsidRDefault="00BB3930" w:rsidP="00BB3930">
      <w:pPr>
        <w:pStyle w:val="Normal1"/>
        <w:tabs>
          <w:tab w:val="left" w:pos="1418"/>
        </w:tabs>
        <w:spacing w:before="160"/>
        <w:rPr>
          <w:rFonts w:ascii="Times New Roman" w:hAnsi="Times New Roman" w:cs="Times New Roman"/>
          <w:b/>
          <w:sz w:val="22"/>
          <w:szCs w:val="22"/>
        </w:rPr>
      </w:pPr>
      <w:bookmarkStart w:id="3" w:name="h.erbxq0yh2qlt" w:colFirst="0" w:colLast="0"/>
      <w:bookmarkEnd w:id="3"/>
    </w:p>
    <w:p w14:paraId="022B9ECC" w14:textId="77777777" w:rsidR="00BB3930" w:rsidRPr="001C0870" w:rsidRDefault="00BB3930" w:rsidP="00930CB5">
      <w:pPr>
        <w:pStyle w:val="Normal1"/>
        <w:numPr>
          <w:ilvl w:val="0"/>
          <w:numId w:val="1"/>
        </w:numPr>
        <w:tabs>
          <w:tab w:val="left" w:pos="1418"/>
        </w:tabs>
        <w:spacing w:before="160"/>
        <w:rPr>
          <w:rFonts w:asciiTheme="minorHAnsi" w:hAnsiTheme="minorHAnsi" w:cs="Times New Roman"/>
          <w:b/>
        </w:rPr>
      </w:pPr>
      <w:r w:rsidRPr="00930CB5">
        <w:rPr>
          <w:rFonts w:asciiTheme="minorHAnsi" w:hAnsiTheme="minorHAnsi" w:cs="Times New Roman"/>
          <w:b/>
          <w:sz w:val="22"/>
          <w:szCs w:val="22"/>
        </w:rPr>
        <w:t>Introduction</w:t>
      </w:r>
    </w:p>
    <w:p w14:paraId="7E10A322" w14:textId="73493CAB" w:rsidR="000D1A54" w:rsidRDefault="0043115D" w:rsidP="0043115D">
      <w:pPr>
        <w:pStyle w:val="Normal1"/>
        <w:tabs>
          <w:tab w:val="left" w:pos="1418"/>
        </w:tabs>
        <w:spacing w:before="160"/>
        <w:rPr>
          <w:rFonts w:asciiTheme="minorHAnsi" w:hAnsiTheme="minorHAnsi" w:cs="Times New Roman"/>
          <w:sz w:val="22"/>
          <w:szCs w:val="22"/>
        </w:rPr>
      </w:pPr>
      <w:r w:rsidRPr="0043115D">
        <w:rPr>
          <w:rFonts w:asciiTheme="minorHAnsi" w:hAnsiTheme="minorHAnsi" w:cs="Times New Roman"/>
          <w:sz w:val="22"/>
          <w:szCs w:val="22"/>
        </w:rPr>
        <w:t>VEON Ltd</w:t>
      </w:r>
      <w:r w:rsidRPr="0043115D">
        <w:rPr>
          <w:rFonts w:asciiTheme="minorHAnsi" w:hAnsiTheme="minorHAnsi" w:cs="Times New Roman"/>
          <w:sz w:val="22"/>
          <w:szCs w:val="22"/>
        </w:rPr>
        <w:t>.</w:t>
      </w:r>
      <w:r w:rsidR="000D1A54">
        <w:rPr>
          <w:rFonts w:asciiTheme="minorHAnsi" w:hAnsiTheme="minorHAnsi" w:cs="Times New Roman"/>
          <w:sz w:val="22"/>
          <w:szCs w:val="22"/>
        </w:rPr>
        <w:t xml:space="preserve">, an ITU-T and ITU-D Sector Member, is pleased to present its contribution to the Expert Group on the International Telecommunication Regulations (EG-ITRs). </w:t>
      </w:r>
    </w:p>
    <w:p w14:paraId="0C16E0EA" w14:textId="2EFEF4DE" w:rsidR="000D1A54" w:rsidRDefault="0043115D" w:rsidP="00BB3930">
      <w:pPr>
        <w:pStyle w:val="Normal1"/>
        <w:tabs>
          <w:tab w:val="left" w:pos="1418"/>
        </w:tabs>
        <w:spacing w:before="160"/>
        <w:rPr>
          <w:rFonts w:asciiTheme="minorHAnsi" w:hAnsiTheme="minorHAnsi" w:cs="Times New Roman"/>
          <w:sz w:val="22"/>
          <w:szCs w:val="22"/>
        </w:rPr>
      </w:pPr>
      <w:r w:rsidRPr="0043115D">
        <w:rPr>
          <w:rFonts w:asciiTheme="minorHAnsi" w:hAnsiTheme="minorHAnsi" w:cs="Times New Roman"/>
          <w:sz w:val="22"/>
          <w:szCs w:val="22"/>
        </w:rPr>
        <w:t>VEON Ltd</w:t>
      </w:r>
      <w:r w:rsidR="000D1A54">
        <w:rPr>
          <w:rFonts w:asciiTheme="minorHAnsi" w:hAnsiTheme="minorHAnsi" w:cs="Times New Roman"/>
          <w:sz w:val="22"/>
          <w:szCs w:val="22"/>
        </w:rPr>
        <w:t xml:space="preserve"> is an international communications and technology company with headquarters in Amsterdam. It serves </w:t>
      </w:r>
      <w:r w:rsidR="00F90453">
        <w:rPr>
          <w:rFonts w:asciiTheme="minorHAnsi" w:hAnsiTheme="minorHAnsi" w:cs="Times New Roman"/>
          <w:sz w:val="22"/>
          <w:szCs w:val="22"/>
        </w:rPr>
        <w:t xml:space="preserve">over 200 million </w:t>
      </w:r>
      <w:r w:rsidR="000D1A54">
        <w:rPr>
          <w:rFonts w:asciiTheme="minorHAnsi" w:hAnsiTheme="minorHAnsi" w:cs="Times New Roman"/>
          <w:sz w:val="22"/>
          <w:szCs w:val="22"/>
        </w:rPr>
        <w:t xml:space="preserve">users across 13, mainly emerging, markets (Algeria, Armenia, Bangladesh, Georgia, Italy, Kazakhstan, Kyrgyzstan, Laos, Pakistan, Russia, Tajikistan, Ukraine and Uzbekistan). </w:t>
      </w:r>
    </w:p>
    <w:p w14:paraId="5D8483E8" w14:textId="71B675C2" w:rsidR="000D1A54" w:rsidRDefault="000D1A54" w:rsidP="00BB3930">
      <w:pPr>
        <w:pStyle w:val="Normal1"/>
        <w:tabs>
          <w:tab w:val="left" w:pos="1418"/>
        </w:tabs>
        <w:spacing w:before="160"/>
        <w:rPr>
          <w:rFonts w:asciiTheme="minorHAnsi" w:hAnsiTheme="minorHAnsi" w:cs="Times New Roman"/>
          <w:sz w:val="22"/>
          <w:szCs w:val="22"/>
        </w:rPr>
      </w:pPr>
      <w:r>
        <w:rPr>
          <w:rFonts w:asciiTheme="minorHAnsi" w:hAnsiTheme="minorHAnsi" w:cs="Times New Roman"/>
          <w:sz w:val="22"/>
          <w:szCs w:val="22"/>
        </w:rPr>
        <w:t xml:space="preserve">We believe that certainty, predictability and uniform application of international rules governing commercial activities are crucial in creating </w:t>
      </w:r>
      <w:r w:rsidR="00FB2170">
        <w:rPr>
          <w:rFonts w:asciiTheme="minorHAnsi" w:hAnsiTheme="minorHAnsi" w:cs="Times New Roman"/>
          <w:sz w:val="22"/>
          <w:szCs w:val="22"/>
        </w:rPr>
        <w:t xml:space="preserve">a </w:t>
      </w:r>
      <w:r>
        <w:rPr>
          <w:rFonts w:asciiTheme="minorHAnsi" w:hAnsiTheme="minorHAnsi" w:cs="Times New Roman"/>
          <w:sz w:val="22"/>
          <w:szCs w:val="22"/>
        </w:rPr>
        <w:t>favourab</w:t>
      </w:r>
      <w:r w:rsidR="00FB2170">
        <w:rPr>
          <w:rFonts w:asciiTheme="minorHAnsi" w:hAnsiTheme="minorHAnsi" w:cs="Times New Roman"/>
          <w:sz w:val="22"/>
          <w:szCs w:val="22"/>
        </w:rPr>
        <w:t>le investment environment necessary</w:t>
      </w:r>
      <w:r>
        <w:rPr>
          <w:rFonts w:asciiTheme="minorHAnsi" w:hAnsiTheme="minorHAnsi" w:cs="Times New Roman"/>
          <w:sz w:val="22"/>
          <w:szCs w:val="22"/>
        </w:rPr>
        <w:t xml:space="preserve"> to expand connectivity to everyone. Framework for taxation of international telecommunication services set out in Article 8.3 of the International Telecommunication Regulations of 2012 (ITRs 2012) identically to Article 6.13 of the International Telecommunication Regulations of 1988 (ITRs 1988) constitutes part of such rules and states that:</w:t>
      </w:r>
    </w:p>
    <w:p w14:paraId="230A820C" w14:textId="22B31813" w:rsidR="000D1A54" w:rsidRPr="000D1A54" w:rsidRDefault="000D1A54" w:rsidP="000D1A54">
      <w:pPr>
        <w:pStyle w:val="Normal1"/>
        <w:tabs>
          <w:tab w:val="left" w:pos="1418"/>
        </w:tabs>
        <w:spacing w:before="160"/>
        <w:ind w:left="540"/>
        <w:rPr>
          <w:rFonts w:asciiTheme="minorHAnsi" w:hAnsiTheme="minorHAnsi" w:cs="Times New Roman"/>
          <w:i/>
          <w:sz w:val="22"/>
          <w:szCs w:val="22"/>
        </w:rPr>
      </w:pPr>
      <w:r w:rsidRPr="000D1A54">
        <w:rPr>
          <w:rFonts w:asciiTheme="minorHAnsi" w:hAnsiTheme="minorHAnsi" w:cs="Times New Roman"/>
          <w:i/>
          <w:sz w:val="22"/>
          <w:szCs w:val="22"/>
        </w:rPr>
        <w: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t>
      </w:r>
    </w:p>
    <w:p w14:paraId="77251D78" w14:textId="0798731E" w:rsidR="000D1A54" w:rsidRPr="00182F13" w:rsidRDefault="000D1A54" w:rsidP="00182F13">
      <w:pPr>
        <w:pStyle w:val="CommentText"/>
      </w:pPr>
      <w:r>
        <w:rPr>
          <w:rFonts w:asciiTheme="minorHAnsi" w:hAnsiTheme="minorHAnsi" w:cs="Times New Roman"/>
          <w:sz w:val="22"/>
          <w:szCs w:val="22"/>
        </w:rPr>
        <w:t xml:space="preserve">These provisions remain applicable and relevant in the rapidly evolving international telecommunication environment. Regretfully, due to misunderstandings in legal </w:t>
      </w:r>
      <w:r w:rsidR="00182F13" w:rsidRPr="00182F13">
        <w:rPr>
          <w:rFonts w:asciiTheme="minorHAnsi" w:hAnsiTheme="minorHAnsi" w:cs="Times New Roman"/>
          <w:sz w:val="22"/>
          <w:szCs w:val="22"/>
        </w:rPr>
        <w:t>interpretation at the national level</w:t>
      </w:r>
      <w:r>
        <w:rPr>
          <w:rFonts w:asciiTheme="minorHAnsi" w:hAnsiTheme="minorHAnsi" w:cs="Times New Roman"/>
          <w:sz w:val="22"/>
          <w:szCs w:val="22"/>
        </w:rPr>
        <w:t>, an inconsistent application of these provisions by a number of ITU Member States significantly and unpredictably increases costs to operating agencies leading to operational difficulties and constrained investment.</w:t>
      </w:r>
    </w:p>
    <w:p w14:paraId="2C874A1D" w14:textId="32B00E77" w:rsidR="000D1A54" w:rsidRDefault="000D1A54" w:rsidP="000D1A54">
      <w:pPr>
        <w:pStyle w:val="Normal1"/>
        <w:numPr>
          <w:ilvl w:val="0"/>
          <w:numId w:val="1"/>
        </w:numPr>
        <w:tabs>
          <w:tab w:val="left" w:pos="1418"/>
        </w:tabs>
        <w:spacing w:before="160"/>
        <w:rPr>
          <w:rFonts w:asciiTheme="minorHAnsi" w:hAnsiTheme="minorHAnsi" w:cs="Times New Roman"/>
          <w:b/>
          <w:sz w:val="22"/>
          <w:szCs w:val="22"/>
        </w:rPr>
      </w:pPr>
      <w:r>
        <w:rPr>
          <w:rFonts w:asciiTheme="minorHAnsi" w:hAnsiTheme="minorHAnsi" w:cs="Times New Roman"/>
          <w:b/>
          <w:sz w:val="22"/>
          <w:szCs w:val="22"/>
        </w:rPr>
        <w:t>Application of Article 8.3 of ITRs 2012 and Article 6.12 of ITRs 1988</w:t>
      </w:r>
    </w:p>
    <w:p w14:paraId="5D3316C5" w14:textId="58EF3C2C" w:rsidR="000D1A54" w:rsidRDefault="000D1A54" w:rsidP="000D1A54">
      <w:pPr>
        <w:pStyle w:val="Normal1"/>
        <w:tabs>
          <w:tab w:val="left" w:pos="1418"/>
        </w:tabs>
        <w:spacing w:before="160"/>
        <w:rPr>
          <w:rFonts w:asciiTheme="minorHAnsi" w:hAnsiTheme="minorHAnsi" w:cs="Times New Roman"/>
          <w:sz w:val="22"/>
          <w:szCs w:val="22"/>
        </w:rPr>
      </w:pPr>
      <w:r w:rsidRPr="000D1A54">
        <w:rPr>
          <w:rFonts w:asciiTheme="minorHAnsi" w:hAnsiTheme="minorHAnsi" w:cs="Times New Roman"/>
          <w:sz w:val="22"/>
          <w:szCs w:val="22"/>
        </w:rPr>
        <w:t xml:space="preserve">A number </w:t>
      </w:r>
      <w:r>
        <w:rPr>
          <w:rFonts w:asciiTheme="minorHAnsi" w:hAnsiTheme="minorHAnsi" w:cs="Times New Roman"/>
          <w:sz w:val="22"/>
          <w:szCs w:val="22"/>
        </w:rPr>
        <w:t>of countries, in which we operate, do not apply Article 8.3 of ITRs 2012 and Article 6.12 of ITRs 1988 despite their international commitments to do so. For example:</w:t>
      </w:r>
    </w:p>
    <w:p w14:paraId="71D4DBB2" w14:textId="6334566B" w:rsidR="00BB7E8A" w:rsidRPr="009C773C" w:rsidRDefault="00165F4B" w:rsidP="0043115D">
      <w:pPr>
        <w:pStyle w:val="Normal1"/>
        <w:numPr>
          <w:ilvl w:val="0"/>
          <w:numId w:val="13"/>
        </w:numPr>
        <w:tabs>
          <w:tab w:val="clear" w:pos="567"/>
          <w:tab w:val="left" w:pos="720"/>
          <w:tab w:val="left" w:pos="1418"/>
        </w:tabs>
        <w:spacing w:before="160"/>
        <w:rPr>
          <w:rFonts w:asciiTheme="minorHAnsi" w:hAnsiTheme="minorHAnsi" w:cs="Times New Roman"/>
          <w:sz w:val="22"/>
          <w:szCs w:val="22"/>
        </w:rPr>
      </w:pPr>
      <w:r>
        <w:rPr>
          <w:rFonts w:asciiTheme="minorHAnsi" w:hAnsiTheme="minorHAnsi" w:cs="Times New Roman"/>
          <w:sz w:val="22"/>
          <w:szCs w:val="22"/>
        </w:rPr>
        <w:t>The Kyrgyz Republic</w:t>
      </w:r>
      <w:r w:rsidR="000D1A54" w:rsidRPr="00BB7E8A">
        <w:rPr>
          <w:rFonts w:asciiTheme="minorHAnsi" w:hAnsiTheme="minorHAnsi" w:cs="Times New Roman"/>
          <w:sz w:val="22"/>
          <w:szCs w:val="22"/>
        </w:rPr>
        <w:t xml:space="preserve"> is a signatory of ITRs 2012. As per </w:t>
      </w:r>
      <w:r w:rsidR="007C7692" w:rsidRPr="00BB7E8A">
        <w:rPr>
          <w:rFonts w:asciiTheme="minorHAnsi" w:hAnsiTheme="minorHAnsi" w:cs="Times New Roman"/>
          <w:sz w:val="22"/>
          <w:szCs w:val="22"/>
        </w:rPr>
        <w:t xml:space="preserve">Article 14 of ITRs 2012 together with Article 54 of the ITU Constitution, ITRs 2012 are provisionally applicable to </w:t>
      </w:r>
      <w:r>
        <w:rPr>
          <w:rFonts w:asciiTheme="minorHAnsi" w:hAnsiTheme="minorHAnsi" w:cs="Times New Roman"/>
          <w:sz w:val="22"/>
          <w:szCs w:val="22"/>
        </w:rPr>
        <w:t>the Kyrgyz Republic</w:t>
      </w:r>
      <w:r w:rsidR="007C7692" w:rsidRPr="00BB7E8A">
        <w:rPr>
          <w:rFonts w:asciiTheme="minorHAnsi" w:hAnsiTheme="minorHAnsi" w:cs="Times New Roman"/>
          <w:sz w:val="22"/>
          <w:szCs w:val="22"/>
        </w:rPr>
        <w:t xml:space="preserve"> as from 1 January 2015. Furthermore, </w:t>
      </w:r>
      <w:r>
        <w:rPr>
          <w:rFonts w:asciiTheme="minorHAnsi" w:hAnsiTheme="minorHAnsi" w:cs="Times New Roman"/>
          <w:sz w:val="22"/>
          <w:szCs w:val="22"/>
        </w:rPr>
        <w:t xml:space="preserve">the Kyrgyz Republic </w:t>
      </w:r>
      <w:r w:rsidR="007C7692" w:rsidRPr="00BB7E8A">
        <w:rPr>
          <w:rFonts w:asciiTheme="minorHAnsi" w:hAnsiTheme="minorHAnsi" w:cs="Times New Roman"/>
          <w:i/>
          <w:sz w:val="22"/>
          <w:szCs w:val="22"/>
        </w:rPr>
        <w:t>ipso facto</w:t>
      </w:r>
      <w:r w:rsidR="007C7692" w:rsidRPr="00BB7E8A">
        <w:rPr>
          <w:rFonts w:asciiTheme="minorHAnsi" w:hAnsiTheme="minorHAnsi" w:cs="Times New Roman"/>
          <w:sz w:val="22"/>
          <w:szCs w:val="22"/>
        </w:rPr>
        <w:t xml:space="preserve"> committed to </w:t>
      </w:r>
      <w:r w:rsidR="007C7692" w:rsidRPr="00BB7E8A">
        <w:rPr>
          <w:rFonts w:asciiTheme="minorHAnsi" w:hAnsiTheme="minorHAnsi" w:cs="Times New Roman"/>
          <w:sz w:val="22"/>
          <w:szCs w:val="22"/>
        </w:rPr>
        <w:lastRenderedPageBreak/>
        <w:t xml:space="preserve">ITRs 1988 as from </w:t>
      </w:r>
      <w:r w:rsidR="00F90453">
        <w:rPr>
          <w:rFonts w:asciiTheme="minorHAnsi" w:hAnsiTheme="minorHAnsi" w:cs="Times New Roman"/>
          <w:sz w:val="22"/>
          <w:szCs w:val="22"/>
        </w:rPr>
        <w:t>5</w:t>
      </w:r>
      <w:r w:rsidR="00F90453" w:rsidRPr="00F90453">
        <w:rPr>
          <w:rFonts w:asciiTheme="minorHAnsi" w:hAnsiTheme="minorHAnsi" w:cs="Times New Roman"/>
          <w:sz w:val="22"/>
          <w:szCs w:val="22"/>
          <w:vertAlign w:val="superscript"/>
        </w:rPr>
        <w:t>th</w:t>
      </w:r>
      <w:r w:rsidR="00F90453">
        <w:rPr>
          <w:rFonts w:asciiTheme="minorHAnsi" w:hAnsiTheme="minorHAnsi" w:cs="Times New Roman"/>
          <w:sz w:val="22"/>
          <w:szCs w:val="22"/>
        </w:rPr>
        <w:t xml:space="preserve"> September </w:t>
      </w:r>
      <w:r w:rsidR="009B02DE" w:rsidRPr="001F69B1">
        <w:rPr>
          <w:rFonts w:asciiTheme="minorHAnsi" w:hAnsiTheme="minorHAnsi" w:cs="Times New Roman"/>
          <w:sz w:val="22"/>
          <w:szCs w:val="22"/>
        </w:rPr>
        <w:t xml:space="preserve">1994 </w:t>
      </w:r>
      <w:r w:rsidR="005B57DD">
        <w:rPr>
          <w:rFonts w:asciiTheme="minorHAnsi" w:hAnsiTheme="minorHAnsi" w:cs="Times New Roman"/>
          <w:sz w:val="22"/>
          <w:szCs w:val="22"/>
        </w:rPr>
        <w:t>when it acceded to the Constitution and Convention of the ITU (Article 54 (2) of the ITU Constitution)</w:t>
      </w:r>
      <w:r w:rsidR="007C7692" w:rsidRPr="00BB7E8A">
        <w:rPr>
          <w:rFonts w:asciiTheme="minorHAnsi" w:hAnsiTheme="minorHAnsi" w:cs="Times New Roman"/>
          <w:sz w:val="22"/>
          <w:szCs w:val="22"/>
        </w:rPr>
        <w:t>. Despite this commitment</w:t>
      </w:r>
      <w:r w:rsidR="00076FFD">
        <w:rPr>
          <w:rFonts w:asciiTheme="minorHAnsi" w:hAnsiTheme="minorHAnsi" w:cs="Times New Roman"/>
          <w:sz w:val="22"/>
          <w:szCs w:val="22"/>
        </w:rPr>
        <w:t xml:space="preserve"> </w:t>
      </w:r>
      <w:r w:rsidR="00076FFD" w:rsidRPr="00076FFD">
        <w:rPr>
          <w:rFonts w:asciiTheme="minorHAnsi" w:hAnsiTheme="minorHAnsi" w:cs="Times New Roman"/>
          <w:sz w:val="22"/>
          <w:szCs w:val="22"/>
        </w:rPr>
        <w:t xml:space="preserve">as well as despite </w:t>
      </w:r>
      <w:r w:rsidR="00076FFD">
        <w:rPr>
          <w:rFonts w:asciiTheme="minorHAnsi" w:hAnsiTheme="minorHAnsi" w:cs="Times New Roman"/>
          <w:sz w:val="22"/>
          <w:szCs w:val="22"/>
        </w:rPr>
        <w:t xml:space="preserve">the lack of </w:t>
      </w:r>
      <w:r w:rsidR="00076FFD" w:rsidRPr="00076FFD">
        <w:rPr>
          <w:rFonts w:asciiTheme="minorHAnsi" w:hAnsiTheme="minorHAnsi" w:cs="Times New Roman"/>
          <w:sz w:val="22"/>
          <w:szCs w:val="22"/>
        </w:rPr>
        <w:t>any special provisions in the national tax laws</w:t>
      </w:r>
      <w:r w:rsidR="00FB2170">
        <w:rPr>
          <w:rFonts w:asciiTheme="minorHAnsi" w:hAnsiTheme="minorHAnsi" w:cs="Times New Roman"/>
          <w:sz w:val="22"/>
          <w:szCs w:val="22"/>
        </w:rPr>
        <w:t>,</w:t>
      </w:r>
      <w:r w:rsidR="007C7692" w:rsidRPr="00BB7E8A">
        <w:rPr>
          <w:rFonts w:asciiTheme="minorHAnsi" w:hAnsiTheme="minorHAnsi" w:cs="Times New Roman"/>
          <w:sz w:val="22"/>
          <w:szCs w:val="22"/>
        </w:rPr>
        <w:t xml:space="preserve"> </w:t>
      </w:r>
      <w:r>
        <w:rPr>
          <w:rFonts w:asciiTheme="minorHAnsi" w:hAnsiTheme="minorHAnsi" w:cs="Times New Roman"/>
          <w:sz w:val="22"/>
          <w:szCs w:val="22"/>
        </w:rPr>
        <w:t xml:space="preserve">the Kyrgyz Republic </w:t>
      </w:r>
      <w:r w:rsidR="007C7692" w:rsidRPr="00BB7E8A">
        <w:rPr>
          <w:rFonts w:asciiTheme="minorHAnsi" w:hAnsiTheme="minorHAnsi" w:cs="Times New Roman"/>
          <w:sz w:val="22"/>
          <w:szCs w:val="22"/>
        </w:rPr>
        <w:t>tax authorities has decided to interpret national tax laws in a manner that makes</w:t>
      </w:r>
      <w:r>
        <w:rPr>
          <w:rFonts w:asciiTheme="minorHAnsi" w:hAnsiTheme="minorHAnsi" w:cs="Times New Roman"/>
          <w:sz w:val="22"/>
          <w:szCs w:val="22"/>
        </w:rPr>
        <w:t xml:space="preserve"> the</w:t>
      </w:r>
      <w:r w:rsidR="007C7692" w:rsidRPr="00BB7E8A">
        <w:rPr>
          <w:rFonts w:asciiTheme="minorHAnsi" w:hAnsiTheme="minorHAnsi" w:cs="Times New Roman"/>
          <w:sz w:val="22"/>
          <w:szCs w:val="22"/>
        </w:rPr>
        <w:t xml:space="preserve"> value added tax (VAT) applicable to</w:t>
      </w:r>
      <w:r w:rsidR="009C773C">
        <w:rPr>
          <w:rFonts w:asciiTheme="minorHAnsi" w:hAnsiTheme="minorHAnsi" w:cs="Times New Roman"/>
          <w:sz w:val="22"/>
          <w:szCs w:val="22"/>
        </w:rPr>
        <w:t xml:space="preserve"> </w:t>
      </w:r>
      <w:r w:rsidR="007C7692" w:rsidRPr="00BB7E8A">
        <w:rPr>
          <w:rFonts w:asciiTheme="minorHAnsi" w:hAnsiTheme="minorHAnsi" w:cs="Times New Roman"/>
          <w:sz w:val="22"/>
          <w:szCs w:val="22"/>
        </w:rPr>
        <w:t>int</w:t>
      </w:r>
      <w:r w:rsidR="007C7692" w:rsidRPr="009C773C">
        <w:rPr>
          <w:rFonts w:asciiTheme="minorHAnsi" w:hAnsiTheme="minorHAnsi" w:cs="Times New Roman"/>
          <w:sz w:val="22"/>
          <w:szCs w:val="22"/>
        </w:rPr>
        <w:t xml:space="preserve">ernational telecommunications services </w:t>
      </w:r>
      <w:r w:rsidR="009C773C" w:rsidRPr="009C773C">
        <w:rPr>
          <w:rFonts w:asciiTheme="minorHAnsi" w:hAnsiTheme="minorHAnsi" w:cs="Times New Roman"/>
          <w:sz w:val="22"/>
          <w:szCs w:val="22"/>
        </w:rPr>
        <w:t>that</w:t>
      </w:r>
      <w:r w:rsidR="007C7692" w:rsidRPr="009C773C">
        <w:rPr>
          <w:rFonts w:asciiTheme="minorHAnsi" w:hAnsiTheme="minorHAnsi" w:cs="Times New Roman"/>
          <w:sz w:val="22"/>
          <w:szCs w:val="22"/>
        </w:rPr>
        <w:t xml:space="preserve"> are </w:t>
      </w:r>
      <w:r w:rsidR="009C773C" w:rsidRPr="009C773C">
        <w:rPr>
          <w:rFonts w:asciiTheme="minorHAnsi" w:hAnsiTheme="minorHAnsi" w:cs="Times New Roman"/>
          <w:sz w:val="22"/>
          <w:szCs w:val="22"/>
        </w:rPr>
        <w:t xml:space="preserve">not billed to </w:t>
      </w:r>
      <w:r w:rsidR="009C773C">
        <w:rPr>
          <w:rFonts w:asciiTheme="minorHAnsi" w:hAnsiTheme="minorHAnsi" w:cs="Times New Roman"/>
          <w:sz w:val="22"/>
          <w:szCs w:val="22"/>
        </w:rPr>
        <w:t xml:space="preserve">customers </w:t>
      </w:r>
      <w:r w:rsidR="009C773C" w:rsidRPr="009C773C">
        <w:rPr>
          <w:rFonts w:asciiTheme="minorHAnsi" w:hAnsiTheme="minorHAnsi" w:cs="Times New Roman"/>
          <w:sz w:val="22"/>
          <w:szCs w:val="22"/>
        </w:rPr>
        <w:t>in the Kyrgyz Republic</w:t>
      </w:r>
      <w:r w:rsidR="007C7692" w:rsidRPr="00BB7E8A">
        <w:rPr>
          <w:rFonts w:asciiTheme="minorHAnsi" w:hAnsiTheme="minorHAnsi" w:cs="Times New Roman"/>
          <w:sz w:val="22"/>
          <w:szCs w:val="22"/>
        </w:rPr>
        <w:t xml:space="preserve">. This led to tax claims </w:t>
      </w:r>
      <w:r w:rsidR="00D0352E" w:rsidRPr="00BB7E8A">
        <w:rPr>
          <w:rFonts w:asciiTheme="minorHAnsi" w:hAnsiTheme="minorHAnsi" w:cs="Times New Roman"/>
          <w:sz w:val="22"/>
          <w:szCs w:val="22"/>
        </w:rPr>
        <w:t xml:space="preserve">for VAT </w:t>
      </w:r>
      <w:r w:rsidR="0021695D">
        <w:rPr>
          <w:rFonts w:asciiTheme="minorHAnsi" w:hAnsiTheme="minorHAnsi" w:cs="Times New Roman"/>
          <w:sz w:val="22"/>
          <w:szCs w:val="22"/>
        </w:rPr>
        <w:t>on</w:t>
      </w:r>
      <w:r w:rsidR="0021695D" w:rsidRPr="00BB7E8A">
        <w:rPr>
          <w:rFonts w:asciiTheme="minorHAnsi" w:hAnsiTheme="minorHAnsi" w:cs="Times New Roman"/>
          <w:sz w:val="22"/>
          <w:szCs w:val="22"/>
        </w:rPr>
        <w:t xml:space="preserve"> </w:t>
      </w:r>
      <w:r w:rsidR="00D0352E" w:rsidRPr="00BB7E8A">
        <w:rPr>
          <w:rFonts w:asciiTheme="minorHAnsi" w:hAnsiTheme="minorHAnsi" w:cs="Times New Roman"/>
          <w:sz w:val="22"/>
          <w:szCs w:val="22"/>
        </w:rPr>
        <w:t xml:space="preserve">non-resident services </w:t>
      </w:r>
      <w:r w:rsidR="007C7692" w:rsidRPr="00BB7E8A">
        <w:rPr>
          <w:rFonts w:asciiTheme="minorHAnsi" w:hAnsiTheme="minorHAnsi" w:cs="Times New Roman"/>
          <w:sz w:val="22"/>
          <w:szCs w:val="22"/>
        </w:rPr>
        <w:t xml:space="preserve">to </w:t>
      </w:r>
      <w:r w:rsidR="0043115D" w:rsidRPr="0043115D">
        <w:rPr>
          <w:sz w:val="22"/>
          <w:szCs w:val="22"/>
        </w:rPr>
        <w:t>VEON Ltd</w:t>
      </w:r>
      <w:r w:rsidR="0043115D">
        <w:rPr>
          <w:sz w:val="22"/>
          <w:szCs w:val="22"/>
        </w:rPr>
        <w:t>.</w:t>
      </w:r>
      <w:r w:rsidR="0043115D" w:rsidRPr="0043115D">
        <w:rPr>
          <w:rFonts w:asciiTheme="minorHAnsi" w:hAnsiTheme="minorHAnsi" w:cs="Times New Roman"/>
          <w:sz w:val="18"/>
          <w:szCs w:val="18"/>
        </w:rPr>
        <w:t xml:space="preserve"> </w:t>
      </w:r>
      <w:r w:rsidR="007C7692" w:rsidRPr="00BB7E8A">
        <w:rPr>
          <w:rFonts w:asciiTheme="minorHAnsi" w:hAnsiTheme="minorHAnsi" w:cs="Times New Roman"/>
          <w:sz w:val="22"/>
          <w:szCs w:val="22"/>
        </w:rPr>
        <w:t xml:space="preserve">group companies </w:t>
      </w:r>
      <w:r w:rsidR="00D0352E" w:rsidRPr="00BB7E8A">
        <w:rPr>
          <w:rFonts w:asciiTheme="minorHAnsi" w:hAnsiTheme="minorHAnsi" w:cs="Times New Roman"/>
          <w:sz w:val="22"/>
          <w:szCs w:val="22"/>
        </w:rPr>
        <w:t xml:space="preserve">in </w:t>
      </w:r>
      <w:r>
        <w:rPr>
          <w:rFonts w:asciiTheme="minorHAnsi" w:hAnsiTheme="minorHAnsi" w:cs="Times New Roman"/>
          <w:sz w:val="22"/>
          <w:szCs w:val="22"/>
        </w:rPr>
        <w:t xml:space="preserve">the </w:t>
      </w:r>
      <w:r w:rsidRPr="009C773C">
        <w:rPr>
          <w:rFonts w:asciiTheme="minorHAnsi" w:hAnsiTheme="minorHAnsi" w:cs="Times New Roman"/>
          <w:sz w:val="22"/>
          <w:szCs w:val="22"/>
        </w:rPr>
        <w:t xml:space="preserve">Kyrgyz Republic </w:t>
      </w:r>
      <w:r w:rsidR="007C7692" w:rsidRPr="009C773C">
        <w:rPr>
          <w:rFonts w:asciiTheme="minorHAnsi" w:hAnsiTheme="minorHAnsi" w:cs="Times New Roman"/>
          <w:sz w:val="22"/>
          <w:szCs w:val="22"/>
        </w:rPr>
        <w:t xml:space="preserve">amounting to </w:t>
      </w:r>
      <w:r w:rsidR="006E7A0C" w:rsidRPr="009C773C">
        <w:rPr>
          <w:rFonts w:asciiTheme="minorHAnsi" w:hAnsiTheme="minorHAnsi" w:cs="Times New Roman"/>
          <w:sz w:val="22"/>
          <w:szCs w:val="22"/>
        </w:rPr>
        <w:t>5.9</w:t>
      </w:r>
      <w:r w:rsidR="00BB7E8A" w:rsidRPr="009C773C">
        <w:rPr>
          <w:rFonts w:asciiTheme="minorHAnsi" w:hAnsiTheme="minorHAnsi" w:cs="Times New Roman"/>
          <w:sz w:val="22"/>
          <w:szCs w:val="22"/>
        </w:rPr>
        <w:t xml:space="preserve"> million USD for 2014 and </w:t>
      </w:r>
      <w:r w:rsidR="006E7A0C" w:rsidRPr="009C773C">
        <w:rPr>
          <w:rFonts w:asciiTheme="minorHAnsi" w:hAnsiTheme="minorHAnsi" w:cs="Times New Roman"/>
          <w:sz w:val="22"/>
          <w:szCs w:val="22"/>
        </w:rPr>
        <w:t>6</w:t>
      </w:r>
      <w:r w:rsidR="00D0352E" w:rsidRPr="009C773C">
        <w:rPr>
          <w:rFonts w:asciiTheme="minorHAnsi" w:hAnsiTheme="minorHAnsi" w:cs="Times New Roman"/>
          <w:sz w:val="22"/>
          <w:szCs w:val="22"/>
        </w:rPr>
        <w:t>.</w:t>
      </w:r>
      <w:r w:rsidR="006E7A0C" w:rsidRPr="009C773C">
        <w:rPr>
          <w:rFonts w:asciiTheme="minorHAnsi" w:hAnsiTheme="minorHAnsi" w:cs="Times New Roman"/>
          <w:sz w:val="22"/>
          <w:szCs w:val="22"/>
        </w:rPr>
        <w:t xml:space="preserve">6 </w:t>
      </w:r>
      <w:r w:rsidR="00D0352E" w:rsidRPr="009C773C">
        <w:rPr>
          <w:rFonts w:asciiTheme="minorHAnsi" w:hAnsiTheme="minorHAnsi" w:cs="Times New Roman"/>
          <w:sz w:val="22"/>
          <w:szCs w:val="22"/>
        </w:rPr>
        <w:t>million USD</w:t>
      </w:r>
      <w:r w:rsidR="00BB7E8A" w:rsidRPr="009C773C">
        <w:rPr>
          <w:rFonts w:asciiTheme="minorHAnsi" w:hAnsiTheme="minorHAnsi" w:cs="Times New Roman"/>
          <w:sz w:val="22"/>
          <w:szCs w:val="22"/>
        </w:rPr>
        <w:t xml:space="preserve"> for 2015</w:t>
      </w:r>
      <w:r w:rsidR="00D0352E" w:rsidRPr="009C773C">
        <w:rPr>
          <w:rFonts w:asciiTheme="minorHAnsi" w:hAnsiTheme="minorHAnsi" w:cs="Times New Roman"/>
          <w:sz w:val="22"/>
          <w:szCs w:val="22"/>
        </w:rPr>
        <w:t>.</w:t>
      </w:r>
    </w:p>
    <w:p w14:paraId="72FBE3C1" w14:textId="3FE428A6" w:rsidR="007C7692" w:rsidRDefault="00165F4B" w:rsidP="0043115D">
      <w:pPr>
        <w:pStyle w:val="Normal1"/>
        <w:numPr>
          <w:ilvl w:val="0"/>
          <w:numId w:val="13"/>
        </w:numPr>
        <w:tabs>
          <w:tab w:val="clear" w:pos="567"/>
          <w:tab w:val="left" w:pos="720"/>
          <w:tab w:val="left" w:pos="1418"/>
        </w:tabs>
        <w:spacing w:before="160"/>
        <w:rPr>
          <w:rFonts w:asciiTheme="minorHAnsi" w:hAnsiTheme="minorHAnsi" w:cs="Times New Roman"/>
          <w:sz w:val="22"/>
          <w:szCs w:val="22"/>
        </w:rPr>
      </w:pPr>
      <w:r>
        <w:rPr>
          <w:rFonts w:asciiTheme="minorHAnsi" w:hAnsiTheme="minorHAnsi" w:cs="Times New Roman"/>
          <w:sz w:val="22"/>
          <w:szCs w:val="22"/>
        </w:rPr>
        <w:t xml:space="preserve">The Republic of </w:t>
      </w:r>
      <w:r w:rsidR="007C7692" w:rsidRPr="00BB7E8A">
        <w:rPr>
          <w:rFonts w:asciiTheme="minorHAnsi" w:hAnsiTheme="minorHAnsi" w:cs="Times New Roman"/>
          <w:sz w:val="22"/>
          <w:szCs w:val="22"/>
        </w:rPr>
        <w:t xml:space="preserve">Tajikistan </w:t>
      </w:r>
      <w:r w:rsidR="007C7692" w:rsidRPr="00BB7E8A">
        <w:rPr>
          <w:rFonts w:asciiTheme="minorHAnsi" w:hAnsiTheme="minorHAnsi" w:cs="Times New Roman"/>
          <w:i/>
          <w:sz w:val="22"/>
          <w:szCs w:val="22"/>
        </w:rPr>
        <w:t xml:space="preserve">ipso facto </w:t>
      </w:r>
      <w:r w:rsidR="007C7692" w:rsidRPr="00BB7E8A">
        <w:rPr>
          <w:rFonts w:asciiTheme="minorHAnsi" w:hAnsiTheme="minorHAnsi" w:cs="Times New Roman"/>
          <w:sz w:val="22"/>
          <w:szCs w:val="22"/>
        </w:rPr>
        <w:t xml:space="preserve">committed to ITRs 1988 as </w:t>
      </w:r>
      <w:r w:rsidR="005B57DD">
        <w:rPr>
          <w:rFonts w:asciiTheme="minorHAnsi" w:hAnsiTheme="minorHAnsi" w:cs="Times New Roman"/>
          <w:sz w:val="22"/>
          <w:szCs w:val="22"/>
        </w:rPr>
        <w:t>from 19</w:t>
      </w:r>
      <w:r w:rsidR="005B57DD" w:rsidRPr="005B57DD">
        <w:rPr>
          <w:rFonts w:asciiTheme="minorHAnsi" w:hAnsiTheme="minorHAnsi" w:cs="Times New Roman"/>
          <w:sz w:val="22"/>
          <w:szCs w:val="22"/>
          <w:vertAlign w:val="superscript"/>
        </w:rPr>
        <w:t>th</w:t>
      </w:r>
      <w:r w:rsidR="005B57DD">
        <w:rPr>
          <w:rFonts w:asciiTheme="minorHAnsi" w:hAnsiTheme="minorHAnsi" w:cs="Times New Roman"/>
          <w:sz w:val="22"/>
          <w:szCs w:val="22"/>
        </w:rPr>
        <w:t xml:space="preserve"> July 1994, when it acceded to the Constitution and Convention of the ITU (Article 54 (2) of the ITU Constitution)</w:t>
      </w:r>
      <w:r w:rsidR="007C7692" w:rsidRPr="00BB7E8A">
        <w:rPr>
          <w:rFonts w:asciiTheme="minorHAnsi" w:hAnsiTheme="minorHAnsi" w:cs="Times New Roman"/>
          <w:sz w:val="22"/>
          <w:szCs w:val="22"/>
        </w:rPr>
        <w:t>. Despite this commitment</w:t>
      </w:r>
      <w:r w:rsidR="00076FFD">
        <w:rPr>
          <w:rFonts w:asciiTheme="minorHAnsi" w:hAnsiTheme="minorHAnsi" w:cs="Times New Roman"/>
          <w:sz w:val="22"/>
          <w:szCs w:val="22"/>
        </w:rPr>
        <w:t xml:space="preserve"> as well as despite the lack of </w:t>
      </w:r>
      <w:r w:rsidR="00076FFD" w:rsidRPr="00076FFD">
        <w:rPr>
          <w:rFonts w:asciiTheme="minorHAnsi" w:hAnsiTheme="minorHAnsi" w:cs="Times New Roman"/>
          <w:sz w:val="22"/>
          <w:szCs w:val="22"/>
        </w:rPr>
        <w:t>any special provisions in the national tax laws</w:t>
      </w:r>
      <w:r w:rsidR="007C7692" w:rsidRPr="00BB7E8A">
        <w:rPr>
          <w:rFonts w:asciiTheme="minorHAnsi" w:hAnsiTheme="minorHAnsi" w:cs="Times New Roman"/>
          <w:sz w:val="22"/>
          <w:szCs w:val="22"/>
        </w:rPr>
        <w:t xml:space="preserve">, </w:t>
      </w:r>
      <w:r>
        <w:rPr>
          <w:rFonts w:asciiTheme="minorHAnsi" w:hAnsiTheme="minorHAnsi" w:cs="Times New Roman"/>
          <w:sz w:val="22"/>
          <w:szCs w:val="22"/>
        </w:rPr>
        <w:t xml:space="preserve">the Republic of </w:t>
      </w:r>
      <w:r w:rsidR="007C7692" w:rsidRPr="00BB7E8A">
        <w:rPr>
          <w:rFonts w:asciiTheme="minorHAnsi" w:hAnsiTheme="minorHAnsi" w:cs="Times New Roman"/>
          <w:sz w:val="22"/>
          <w:szCs w:val="22"/>
        </w:rPr>
        <w:t>Tajikistan tax authorities has decided to interpret national tax laws in a manner that m</w:t>
      </w:r>
      <w:r w:rsidR="009C773C">
        <w:rPr>
          <w:rFonts w:asciiTheme="minorHAnsi" w:hAnsiTheme="minorHAnsi" w:cs="Times New Roman"/>
          <w:sz w:val="22"/>
          <w:szCs w:val="22"/>
        </w:rPr>
        <w:t xml:space="preserve">akes VAT applicable to </w:t>
      </w:r>
      <w:r w:rsidR="009C773C" w:rsidRPr="00BB7E8A">
        <w:rPr>
          <w:rFonts w:asciiTheme="minorHAnsi" w:hAnsiTheme="minorHAnsi" w:cs="Times New Roman"/>
          <w:sz w:val="22"/>
          <w:szCs w:val="22"/>
        </w:rPr>
        <w:t>int</w:t>
      </w:r>
      <w:r w:rsidR="009C773C" w:rsidRPr="009C773C">
        <w:rPr>
          <w:rFonts w:asciiTheme="minorHAnsi" w:hAnsiTheme="minorHAnsi" w:cs="Times New Roman"/>
          <w:sz w:val="22"/>
          <w:szCs w:val="22"/>
        </w:rPr>
        <w:t xml:space="preserve">ernational telecommunications services that are not billed to </w:t>
      </w:r>
      <w:r w:rsidR="009C773C">
        <w:rPr>
          <w:rFonts w:asciiTheme="minorHAnsi" w:hAnsiTheme="minorHAnsi" w:cs="Times New Roman"/>
          <w:sz w:val="22"/>
          <w:szCs w:val="22"/>
        </w:rPr>
        <w:t xml:space="preserve">customers </w:t>
      </w:r>
      <w:r w:rsidR="009C773C" w:rsidRPr="009C773C">
        <w:rPr>
          <w:rFonts w:asciiTheme="minorHAnsi" w:hAnsiTheme="minorHAnsi" w:cs="Times New Roman"/>
          <w:sz w:val="22"/>
          <w:szCs w:val="22"/>
        </w:rPr>
        <w:t>in the Republic</w:t>
      </w:r>
      <w:r w:rsidR="009C773C">
        <w:rPr>
          <w:rFonts w:asciiTheme="minorHAnsi" w:hAnsiTheme="minorHAnsi" w:cs="Times New Roman"/>
          <w:sz w:val="22"/>
          <w:szCs w:val="22"/>
        </w:rPr>
        <w:t xml:space="preserve"> of Tajikistan</w:t>
      </w:r>
      <w:r w:rsidR="007C7692" w:rsidRPr="00BB7E8A">
        <w:rPr>
          <w:rFonts w:asciiTheme="minorHAnsi" w:hAnsiTheme="minorHAnsi" w:cs="Times New Roman"/>
          <w:sz w:val="22"/>
          <w:szCs w:val="22"/>
        </w:rPr>
        <w:t xml:space="preserve">. This led to </w:t>
      </w:r>
      <w:r w:rsidR="00EB6D7A">
        <w:rPr>
          <w:rFonts w:asciiTheme="minorHAnsi" w:hAnsiTheme="minorHAnsi" w:cs="Times New Roman"/>
          <w:sz w:val="22"/>
          <w:szCs w:val="22"/>
        </w:rPr>
        <w:t>application of</w:t>
      </w:r>
      <w:r w:rsidR="00D0352E" w:rsidRPr="00BB7E8A">
        <w:rPr>
          <w:rFonts w:asciiTheme="minorHAnsi" w:hAnsiTheme="minorHAnsi" w:cs="Times New Roman"/>
          <w:sz w:val="22"/>
          <w:szCs w:val="22"/>
        </w:rPr>
        <w:t xml:space="preserve"> VAT </w:t>
      </w:r>
      <w:r w:rsidR="0021695D">
        <w:rPr>
          <w:rFonts w:asciiTheme="minorHAnsi" w:hAnsiTheme="minorHAnsi" w:cs="Times New Roman"/>
          <w:sz w:val="22"/>
          <w:szCs w:val="22"/>
        </w:rPr>
        <w:t>on</w:t>
      </w:r>
      <w:r w:rsidR="0021695D" w:rsidRPr="00BB7E8A">
        <w:rPr>
          <w:rFonts w:asciiTheme="minorHAnsi" w:hAnsiTheme="minorHAnsi" w:cs="Times New Roman"/>
          <w:sz w:val="22"/>
          <w:szCs w:val="22"/>
        </w:rPr>
        <w:t xml:space="preserve"> </w:t>
      </w:r>
      <w:r w:rsidR="002D38E8">
        <w:rPr>
          <w:rFonts w:asciiTheme="minorHAnsi" w:hAnsiTheme="minorHAnsi" w:cs="Times New Roman"/>
          <w:sz w:val="22"/>
          <w:szCs w:val="22"/>
        </w:rPr>
        <w:t>non-resident services to</w:t>
      </w:r>
      <w:r w:rsidR="0021695D">
        <w:rPr>
          <w:rFonts w:asciiTheme="minorHAnsi" w:hAnsiTheme="minorHAnsi" w:cs="Times New Roman"/>
          <w:sz w:val="22"/>
          <w:szCs w:val="22"/>
        </w:rPr>
        <w:t xml:space="preserve"> </w:t>
      </w:r>
      <w:r w:rsidR="0043115D" w:rsidRPr="0043115D">
        <w:rPr>
          <w:sz w:val="22"/>
          <w:szCs w:val="22"/>
        </w:rPr>
        <w:t>VEON Ltd</w:t>
      </w:r>
      <w:r w:rsidR="0043115D">
        <w:rPr>
          <w:sz w:val="22"/>
          <w:szCs w:val="22"/>
        </w:rPr>
        <w:t>.</w:t>
      </w:r>
      <w:r w:rsidR="007C7692" w:rsidRPr="00BB7E8A">
        <w:rPr>
          <w:rFonts w:asciiTheme="minorHAnsi" w:hAnsiTheme="minorHAnsi" w:cs="Times New Roman"/>
          <w:sz w:val="22"/>
          <w:szCs w:val="22"/>
        </w:rPr>
        <w:t xml:space="preserve"> companies </w:t>
      </w:r>
      <w:r w:rsidR="00D0352E" w:rsidRPr="00BB7E8A">
        <w:rPr>
          <w:rFonts w:asciiTheme="minorHAnsi" w:hAnsiTheme="minorHAnsi" w:cs="Times New Roman"/>
          <w:sz w:val="22"/>
          <w:szCs w:val="22"/>
        </w:rPr>
        <w:t xml:space="preserve">in </w:t>
      </w:r>
      <w:r>
        <w:rPr>
          <w:rFonts w:asciiTheme="minorHAnsi" w:hAnsiTheme="minorHAnsi" w:cs="Times New Roman"/>
          <w:sz w:val="22"/>
          <w:szCs w:val="22"/>
        </w:rPr>
        <w:t xml:space="preserve">the Republic of </w:t>
      </w:r>
      <w:r w:rsidR="00D0352E" w:rsidRPr="00BB7E8A">
        <w:rPr>
          <w:rFonts w:asciiTheme="minorHAnsi" w:hAnsiTheme="minorHAnsi" w:cs="Times New Roman"/>
          <w:sz w:val="22"/>
          <w:szCs w:val="22"/>
        </w:rPr>
        <w:t xml:space="preserve">Tajikistan </w:t>
      </w:r>
      <w:r w:rsidR="007C7692" w:rsidRPr="00BB7E8A">
        <w:rPr>
          <w:rFonts w:asciiTheme="minorHAnsi" w:hAnsiTheme="minorHAnsi" w:cs="Times New Roman"/>
          <w:sz w:val="22"/>
          <w:szCs w:val="22"/>
        </w:rPr>
        <w:t xml:space="preserve">amounting to </w:t>
      </w:r>
      <w:r w:rsidR="00C251A3">
        <w:rPr>
          <w:rFonts w:asciiTheme="minorHAnsi" w:hAnsiTheme="minorHAnsi" w:cs="Times New Roman"/>
          <w:sz w:val="22"/>
          <w:szCs w:val="22"/>
        </w:rPr>
        <w:t>2.</w:t>
      </w:r>
      <w:r w:rsidR="00FE53C2">
        <w:rPr>
          <w:rFonts w:asciiTheme="minorHAnsi" w:hAnsiTheme="minorHAnsi" w:cs="Times New Roman"/>
          <w:sz w:val="22"/>
          <w:szCs w:val="22"/>
        </w:rPr>
        <w:t>6</w:t>
      </w:r>
      <w:r w:rsidR="00C251A3">
        <w:rPr>
          <w:rFonts w:asciiTheme="minorHAnsi" w:hAnsiTheme="minorHAnsi" w:cs="Times New Roman"/>
          <w:sz w:val="22"/>
          <w:szCs w:val="22"/>
        </w:rPr>
        <w:t xml:space="preserve"> million USD for 2014 and </w:t>
      </w:r>
      <w:r w:rsidR="00D0352E" w:rsidRPr="00BB7E8A">
        <w:rPr>
          <w:rFonts w:asciiTheme="minorHAnsi" w:hAnsiTheme="minorHAnsi" w:cs="Times New Roman"/>
          <w:sz w:val="22"/>
          <w:szCs w:val="22"/>
        </w:rPr>
        <w:t>1.44 million USD</w:t>
      </w:r>
      <w:r w:rsidR="00C251A3">
        <w:rPr>
          <w:rFonts w:asciiTheme="minorHAnsi" w:hAnsiTheme="minorHAnsi" w:cs="Times New Roman"/>
          <w:sz w:val="22"/>
          <w:szCs w:val="22"/>
        </w:rPr>
        <w:t xml:space="preserve"> for 2015</w:t>
      </w:r>
      <w:r w:rsidR="007C7692" w:rsidRPr="00BB7E8A">
        <w:rPr>
          <w:rFonts w:asciiTheme="minorHAnsi" w:hAnsiTheme="minorHAnsi" w:cs="Times New Roman"/>
          <w:sz w:val="22"/>
          <w:szCs w:val="22"/>
        </w:rPr>
        <w:t>.</w:t>
      </w:r>
    </w:p>
    <w:p w14:paraId="5CC84AB5" w14:textId="405F5D0F" w:rsidR="007C7692" w:rsidRDefault="007C7692" w:rsidP="007C7692">
      <w:pPr>
        <w:pStyle w:val="Normal1"/>
        <w:tabs>
          <w:tab w:val="left" w:pos="1418"/>
        </w:tabs>
        <w:spacing w:before="160"/>
        <w:rPr>
          <w:rFonts w:asciiTheme="minorHAnsi" w:hAnsiTheme="minorHAnsi" w:cs="Times New Roman"/>
          <w:sz w:val="22"/>
          <w:szCs w:val="22"/>
        </w:rPr>
      </w:pPr>
      <w:r>
        <w:rPr>
          <w:rFonts w:asciiTheme="minorHAnsi" w:hAnsiTheme="minorHAnsi" w:cs="Times New Roman"/>
          <w:sz w:val="22"/>
          <w:szCs w:val="22"/>
        </w:rPr>
        <w:t xml:space="preserve">As can be seen from the above, inconsistent application of ITRs results in specific and tangible detrimental effects to operating </w:t>
      </w:r>
      <w:r w:rsidR="00B90CF4">
        <w:rPr>
          <w:rFonts w:asciiTheme="minorHAnsi" w:hAnsiTheme="minorHAnsi" w:cs="Times New Roman"/>
          <w:sz w:val="22"/>
          <w:szCs w:val="22"/>
        </w:rPr>
        <w:t>agencies</w:t>
      </w:r>
      <w:r>
        <w:rPr>
          <w:rFonts w:asciiTheme="minorHAnsi" w:hAnsiTheme="minorHAnsi" w:cs="Times New Roman"/>
          <w:sz w:val="22"/>
          <w:szCs w:val="22"/>
        </w:rPr>
        <w:t>.</w:t>
      </w:r>
    </w:p>
    <w:p w14:paraId="6F5D7572" w14:textId="2AB9949E" w:rsidR="000D1A54" w:rsidRPr="000D1A54" w:rsidRDefault="000D1A54" w:rsidP="000D1A54">
      <w:pPr>
        <w:pStyle w:val="Normal1"/>
        <w:numPr>
          <w:ilvl w:val="0"/>
          <w:numId w:val="1"/>
        </w:numPr>
        <w:tabs>
          <w:tab w:val="left" w:pos="1418"/>
        </w:tabs>
        <w:spacing w:before="160"/>
        <w:rPr>
          <w:rFonts w:asciiTheme="minorHAnsi" w:hAnsiTheme="minorHAnsi" w:cs="Times New Roman"/>
          <w:b/>
          <w:sz w:val="22"/>
          <w:szCs w:val="22"/>
        </w:rPr>
      </w:pPr>
      <w:r>
        <w:rPr>
          <w:rFonts w:asciiTheme="minorHAnsi" w:hAnsiTheme="minorHAnsi" w:cs="Times New Roman"/>
          <w:b/>
          <w:sz w:val="22"/>
          <w:szCs w:val="22"/>
        </w:rPr>
        <w:t>Legal analysis of Article 8.3 of ITRs 2012 and Article 6.12 of ITRs 1988</w:t>
      </w:r>
    </w:p>
    <w:p w14:paraId="6CCBEDFD" w14:textId="334EEA15" w:rsidR="000D1A54" w:rsidRDefault="007C7692" w:rsidP="000D1A54">
      <w:pPr>
        <w:pStyle w:val="Normal1"/>
        <w:tabs>
          <w:tab w:val="left" w:pos="1418"/>
        </w:tabs>
        <w:spacing w:before="160"/>
        <w:rPr>
          <w:rFonts w:asciiTheme="minorHAnsi" w:hAnsiTheme="minorHAnsi" w:cs="Times New Roman"/>
          <w:sz w:val="22"/>
          <w:szCs w:val="22"/>
        </w:rPr>
      </w:pPr>
      <w:r>
        <w:rPr>
          <w:rFonts w:asciiTheme="minorHAnsi" w:hAnsiTheme="minorHAnsi" w:cs="Times New Roman"/>
          <w:sz w:val="22"/>
          <w:szCs w:val="22"/>
        </w:rPr>
        <w:t xml:space="preserve">In </w:t>
      </w:r>
      <w:r w:rsidR="00182F13">
        <w:rPr>
          <w:rFonts w:asciiTheme="minorHAnsi" w:hAnsiTheme="minorHAnsi" w:cs="Times New Roman"/>
          <w:sz w:val="22"/>
          <w:szCs w:val="22"/>
        </w:rPr>
        <w:t>demonstrating reluctance</w:t>
      </w:r>
      <w:r>
        <w:rPr>
          <w:rFonts w:asciiTheme="minorHAnsi" w:hAnsiTheme="minorHAnsi" w:cs="Times New Roman"/>
          <w:sz w:val="22"/>
          <w:szCs w:val="22"/>
        </w:rPr>
        <w:t xml:space="preserve"> to apply provisions of ITRs certain ITU Member States use a number of legal arguments, including the following:</w:t>
      </w:r>
    </w:p>
    <w:p w14:paraId="194CAF8A" w14:textId="1B9949F3" w:rsidR="00D0352E" w:rsidRDefault="00D0352E" w:rsidP="000D1A54">
      <w:pPr>
        <w:pStyle w:val="Normal1"/>
        <w:numPr>
          <w:ilvl w:val="0"/>
          <w:numId w:val="15"/>
        </w:numPr>
        <w:tabs>
          <w:tab w:val="clear" w:pos="567"/>
          <w:tab w:val="left" w:pos="720"/>
          <w:tab w:val="left" w:pos="1418"/>
        </w:tabs>
        <w:spacing w:before="160"/>
        <w:rPr>
          <w:rFonts w:asciiTheme="minorHAnsi" w:hAnsiTheme="minorHAnsi" w:cs="Times New Roman"/>
          <w:sz w:val="22"/>
          <w:szCs w:val="22"/>
        </w:rPr>
      </w:pPr>
      <w:r>
        <w:rPr>
          <w:rFonts w:asciiTheme="minorHAnsi" w:hAnsiTheme="minorHAnsi" w:cs="Times New Roman"/>
          <w:sz w:val="22"/>
          <w:szCs w:val="22"/>
        </w:rPr>
        <w:t xml:space="preserve">That a specific ITU Member State has not signed ITRs 1988, despite the fact that ITRs 1988 were in force at the time when such ITU Member State acceded to ITU Constitution. In our opinion, such ITU Member State is </w:t>
      </w:r>
      <w:r>
        <w:rPr>
          <w:rFonts w:asciiTheme="minorHAnsi" w:hAnsiTheme="minorHAnsi" w:cs="Times New Roman"/>
          <w:i/>
          <w:sz w:val="22"/>
          <w:szCs w:val="22"/>
        </w:rPr>
        <w:t>ipso facto</w:t>
      </w:r>
      <w:r w:rsidRPr="00D0352E">
        <w:rPr>
          <w:rFonts w:asciiTheme="minorHAnsi" w:hAnsiTheme="minorHAnsi" w:cs="Times New Roman"/>
          <w:sz w:val="22"/>
          <w:szCs w:val="22"/>
        </w:rPr>
        <w:t xml:space="preserve"> obli</w:t>
      </w:r>
      <w:r>
        <w:rPr>
          <w:rFonts w:asciiTheme="minorHAnsi" w:hAnsiTheme="minorHAnsi" w:cs="Times New Roman"/>
          <w:sz w:val="22"/>
          <w:szCs w:val="22"/>
        </w:rPr>
        <w:t>ged to apply provisions of ITRs 1988</w:t>
      </w:r>
      <w:r w:rsidR="00FB2170">
        <w:rPr>
          <w:rFonts w:asciiTheme="minorHAnsi" w:hAnsiTheme="minorHAnsi" w:cs="Times New Roman"/>
          <w:sz w:val="22"/>
          <w:szCs w:val="22"/>
        </w:rPr>
        <w:t xml:space="preserve"> as per Article 54 (2) of the ITU Constitution</w:t>
      </w:r>
      <w:r>
        <w:rPr>
          <w:rFonts w:asciiTheme="minorHAnsi" w:hAnsiTheme="minorHAnsi" w:cs="Times New Roman"/>
          <w:sz w:val="22"/>
          <w:szCs w:val="22"/>
        </w:rPr>
        <w:t>;</w:t>
      </w:r>
    </w:p>
    <w:p w14:paraId="0AD4450E" w14:textId="38DA0D1E" w:rsidR="00D0352E" w:rsidRDefault="00D0352E" w:rsidP="000D1A54">
      <w:pPr>
        <w:pStyle w:val="Normal1"/>
        <w:numPr>
          <w:ilvl w:val="0"/>
          <w:numId w:val="15"/>
        </w:numPr>
        <w:tabs>
          <w:tab w:val="clear" w:pos="567"/>
          <w:tab w:val="left" w:pos="720"/>
          <w:tab w:val="left" w:pos="1418"/>
        </w:tabs>
        <w:spacing w:before="160"/>
        <w:rPr>
          <w:rFonts w:asciiTheme="minorHAnsi" w:hAnsiTheme="minorHAnsi" w:cs="Times New Roman"/>
          <w:sz w:val="22"/>
          <w:szCs w:val="22"/>
        </w:rPr>
      </w:pPr>
      <w:r>
        <w:rPr>
          <w:rFonts w:asciiTheme="minorHAnsi" w:hAnsiTheme="minorHAnsi" w:cs="Times New Roman"/>
          <w:sz w:val="22"/>
          <w:szCs w:val="22"/>
        </w:rPr>
        <w:t>That a specific ITU Member State has not ratified ITRs 2012, despite the fact that it signed ITRs 2012 and that as per Article 14 of ITRs 2012 together with Article 54 of the ITU Constitution provisions of ITRs 2012 apply to such ITU Member States as from 1 January 2015;</w:t>
      </w:r>
    </w:p>
    <w:p w14:paraId="2727AFDE" w14:textId="22CEF420" w:rsidR="000D1A54" w:rsidRDefault="007C7692" w:rsidP="000D1A54">
      <w:pPr>
        <w:pStyle w:val="Normal1"/>
        <w:numPr>
          <w:ilvl w:val="0"/>
          <w:numId w:val="15"/>
        </w:numPr>
        <w:tabs>
          <w:tab w:val="clear" w:pos="567"/>
          <w:tab w:val="left" w:pos="720"/>
          <w:tab w:val="left" w:pos="1418"/>
        </w:tabs>
        <w:spacing w:before="160"/>
        <w:rPr>
          <w:rFonts w:asciiTheme="minorHAnsi" w:hAnsiTheme="minorHAnsi" w:cs="Times New Roman"/>
          <w:sz w:val="22"/>
          <w:szCs w:val="22"/>
        </w:rPr>
      </w:pPr>
      <w:r w:rsidRPr="007C7692">
        <w:rPr>
          <w:rFonts w:asciiTheme="minorHAnsi" w:hAnsiTheme="minorHAnsi" w:cs="Times New Roman"/>
          <w:sz w:val="22"/>
          <w:szCs w:val="22"/>
        </w:rPr>
        <w:t>That word “normally” included in the said provisions enable</w:t>
      </w:r>
      <w:r w:rsidR="00FB2170">
        <w:rPr>
          <w:rFonts w:asciiTheme="minorHAnsi" w:hAnsiTheme="minorHAnsi" w:cs="Times New Roman"/>
          <w:sz w:val="22"/>
          <w:szCs w:val="22"/>
        </w:rPr>
        <w:t>s</w:t>
      </w:r>
      <w:r w:rsidRPr="007C7692">
        <w:rPr>
          <w:rFonts w:asciiTheme="minorHAnsi" w:hAnsiTheme="minorHAnsi" w:cs="Times New Roman"/>
          <w:sz w:val="22"/>
          <w:szCs w:val="22"/>
        </w:rPr>
        <w:t xml:space="preserve"> ITU Member States to decide at their discretion whether to apply these rules. In our opinion, however, such position is not grounded in the text of ITRs</w:t>
      </w:r>
      <w:r>
        <w:rPr>
          <w:rFonts w:asciiTheme="minorHAnsi" w:hAnsiTheme="minorHAnsi" w:cs="Times New Roman"/>
          <w:sz w:val="22"/>
          <w:szCs w:val="22"/>
        </w:rPr>
        <w:t xml:space="preserve">. We consider that </w:t>
      </w:r>
      <w:r w:rsidRPr="007C7692">
        <w:rPr>
          <w:rFonts w:asciiTheme="minorHAnsi" w:hAnsiTheme="minorHAnsi" w:cs="Times New Roman"/>
          <w:sz w:val="22"/>
          <w:szCs w:val="22"/>
        </w:rPr>
        <w:t>the word “normally” should be applied together with the wording “unless other arrangements are made to meet special- circumstances</w:t>
      </w:r>
      <w:r>
        <w:rPr>
          <w:rFonts w:asciiTheme="minorHAnsi" w:hAnsiTheme="minorHAnsi" w:cs="Times New Roman"/>
          <w:sz w:val="22"/>
          <w:szCs w:val="22"/>
        </w:rPr>
        <w:t>”. Therefore it should mean simply a right for ITU Member States to make (i.e., transparently legislate) special arrangements to meet special (justified) circumstances, but not to a catch-all ability to decide not to apply the rule as such.</w:t>
      </w:r>
      <w:r w:rsidR="00FB2170">
        <w:rPr>
          <w:rFonts w:asciiTheme="minorHAnsi" w:hAnsiTheme="minorHAnsi" w:cs="Times New Roman"/>
          <w:sz w:val="22"/>
          <w:szCs w:val="22"/>
        </w:rPr>
        <w:t xml:space="preserve"> The interpretation to the contrary would render the rule meaningless.</w:t>
      </w:r>
    </w:p>
    <w:p w14:paraId="529A7208" w14:textId="2C5EA5BC" w:rsidR="007C7692" w:rsidRDefault="007C7692" w:rsidP="000D1A54">
      <w:pPr>
        <w:pStyle w:val="Normal1"/>
        <w:numPr>
          <w:ilvl w:val="0"/>
          <w:numId w:val="15"/>
        </w:numPr>
        <w:tabs>
          <w:tab w:val="clear" w:pos="567"/>
          <w:tab w:val="left" w:pos="720"/>
          <w:tab w:val="left" w:pos="1418"/>
        </w:tabs>
        <w:spacing w:before="160"/>
        <w:rPr>
          <w:rFonts w:asciiTheme="minorHAnsi" w:hAnsiTheme="minorHAnsi" w:cs="Times New Roman"/>
          <w:sz w:val="22"/>
          <w:szCs w:val="22"/>
        </w:rPr>
      </w:pPr>
      <w:r>
        <w:rPr>
          <w:rFonts w:asciiTheme="minorHAnsi" w:hAnsiTheme="minorHAnsi" w:cs="Times New Roman"/>
          <w:sz w:val="22"/>
          <w:szCs w:val="22"/>
        </w:rPr>
        <w:t xml:space="preserve">That ITRs do not directly apply to the relationship between ITU Member States and private sector entities. In our opinion, such argument should </w:t>
      </w:r>
      <w:r w:rsidR="00165F4B">
        <w:rPr>
          <w:rFonts w:asciiTheme="minorHAnsi" w:hAnsiTheme="minorHAnsi" w:cs="Times New Roman"/>
          <w:sz w:val="22"/>
          <w:szCs w:val="22"/>
        </w:rPr>
        <w:t xml:space="preserve">not </w:t>
      </w:r>
      <w:r w:rsidR="00FB2170">
        <w:rPr>
          <w:rFonts w:asciiTheme="minorHAnsi" w:hAnsiTheme="minorHAnsi" w:cs="Times New Roman"/>
          <w:sz w:val="22"/>
          <w:szCs w:val="22"/>
        </w:rPr>
        <w:t xml:space="preserve">enable </w:t>
      </w:r>
      <w:r>
        <w:rPr>
          <w:rFonts w:asciiTheme="minorHAnsi" w:hAnsiTheme="minorHAnsi" w:cs="Times New Roman"/>
          <w:sz w:val="22"/>
          <w:szCs w:val="22"/>
        </w:rPr>
        <w:t xml:space="preserve">an ITU Member State to </w:t>
      </w:r>
      <w:r w:rsidR="00FB2170">
        <w:rPr>
          <w:rFonts w:asciiTheme="minorHAnsi" w:hAnsiTheme="minorHAnsi" w:cs="Times New Roman"/>
          <w:sz w:val="22"/>
          <w:szCs w:val="22"/>
        </w:rPr>
        <w:t>defy</w:t>
      </w:r>
      <w:r>
        <w:rPr>
          <w:rFonts w:asciiTheme="minorHAnsi" w:hAnsiTheme="minorHAnsi" w:cs="Times New Roman"/>
          <w:sz w:val="22"/>
          <w:szCs w:val="22"/>
        </w:rPr>
        <w:t xml:space="preserve"> its international obligations.</w:t>
      </w:r>
    </w:p>
    <w:p w14:paraId="787FAAD1" w14:textId="0C23DF87" w:rsidR="007C7692" w:rsidRDefault="007C7692" w:rsidP="007C7692">
      <w:pPr>
        <w:pStyle w:val="Normal1"/>
        <w:tabs>
          <w:tab w:val="clear" w:pos="567"/>
          <w:tab w:val="left" w:pos="720"/>
          <w:tab w:val="left" w:pos="1418"/>
        </w:tabs>
        <w:spacing w:before="160"/>
        <w:rPr>
          <w:rFonts w:asciiTheme="minorHAnsi" w:hAnsiTheme="minorHAnsi" w:cs="Times New Roman"/>
          <w:sz w:val="22"/>
          <w:szCs w:val="22"/>
        </w:rPr>
      </w:pPr>
      <w:r>
        <w:rPr>
          <w:rFonts w:asciiTheme="minorHAnsi" w:hAnsiTheme="minorHAnsi" w:cs="Times New Roman"/>
          <w:sz w:val="22"/>
          <w:szCs w:val="22"/>
        </w:rPr>
        <w:t>In the absence of a clear dispute resolution mechanism, inconsistent application and legal analysis of ITRs by certain ITU Member States risk rendering provisions of ITRs void</w:t>
      </w:r>
      <w:r w:rsidR="00FB2170">
        <w:rPr>
          <w:rFonts w:asciiTheme="minorHAnsi" w:hAnsiTheme="minorHAnsi" w:cs="Times New Roman"/>
          <w:sz w:val="22"/>
          <w:szCs w:val="22"/>
        </w:rPr>
        <w:t xml:space="preserve"> and meaningless</w:t>
      </w:r>
      <w:r>
        <w:rPr>
          <w:rFonts w:asciiTheme="minorHAnsi" w:hAnsiTheme="minorHAnsi" w:cs="Times New Roman"/>
          <w:sz w:val="22"/>
          <w:szCs w:val="22"/>
        </w:rPr>
        <w:t>, undermine legal expectations of operating agencies and result in direct losses to such entities.</w:t>
      </w:r>
    </w:p>
    <w:p w14:paraId="0DAE2F4A" w14:textId="0C4FE625" w:rsidR="007C7692" w:rsidRPr="007C7692" w:rsidRDefault="007C7692" w:rsidP="007C7692">
      <w:pPr>
        <w:pStyle w:val="Normal1"/>
        <w:numPr>
          <w:ilvl w:val="0"/>
          <w:numId w:val="1"/>
        </w:numPr>
        <w:tabs>
          <w:tab w:val="clear" w:pos="567"/>
          <w:tab w:val="left" w:pos="720"/>
          <w:tab w:val="left" w:pos="1418"/>
        </w:tabs>
        <w:spacing w:before="160"/>
        <w:rPr>
          <w:rFonts w:asciiTheme="minorHAnsi" w:hAnsiTheme="minorHAnsi" w:cs="Times New Roman"/>
          <w:b/>
          <w:sz w:val="22"/>
          <w:szCs w:val="22"/>
        </w:rPr>
      </w:pPr>
      <w:r w:rsidRPr="007C7692">
        <w:rPr>
          <w:rFonts w:asciiTheme="minorHAnsi" w:hAnsiTheme="minorHAnsi" w:cs="Times New Roman"/>
          <w:b/>
          <w:sz w:val="22"/>
          <w:szCs w:val="22"/>
        </w:rPr>
        <w:t>Suggestions to EG-ITRs</w:t>
      </w:r>
    </w:p>
    <w:p w14:paraId="703CC0C7" w14:textId="6DC8F250" w:rsidR="007C7692" w:rsidRDefault="007C7692" w:rsidP="007C7692">
      <w:pPr>
        <w:pStyle w:val="Normal1"/>
        <w:tabs>
          <w:tab w:val="clear" w:pos="567"/>
          <w:tab w:val="left" w:pos="720"/>
          <w:tab w:val="left" w:pos="1418"/>
        </w:tabs>
        <w:spacing w:before="160"/>
        <w:rPr>
          <w:rFonts w:asciiTheme="minorHAnsi" w:hAnsiTheme="minorHAnsi" w:cs="Times New Roman"/>
          <w:sz w:val="22"/>
          <w:szCs w:val="22"/>
        </w:rPr>
      </w:pPr>
      <w:r>
        <w:rPr>
          <w:rFonts w:asciiTheme="minorHAnsi" w:hAnsiTheme="minorHAnsi" w:cs="Times New Roman"/>
          <w:sz w:val="22"/>
          <w:szCs w:val="22"/>
        </w:rPr>
        <w:lastRenderedPageBreak/>
        <w:t xml:space="preserve">We believe that EG-ITRs is an ideal forum to reinforce certainty of application of provisions of ITRs and thereby contribute to </w:t>
      </w:r>
      <w:r w:rsidR="00FB2170">
        <w:rPr>
          <w:rFonts w:asciiTheme="minorHAnsi" w:hAnsiTheme="minorHAnsi" w:cs="Times New Roman"/>
          <w:sz w:val="22"/>
          <w:szCs w:val="22"/>
        </w:rPr>
        <w:t xml:space="preserve">the </w:t>
      </w:r>
      <w:r>
        <w:rPr>
          <w:rFonts w:asciiTheme="minorHAnsi" w:hAnsiTheme="minorHAnsi" w:cs="Times New Roman"/>
          <w:sz w:val="22"/>
          <w:szCs w:val="22"/>
        </w:rPr>
        <w:t>improve</w:t>
      </w:r>
      <w:r w:rsidR="00FB2170">
        <w:rPr>
          <w:rFonts w:asciiTheme="minorHAnsi" w:hAnsiTheme="minorHAnsi" w:cs="Times New Roman"/>
          <w:sz w:val="22"/>
          <w:szCs w:val="22"/>
        </w:rPr>
        <w:t>ment of the</w:t>
      </w:r>
      <w:r>
        <w:rPr>
          <w:rFonts w:asciiTheme="minorHAnsi" w:hAnsiTheme="minorHAnsi" w:cs="Times New Roman"/>
          <w:sz w:val="22"/>
          <w:szCs w:val="22"/>
        </w:rPr>
        <w:t xml:space="preserve"> investment environment in the sector. With this aim and having regard to the above, we suggest that EG-ITRs:</w:t>
      </w:r>
    </w:p>
    <w:p w14:paraId="5C1EADCA" w14:textId="2DB92020" w:rsidR="007C7692" w:rsidRDefault="007C7692" w:rsidP="007C7692">
      <w:pPr>
        <w:pStyle w:val="Normal1"/>
        <w:numPr>
          <w:ilvl w:val="0"/>
          <w:numId w:val="17"/>
        </w:numPr>
        <w:tabs>
          <w:tab w:val="clear" w:pos="567"/>
          <w:tab w:val="left" w:pos="720"/>
          <w:tab w:val="left" w:pos="1418"/>
        </w:tabs>
        <w:spacing w:before="160"/>
        <w:rPr>
          <w:rFonts w:asciiTheme="minorHAnsi" w:hAnsiTheme="minorHAnsi" w:cs="Times New Roman"/>
          <w:sz w:val="22"/>
          <w:szCs w:val="22"/>
        </w:rPr>
      </w:pPr>
      <w:r>
        <w:rPr>
          <w:rFonts w:asciiTheme="minorHAnsi" w:hAnsiTheme="minorHAnsi" w:cs="Times New Roman"/>
          <w:sz w:val="22"/>
          <w:szCs w:val="22"/>
        </w:rPr>
        <w:t>In its work take into account inconsistencies of application of ITRs outlined above;</w:t>
      </w:r>
    </w:p>
    <w:p w14:paraId="32122BD7" w14:textId="4F3043D4" w:rsidR="007C7692" w:rsidRDefault="007C7692" w:rsidP="007C7692">
      <w:pPr>
        <w:pStyle w:val="Normal1"/>
        <w:numPr>
          <w:ilvl w:val="0"/>
          <w:numId w:val="17"/>
        </w:numPr>
        <w:tabs>
          <w:tab w:val="clear" w:pos="567"/>
          <w:tab w:val="left" w:pos="720"/>
          <w:tab w:val="left" w:pos="1418"/>
        </w:tabs>
        <w:spacing w:before="160"/>
        <w:rPr>
          <w:rFonts w:asciiTheme="minorHAnsi" w:hAnsiTheme="minorHAnsi" w:cs="Times New Roman"/>
          <w:sz w:val="22"/>
          <w:szCs w:val="22"/>
        </w:rPr>
      </w:pPr>
      <w:r>
        <w:rPr>
          <w:rFonts w:asciiTheme="minorHAnsi" w:hAnsiTheme="minorHAnsi" w:cs="Times New Roman"/>
          <w:sz w:val="22"/>
          <w:szCs w:val="22"/>
        </w:rPr>
        <w:t>Request ITU Secretary General to</w:t>
      </w:r>
      <w:r w:rsidR="00D0352E">
        <w:rPr>
          <w:rFonts w:asciiTheme="minorHAnsi" w:hAnsiTheme="minorHAnsi" w:cs="Times New Roman"/>
          <w:sz w:val="22"/>
          <w:szCs w:val="22"/>
        </w:rPr>
        <w:t xml:space="preserve"> provide legal analysis of</w:t>
      </w:r>
      <w:r>
        <w:rPr>
          <w:rFonts w:asciiTheme="minorHAnsi" w:hAnsiTheme="minorHAnsi" w:cs="Times New Roman"/>
          <w:sz w:val="22"/>
          <w:szCs w:val="22"/>
        </w:rPr>
        <w:t>:</w:t>
      </w:r>
    </w:p>
    <w:p w14:paraId="2123420B" w14:textId="2657038E" w:rsidR="00D0352E" w:rsidRDefault="00D0352E" w:rsidP="007C7692">
      <w:pPr>
        <w:pStyle w:val="Normal1"/>
        <w:numPr>
          <w:ilvl w:val="1"/>
          <w:numId w:val="17"/>
        </w:numPr>
        <w:tabs>
          <w:tab w:val="clear" w:pos="567"/>
          <w:tab w:val="left" w:pos="720"/>
          <w:tab w:val="left" w:pos="1418"/>
        </w:tabs>
        <w:spacing w:before="160"/>
        <w:rPr>
          <w:rFonts w:asciiTheme="minorHAnsi" w:hAnsiTheme="minorHAnsi" w:cs="Times New Roman"/>
          <w:sz w:val="22"/>
          <w:szCs w:val="22"/>
        </w:rPr>
      </w:pPr>
      <w:r>
        <w:rPr>
          <w:rFonts w:asciiTheme="minorHAnsi" w:hAnsiTheme="minorHAnsi" w:cs="Times New Roman"/>
          <w:sz w:val="22"/>
          <w:szCs w:val="22"/>
        </w:rPr>
        <w:t>Applicability of ITRs 1988 to ITU Member States that have not separately signed ITRs 1988, but acceded</w:t>
      </w:r>
      <w:r w:rsidR="00FB2170">
        <w:rPr>
          <w:rFonts w:asciiTheme="minorHAnsi" w:hAnsiTheme="minorHAnsi" w:cs="Times New Roman"/>
          <w:sz w:val="22"/>
          <w:szCs w:val="22"/>
        </w:rPr>
        <w:t xml:space="preserve"> to the</w:t>
      </w:r>
      <w:r>
        <w:rPr>
          <w:rFonts w:asciiTheme="minorHAnsi" w:hAnsiTheme="minorHAnsi" w:cs="Times New Roman"/>
          <w:sz w:val="22"/>
          <w:szCs w:val="22"/>
        </w:rPr>
        <w:t xml:space="preserve"> ITU Constitution after ITRs 1988 coming into force;</w:t>
      </w:r>
    </w:p>
    <w:p w14:paraId="058EA7C2" w14:textId="233B648E" w:rsidR="00D0352E" w:rsidRDefault="00D0352E" w:rsidP="007C7692">
      <w:pPr>
        <w:pStyle w:val="Normal1"/>
        <w:numPr>
          <w:ilvl w:val="1"/>
          <w:numId w:val="17"/>
        </w:numPr>
        <w:tabs>
          <w:tab w:val="clear" w:pos="567"/>
          <w:tab w:val="left" w:pos="720"/>
          <w:tab w:val="left" w:pos="1418"/>
        </w:tabs>
        <w:spacing w:before="160"/>
        <w:rPr>
          <w:rFonts w:asciiTheme="minorHAnsi" w:hAnsiTheme="minorHAnsi" w:cs="Times New Roman"/>
          <w:sz w:val="22"/>
          <w:szCs w:val="22"/>
        </w:rPr>
      </w:pPr>
      <w:r>
        <w:rPr>
          <w:rFonts w:asciiTheme="minorHAnsi" w:hAnsiTheme="minorHAnsi" w:cs="Times New Roman"/>
          <w:sz w:val="22"/>
          <w:szCs w:val="22"/>
        </w:rPr>
        <w:t>Applicability of ITRs 2012 to ITU Member States that have signed but not ratified ITRs 2012;</w:t>
      </w:r>
    </w:p>
    <w:p w14:paraId="1362DC2E" w14:textId="4548BD29" w:rsidR="005B57DD" w:rsidRPr="005B57DD" w:rsidRDefault="005B57DD" w:rsidP="005B57DD">
      <w:pPr>
        <w:pStyle w:val="Normal1"/>
        <w:numPr>
          <w:ilvl w:val="1"/>
          <w:numId w:val="17"/>
        </w:numPr>
        <w:tabs>
          <w:tab w:val="clear" w:pos="567"/>
          <w:tab w:val="left" w:pos="720"/>
          <w:tab w:val="left" w:pos="1418"/>
        </w:tabs>
        <w:spacing w:before="160"/>
        <w:rPr>
          <w:rFonts w:asciiTheme="minorHAnsi" w:hAnsiTheme="minorHAnsi" w:cs="Times New Roman"/>
          <w:sz w:val="22"/>
          <w:szCs w:val="22"/>
        </w:rPr>
      </w:pPr>
      <w:r>
        <w:rPr>
          <w:rFonts w:asciiTheme="minorHAnsi" w:hAnsiTheme="minorHAnsi" w:cs="Times New Roman"/>
          <w:sz w:val="22"/>
          <w:szCs w:val="22"/>
        </w:rPr>
        <w:t xml:space="preserve">Ability of ITU Member States, which signed ITRs and/or to which ITRs apply </w:t>
      </w:r>
      <w:r>
        <w:rPr>
          <w:rFonts w:asciiTheme="minorHAnsi" w:hAnsiTheme="minorHAnsi" w:cs="Times New Roman"/>
          <w:i/>
          <w:sz w:val="22"/>
          <w:szCs w:val="22"/>
        </w:rPr>
        <w:t>ipso facto,</w:t>
      </w:r>
      <w:r>
        <w:rPr>
          <w:rFonts w:asciiTheme="minorHAnsi" w:hAnsiTheme="minorHAnsi" w:cs="Times New Roman"/>
          <w:sz w:val="22"/>
          <w:szCs w:val="22"/>
        </w:rPr>
        <w:t xml:space="preserve"> to decline application of ITRs 2012 and/or ITRs 1988 due to them missing to take measures foreseen in the national legislation for adopting international treaties;</w:t>
      </w:r>
    </w:p>
    <w:p w14:paraId="2DC8BBA1" w14:textId="2FF754FD" w:rsidR="007C7692" w:rsidRDefault="00D0352E" w:rsidP="007C7692">
      <w:pPr>
        <w:pStyle w:val="Normal1"/>
        <w:numPr>
          <w:ilvl w:val="1"/>
          <w:numId w:val="17"/>
        </w:numPr>
        <w:tabs>
          <w:tab w:val="clear" w:pos="567"/>
          <w:tab w:val="left" w:pos="720"/>
          <w:tab w:val="left" w:pos="1418"/>
        </w:tabs>
        <w:spacing w:before="160"/>
        <w:rPr>
          <w:rFonts w:asciiTheme="minorHAnsi" w:hAnsiTheme="minorHAnsi" w:cs="Times New Roman"/>
          <w:sz w:val="22"/>
          <w:szCs w:val="22"/>
        </w:rPr>
      </w:pPr>
      <w:r>
        <w:rPr>
          <w:rFonts w:asciiTheme="minorHAnsi" w:hAnsiTheme="minorHAnsi" w:cs="Times New Roman"/>
          <w:sz w:val="22"/>
          <w:szCs w:val="22"/>
        </w:rPr>
        <w:t>A</w:t>
      </w:r>
      <w:r w:rsidR="007C7692">
        <w:rPr>
          <w:rFonts w:asciiTheme="minorHAnsi" w:hAnsiTheme="minorHAnsi" w:cs="Times New Roman"/>
          <w:sz w:val="22"/>
          <w:szCs w:val="22"/>
        </w:rPr>
        <w:t>pplicability of Article 8.3 of ITRs 2012 and Article 6.12 of ITRs 1988, in particular with the view to clarify in which specific</w:t>
      </w:r>
      <w:r w:rsidR="00FB2170">
        <w:rPr>
          <w:rFonts w:asciiTheme="minorHAnsi" w:hAnsiTheme="minorHAnsi" w:cs="Times New Roman"/>
          <w:sz w:val="22"/>
          <w:szCs w:val="22"/>
        </w:rPr>
        <w:t xml:space="preserve"> circumstances</w:t>
      </w:r>
      <w:r w:rsidR="007C7692">
        <w:rPr>
          <w:rFonts w:asciiTheme="minorHAnsi" w:hAnsiTheme="minorHAnsi" w:cs="Times New Roman"/>
          <w:sz w:val="22"/>
          <w:szCs w:val="22"/>
        </w:rPr>
        <w:t xml:space="preserve"> ITU Member States can legitimately levy fiscal tax on collection charges in respect of international services that </w:t>
      </w:r>
      <w:r w:rsidR="007C7692" w:rsidRPr="007C7692">
        <w:rPr>
          <w:rFonts w:asciiTheme="minorHAnsi" w:hAnsiTheme="minorHAnsi" w:cs="Times New Roman"/>
          <w:sz w:val="22"/>
          <w:szCs w:val="22"/>
          <w:u w:val="single"/>
        </w:rPr>
        <w:t>are not</w:t>
      </w:r>
      <w:r w:rsidR="007C7692" w:rsidRPr="007C7692">
        <w:rPr>
          <w:rFonts w:asciiTheme="minorHAnsi" w:hAnsiTheme="minorHAnsi" w:cs="Times New Roman"/>
          <w:sz w:val="22"/>
          <w:szCs w:val="22"/>
        </w:rPr>
        <w:t xml:space="preserve"> billed to customers in that country;</w:t>
      </w:r>
    </w:p>
    <w:p w14:paraId="69552B4A" w14:textId="63C010AA" w:rsidR="007C7692" w:rsidRDefault="00D0352E" w:rsidP="007C7692">
      <w:pPr>
        <w:pStyle w:val="Normal1"/>
        <w:numPr>
          <w:ilvl w:val="1"/>
          <w:numId w:val="17"/>
        </w:numPr>
        <w:tabs>
          <w:tab w:val="clear" w:pos="567"/>
          <w:tab w:val="left" w:pos="720"/>
          <w:tab w:val="left" w:pos="1418"/>
        </w:tabs>
        <w:spacing w:before="160"/>
        <w:rPr>
          <w:rFonts w:asciiTheme="minorHAnsi" w:hAnsiTheme="minorHAnsi" w:cs="Times New Roman"/>
          <w:sz w:val="22"/>
          <w:szCs w:val="22"/>
        </w:rPr>
      </w:pPr>
      <w:r>
        <w:rPr>
          <w:rFonts w:asciiTheme="minorHAnsi" w:hAnsiTheme="minorHAnsi" w:cs="Times New Roman"/>
          <w:sz w:val="22"/>
          <w:szCs w:val="22"/>
        </w:rPr>
        <w:t>A</w:t>
      </w:r>
      <w:r w:rsidR="007C7692" w:rsidRPr="007C7692">
        <w:rPr>
          <w:rFonts w:asciiTheme="minorHAnsi" w:hAnsiTheme="minorHAnsi" w:cs="Times New Roman"/>
          <w:sz w:val="22"/>
          <w:szCs w:val="22"/>
        </w:rPr>
        <w:t xml:space="preserve">ny potential conflicts between the obligations of signatories to the 2012 ITRs and signatories to the 1988 ITRs with respect to the implementation of </w:t>
      </w:r>
      <w:r w:rsidR="007C7692">
        <w:rPr>
          <w:rFonts w:asciiTheme="minorHAnsi" w:hAnsiTheme="minorHAnsi" w:cs="Times New Roman"/>
          <w:sz w:val="22"/>
          <w:szCs w:val="22"/>
        </w:rPr>
        <w:t xml:space="preserve">Article 8.3 of ITRs 2012 and Article 6.12 of ITRs </w:t>
      </w:r>
      <w:r w:rsidR="007C7692" w:rsidRPr="007C7692">
        <w:rPr>
          <w:rFonts w:asciiTheme="minorHAnsi" w:hAnsiTheme="minorHAnsi" w:cs="Times New Roman"/>
          <w:sz w:val="22"/>
          <w:szCs w:val="22"/>
        </w:rPr>
        <w:t>1988</w:t>
      </w:r>
      <w:r w:rsidR="007C7692">
        <w:rPr>
          <w:rFonts w:asciiTheme="minorHAnsi" w:hAnsiTheme="minorHAnsi" w:cs="Times New Roman"/>
          <w:sz w:val="22"/>
          <w:szCs w:val="22"/>
        </w:rPr>
        <w:t>;</w:t>
      </w:r>
    </w:p>
    <w:p w14:paraId="68600241" w14:textId="021B0AD6" w:rsidR="007C7692" w:rsidRPr="007C7692" w:rsidRDefault="00D0352E" w:rsidP="007C7692">
      <w:pPr>
        <w:pStyle w:val="Normal1"/>
        <w:numPr>
          <w:ilvl w:val="1"/>
          <w:numId w:val="17"/>
        </w:numPr>
        <w:tabs>
          <w:tab w:val="clear" w:pos="567"/>
          <w:tab w:val="left" w:pos="720"/>
          <w:tab w:val="left" w:pos="1418"/>
        </w:tabs>
        <w:spacing w:before="160"/>
        <w:rPr>
          <w:rFonts w:asciiTheme="minorHAnsi" w:hAnsiTheme="minorHAnsi" w:cs="Times New Roman"/>
          <w:sz w:val="22"/>
          <w:szCs w:val="22"/>
        </w:rPr>
      </w:pPr>
      <w:r>
        <w:rPr>
          <w:rFonts w:asciiTheme="minorHAnsi" w:hAnsiTheme="minorHAnsi" w:cs="Times New Roman"/>
          <w:sz w:val="22"/>
          <w:szCs w:val="22"/>
        </w:rPr>
        <w:t>F</w:t>
      </w:r>
      <w:r w:rsidR="007C7692" w:rsidRPr="007C7692">
        <w:rPr>
          <w:rFonts w:asciiTheme="minorHAnsi" w:hAnsiTheme="minorHAnsi" w:cs="Times New Roman"/>
          <w:sz w:val="22"/>
          <w:szCs w:val="22"/>
        </w:rPr>
        <w:t>orms of redress available to operating agencies and/or ITU Member States in cases when certain ITU Member States do not apply or incorrectly apply Article 8.3 of ITRs 2012 and/or Article 6.12 of ITRs 1988;</w:t>
      </w:r>
    </w:p>
    <w:p w14:paraId="446BEF1D" w14:textId="15E8128E" w:rsidR="00930CB5" w:rsidRDefault="00D90A7E" w:rsidP="007C7692">
      <w:pPr>
        <w:pStyle w:val="Normal1"/>
        <w:numPr>
          <w:ilvl w:val="0"/>
          <w:numId w:val="17"/>
        </w:numPr>
        <w:tabs>
          <w:tab w:val="clear" w:pos="567"/>
          <w:tab w:val="left" w:pos="720"/>
          <w:tab w:val="left" w:pos="1418"/>
        </w:tabs>
        <w:spacing w:before="160"/>
        <w:rPr>
          <w:rFonts w:asciiTheme="minorHAnsi" w:hAnsiTheme="minorHAnsi" w:cs="Times New Roman"/>
          <w:sz w:val="22"/>
          <w:szCs w:val="22"/>
        </w:rPr>
      </w:pPr>
      <w:r>
        <w:rPr>
          <w:rFonts w:asciiTheme="minorHAnsi" w:hAnsiTheme="minorHAnsi" w:cs="Times New Roman"/>
          <w:sz w:val="22"/>
          <w:szCs w:val="22"/>
        </w:rPr>
        <w:t xml:space="preserve">Having reviewed </w:t>
      </w:r>
      <w:r w:rsidRPr="007C7692">
        <w:rPr>
          <w:rFonts w:asciiTheme="minorHAnsi" w:hAnsiTheme="minorHAnsi" w:cs="Times New Roman"/>
          <w:sz w:val="22"/>
          <w:szCs w:val="22"/>
        </w:rPr>
        <w:t>Article 8.3 of ITRs 2012 and/or Article 6.12 of ITRs 1988</w:t>
      </w:r>
      <w:r>
        <w:rPr>
          <w:rFonts w:asciiTheme="minorHAnsi" w:hAnsiTheme="minorHAnsi" w:cs="Times New Roman"/>
          <w:sz w:val="22"/>
          <w:szCs w:val="22"/>
        </w:rPr>
        <w:t>, o</w:t>
      </w:r>
      <w:r w:rsidR="007C7692">
        <w:rPr>
          <w:rFonts w:asciiTheme="minorHAnsi" w:hAnsiTheme="minorHAnsi" w:cs="Times New Roman"/>
          <w:sz w:val="22"/>
          <w:szCs w:val="22"/>
        </w:rPr>
        <w:t>n the basis of the legal analysis provided as per above</w:t>
      </w:r>
      <w:r w:rsidR="00F90453">
        <w:rPr>
          <w:rFonts w:asciiTheme="minorHAnsi" w:hAnsiTheme="minorHAnsi" w:cs="Times New Roman"/>
          <w:sz w:val="22"/>
          <w:szCs w:val="22"/>
        </w:rPr>
        <w:t xml:space="preserve"> include in its report a suggestion to the Council to</w:t>
      </w:r>
      <w:r w:rsidR="00930CB5">
        <w:rPr>
          <w:rFonts w:asciiTheme="minorHAnsi" w:hAnsiTheme="minorHAnsi" w:cs="Times New Roman"/>
          <w:sz w:val="22"/>
          <w:szCs w:val="22"/>
        </w:rPr>
        <w:t>:</w:t>
      </w:r>
    </w:p>
    <w:p w14:paraId="35995553" w14:textId="7BE8E1C7" w:rsidR="00930CB5" w:rsidRDefault="00930CB5" w:rsidP="00930CB5">
      <w:pPr>
        <w:pStyle w:val="Normal1"/>
        <w:numPr>
          <w:ilvl w:val="1"/>
          <w:numId w:val="17"/>
        </w:numPr>
        <w:tabs>
          <w:tab w:val="clear" w:pos="567"/>
          <w:tab w:val="left" w:pos="720"/>
          <w:tab w:val="left" w:pos="1418"/>
        </w:tabs>
        <w:spacing w:before="160"/>
        <w:rPr>
          <w:rFonts w:asciiTheme="minorHAnsi" w:hAnsiTheme="minorHAnsi" w:cs="Times New Roman"/>
          <w:sz w:val="22"/>
          <w:szCs w:val="22"/>
        </w:rPr>
      </w:pPr>
      <w:r>
        <w:rPr>
          <w:rFonts w:asciiTheme="minorHAnsi" w:hAnsiTheme="minorHAnsi" w:cs="Times New Roman"/>
          <w:sz w:val="22"/>
          <w:szCs w:val="22"/>
        </w:rPr>
        <w:t xml:space="preserve">Invite ITU Member States to apply Article 8.3 of ITRs 2012 and Article 6.12 of ITRs 1988 in </w:t>
      </w:r>
      <w:r w:rsidR="00FB2170">
        <w:rPr>
          <w:rFonts w:asciiTheme="minorHAnsi" w:hAnsiTheme="minorHAnsi" w:cs="Times New Roman"/>
          <w:sz w:val="22"/>
          <w:szCs w:val="22"/>
        </w:rPr>
        <w:t xml:space="preserve">an accurate, </w:t>
      </w:r>
      <w:r>
        <w:rPr>
          <w:rFonts w:asciiTheme="minorHAnsi" w:hAnsiTheme="minorHAnsi" w:cs="Times New Roman"/>
          <w:sz w:val="22"/>
          <w:szCs w:val="22"/>
        </w:rPr>
        <w:t>consistent, predictable and certain manner;</w:t>
      </w:r>
    </w:p>
    <w:p w14:paraId="6F2A8C77" w14:textId="57BB9F15" w:rsidR="007C7692" w:rsidRDefault="00930CB5" w:rsidP="00930CB5">
      <w:pPr>
        <w:pStyle w:val="Normal1"/>
        <w:numPr>
          <w:ilvl w:val="1"/>
          <w:numId w:val="17"/>
        </w:numPr>
        <w:tabs>
          <w:tab w:val="clear" w:pos="567"/>
          <w:tab w:val="left" w:pos="720"/>
          <w:tab w:val="left" w:pos="1418"/>
        </w:tabs>
        <w:spacing w:before="160"/>
        <w:rPr>
          <w:rFonts w:asciiTheme="minorHAnsi" w:hAnsiTheme="minorHAnsi" w:cs="Times New Roman"/>
          <w:sz w:val="22"/>
          <w:szCs w:val="22"/>
        </w:rPr>
      </w:pPr>
      <w:r>
        <w:rPr>
          <w:rFonts w:asciiTheme="minorHAnsi" w:hAnsiTheme="minorHAnsi" w:cs="Times New Roman"/>
          <w:sz w:val="22"/>
          <w:szCs w:val="22"/>
        </w:rPr>
        <w:t>C</w:t>
      </w:r>
      <w:r w:rsidR="007C7692">
        <w:rPr>
          <w:rFonts w:asciiTheme="minorHAnsi" w:hAnsiTheme="minorHAnsi" w:cs="Times New Roman"/>
          <w:sz w:val="22"/>
          <w:szCs w:val="22"/>
        </w:rPr>
        <w:t xml:space="preserve">onsider </w:t>
      </w:r>
      <w:r w:rsidR="00F90453">
        <w:rPr>
          <w:rFonts w:asciiTheme="minorHAnsi" w:hAnsiTheme="minorHAnsi" w:cs="Times New Roman"/>
          <w:sz w:val="22"/>
          <w:szCs w:val="22"/>
        </w:rPr>
        <w:t xml:space="preserve">a need to develop and adopt </w:t>
      </w:r>
      <w:r w:rsidR="007C7692">
        <w:rPr>
          <w:rFonts w:asciiTheme="minorHAnsi" w:hAnsiTheme="minorHAnsi" w:cs="Times New Roman"/>
          <w:sz w:val="22"/>
          <w:szCs w:val="22"/>
        </w:rPr>
        <w:t>binding (such as amendments to ITRs) and/or non-binding (such as ITU-T Recommendations) instruments to reinforce certainty and predictability of application of Article 8.3 of ITRs 2012 and Article 6.12 of ITRs 1988.</w:t>
      </w:r>
    </w:p>
    <w:p w14:paraId="59DC7BD6" w14:textId="7A87B314" w:rsidR="001C0870" w:rsidRPr="001C0870" w:rsidRDefault="001C0870" w:rsidP="001C0870">
      <w:pPr>
        <w:pStyle w:val="Normal1"/>
        <w:tabs>
          <w:tab w:val="left" w:pos="1418"/>
        </w:tabs>
        <w:spacing w:before="160"/>
        <w:jc w:val="center"/>
        <w:rPr>
          <w:rFonts w:asciiTheme="minorHAnsi" w:hAnsiTheme="minorHAnsi" w:cs="Times New Roman"/>
          <w:sz w:val="22"/>
          <w:szCs w:val="22"/>
          <w:u w:val="single"/>
        </w:rPr>
      </w:pPr>
      <w:r>
        <w:rPr>
          <w:rFonts w:asciiTheme="minorHAnsi" w:hAnsiTheme="minorHAnsi" w:cs="Times New Roman"/>
          <w:sz w:val="22"/>
          <w:szCs w:val="22"/>
          <w:u w:val="single"/>
        </w:rPr>
        <w:t>                                          </w:t>
      </w:r>
    </w:p>
    <w:sectPr w:rsidR="001C0870" w:rsidRPr="001C0870" w:rsidSect="00024E46">
      <w:headerReference w:type="default" r:id="rId9"/>
      <w:footerReference w:type="default" r:id="rId10"/>
      <w:pgSz w:w="11907" w:h="16840" w:code="9"/>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DEC01" w14:textId="77777777" w:rsidR="00E12274" w:rsidRDefault="00E12274" w:rsidP="002E7BF9">
      <w:pPr>
        <w:spacing w:before="0"/>
      </w:pPr>
      <w:r>
        <w:separator/>
      </w:r>
    </w:p>
  </w:endnote>
  <w:endnote w:type="continuationSeparator" w:id="0">
    <w:p w14:paraId="3D34C23A" w14:textId="77777777" w:rsidR="00E12274" w:rsidRDefault="00E12274" w:rsidP="002E7B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767358"/>
      <w:docPartObj>
        <w:docPartGallery w:val="Page Numbers (Bottom of Page)"/>
        <w:docPartUnique/>
      </w:docPartObj>
    </w:sdtPr>
    <w:sdtEndPr>
      <w:rPr>
        <w:noProof/>
      </w:rPr>
    </w:sdtEndPr>
    <w:sdtContent>
      <w:p w14:paraId="6A92D0CB" w14:textId="77777777" w:rsidR="00761711" w:rsidRDefault="00761711">
        <w:pPr>
          <w:pStyle w:val="Footer"/>
          <w:jc w:val="center"/>
        </w:pPr>
        <w:r>
          <w:fldChar w:fldCharType="begin"/>
        </w:r>
        <w:r>
          <w:instrText xml:space="preserve"> PAGE   \* MERGEFORMAT </w:instrText>
        </w:r>
        <w:r>
          <w:fldChar w:fldCharType="separate"/>
        </w:r>
        <w:r w:rsidR="0043115D">
          <w:rPr>
            <w:noProof/>
          </w:rPr>
          <w:t>3</w:t>
        </w:r>
        <w:r>
          <w:rPr>
            <w:noProof/>
          </w:rPr>
          <w:fldChar w:fldCharType="end"/>
        </w:r>
      </w:p>
    </w:sdtContent>
  </w:sdt>
  <w:p w14:paraId="1D60EFF6" w14:textId="77777777" w:rsidR="00761711" w:rsidRDefault="00761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35D19" w14:textId="77777777" w:rsidR="00E12274" w:rsidRDefault="00E12274" w:rsidP="002E7BF9">
      <w:pPr>
        <w:spacing w:before="0"/>
      </w:pPr>
      <w:r>
        <w:separator/>
      </w:r>
    </w:p>
  </w:footnote>
  <w:footnote w:type="continuationSeparator" w:id="0">
    <w:p w14:paraId="132F1CD2" w14:textId="77777777" w:rsidR="00E12274" w:rsidRDefault="00E12274" w:rsidP="002E7BF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237735"/>
      <w:docPartObj>
        <w:docPartGallery w:val="Page Numbers (Top of Page)"/>
        <w:docPartUnique/>
      </w:docPartObj>
    </w:sdtPr>
    <w:sdtEndPr>
      <w:rPr>
        <w:noProof/>
      </w:rPr>
    </w:sdtEndPr>
    <w:sdtContent>
      <w:p w14:paraId="5CE00232" w14:textId="43F609DA" w:rsidR="001C0870" w:rsidRDefault="001C0870">
        <w:pPr>
          <w:pStyle w:val="Header"/>
          <w:jc w:val="center"/>
        </w:pPr>
        <w:r>
          <w:fldChar w:fldCharType="begin"/>
        </w:r>
        <w:r>
          <w:instrText xml:space="preserve"> PAGE   \* MERGEFORMAT </w:instrText>
        </w:r>
        <w:r>
          <w:fldChar w:fldCharType="separate"/>
        </w:r>
        <w:r w:rsidR="0043115D">
          <w:rPr>
            <w:noProof/>
          </w:rPr>
          <w:t>3</w:t>
        </w:r>
        <w:r>
          <w:rPr>
            <w:noProof/>
          </w:rPr>
          <w:fldChar w:fldCharType="end"/>
        </w:r>
      </w:p>
    </w:sdtContent>
  </w:sdt>
  <w:p w14:paraId="2F36A785" w14:textId="77777777" w:rsidR="001C0870" w:rsidRDefault="001C0870" w:rsidP="001C087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14A39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840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7403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820E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026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3C93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1858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220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18CD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14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714B8"/>
    <w:multiLevelType w:val="hybridMultilevel"/>
    <w:tmpl w:val="82986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FA5DDE"/>
    <w:multiLevelType w:val="hybridMultilevel"/>
    <w:tmpl w:val="CBD412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543D84"/>
    <w:multiLevelType w:val="hybridMultilevel"/>
    <w:tmpl w:val="61045D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220985"/>
    <w:multiLevelType w:val="hybridMultilevel"/>
    <w:tmpl w:val="F886C3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64436F1"/>
    <w:multiLevelType w:val="multilevel"/>
    <w:tmpl w:val="B49A2D4C"/>
    <w:lvl w:ilvl="0">
      <w:start w:val="1"/>
      <w:numFmt w:val="decimal"/>
      <w:lvlText w:val="%1."/>
      <w:lvlJc w:val="left"/>
      <w:pPr>
        <w:ind w:left="810" w:hanging="360"/>
      </w:pPr>
      <w:rPr>
        <w:rFonts w:hint="default"/>
        <w:b/>
      </w:rPr>
    </w:lvl>
    <w:lvl w:ilvl="1">
      <w:start w:val="1"/>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480" w:hanging="1440"/>
      </w:pPr>
      <w:rPr>
        <w:rFonts w:hint="default"/>
      </w:rPr>
    </w:lvl>
  </w:abstractNum>
  <w:abstractNum w:abstractNumId="15" w15:restartNumberingAfterBreak="0">
    <w:nsid w:val="5CCC5952"/>
    <w:multiLevelType w:val="hybridMultilevel"/>
    <w:tmpl w:val="559223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233F92"/>
    <w:multiLevelType w:val="hybridMultilevel"/>
    <w:tmpl w:val="B7942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08732B"/>
    <w:multiLevelType w:val="hybridMultilevel"/>
    <w:tmpl w:val="5FFE311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6"/>
  </w:num>
  <w:num w:numId="14">
    <w:abstractNumId w:val="12"/>
  </w:num>
  <w:num w:numId="15">
    <w:abstractNumId w:val="11"/>
  </w:num>
  <w:num w:numId="16">
    <w:abstractNumId w:val="15"/>
  </w:num>
  <w:num w:numId="17">
    <w:abstractNumId w:val="17"/>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30"/>
    <w:rsid w:val="00024E46"/>
    <w:rsid w:val="000343B4"/>
    <w:rsid w:val="00046A88"/>
    <w:rsid w:val="000654F3"/>
    <w:rsid w:val="00066CF0"/>
    <w:rsid w:val="00076C2A"/>
    <w:rsid w:val="00076FFD"/>
    <w:rsid w:val="00087353"/>
    <w:rsid w:val="000A351D"/>
    <w:rsid w:val="000B54EF"/>
    <w:rsid w:val="000C6904"/>
    <w:rsid w:val="000C6FBE"/>
    <w:rsid w:val="000D1A54"/>
    <w:rsid w:val="000E18D6"/>
    <w:rsid w:val="001429FC"/>
    <w:rsid w:val="00150CDC"/>
    <w:rsid w:val="001636AA"/>
    <w:rsid w:val="00165F4B"/>
    <w:rsid w:val="001712DE"/>
    <w:rsid w:val="001769EC"/>
    <w:rsid w:val="00182F13"/>
    <w:rsid w:val="00196100"/>
    <w:rsid w:val="001B26D7"/>
    <w:rsid w:val="001B369B"/>
    <w:rsid w:val="001C0870"/>
    <w:rsid w:val="001E78FC"/>
    <w:rsid w:val="001F1FFD"/>
    <w:rsid w:val="001F69B1"/>
    <w:rsid w:val="002034A3"/>
    <w:rsid w:val="002108E5"/>
    <w:rsid w:val="0021695D"/>
    <w:rsid w:val="002234B3"/>
    <w:rsid w:val="00223BCE"/>
    <w:rsid w:val="00235650"/>
    <w:rsid w:val="00241D13"/>
    <w:rsid w:val="00251DFB"/>
    <w:rsid w:val="00274508"/>
    <w:rsid w:val="00281B54"/>
    <w:rsid w:val="00282208"/>
    <w:rsid w:val="002A1F3C"/>
    <w:rsid w:val="002D2547"/>
    <w:rsid w:val="002D38E8"/>
    <w:rsid w:val="002E5B62"/>
    <w:rsid w:val="002E7BF9"/>
    <w:rsid w:val="003021A2"/>
    <w:rsid w:val="00362A3E"/>
    <w:rsid w:val="003827FC"/>
    <w:rsid w:val="0039031D"/>
    <w:rsid w:val="003A5503"/>
    <w:rsid w:val="0043115D"/>
    <w:rsid w:val="00451E58"/>
    <w:rsid w:val="00466AC2"/>
    <w:rsid w:val="00481076"/>
    <w:rsid w:val="004936C2"/>
    <w:rsid w:val="004A1B89"/>
    <w:rsid w:val="004C6474"/>
    <w:rsid w:val="004E1DA2"/>
    <w:rsid w:val="005046E5"/>
    <w:rsid w:val="005078F8"/>
    <w:rsid w:val="00525036"/>
    <w:rsid w:val="00551FEB"/>
    <w:rsid w:val="00561DFC"/>
    <w:rsid w:val="0056260D"/>
    <w:rsid w:val="00570A13"/>
    <w:rsid w:val="005A07F0"/>
    <w:rsid w:val="005A1120"/>
    <w:rsid w:val="005B57DD"/>
    <w:rsid w:val="005C578E"/>
    <w:rsid w:val="005E5B9D"/>
    <w:rsid w:val="00614D87"/>
    <w:rsid w:val="00636058"/>
    <w:rsid w:val="00641F13"/>
    <w:rsid w:val="00667FFC"/>
    <w:rsid w:val="006960DF"/>
    <w:rsid w:val="006D14A3"/>
    <w:rsid w:val="006E7A0C"/>
    <w:rsid w:val="006F6D44"/>
    <w:rsid w:val="00701D78"/>
    <w:rsid w:val="007429A4"/>
    <w:rsid w:val="00761711"/>
    <w:rsid w:val="00796594"/>
    <w:rsid w:val="007A3D80"/>
    <w:rsid w:val="007B4350"/>
    <w:rsid w:val="007C5C5F"/>
    <w:rsid w:val="007C7692"/>
    <w:rsid w:val="007D341B"/>
    <w:rsid w:val="007F0DB7"/>
    <w:rsid w:val="007F257F"/>
    <w:rsid w:val="00833FF9"/>
    <w:rsid w:val="00856317"/>
    <w:rsid w:val="008717A5"/>
    <w:rsid w:val="0087373F"/>
    <w:rsid w:val="00893796"/>
    <w:rsid w:val="008A687C"/>
    <w:rsid w:val="008D6D21"/>
    <w:rsid w:val="008E4276"/>
    <w:rsid w:val="00922651"/>
    <w:rsid w:val="00930CB5"/>
    <w:rsid w:val="00933C40"/>
    <w:rsid w:val="0093678B"/>
    <w:rsid w:val="00984B80"/>
    <w:rsid w:val="009A626D"/>
    <w:rsid w:val="009B02DE"/>
    <w:rsid w:val="009B0CB9"/>
    <w:rsid w:val="009B56AF"/>
    <w:rsid w:val="009C773C"/>
    <w:rsid w:val="00A03A1F"/>
    <w:rsid w:val="00A1314E"/>
    <w:rsid w:val="00A3638E"/>
    <w:rsid w:val="00A7020E"/>
    <w:rsid w:val="00A81FDB"/>
    <w:rsid w:val="00A94885"/>
    <w:rsid w:val="00AB4BD2"/>
    <w:rsid w:val="00AD7001"/>
    <w:rsid w:val="00AE5D64"/>
    <w:rsid w:val="00B026D7"/>
    <w:rsid w:val="00B47273"/>
    <w:rsid w:val="00B656F2"/>
    <w:rsid w:val="00B77345"/>
    <w:rsid w:val="00B90CF4"/>
    <w:rsid w:val="00B93274"/>
    <w:rsid w:val="00B93439"/>
    <w:rsid w:val="00B937C1"/>
    <w:rsid w:val="00BA4380"/>
    <w:rsid w:val="00BB133A"/>
    <w:rsid w:val="00BB3930"/>
    <w:rsid w:val="00BB7E8A"/>
    <w:rsid w:val="00C251A3"/>
    <w:rsid w:val="00C3791A"/>
    <w:rsid w:val="00C43A87"/>
    <w:rsid w:val="00CA3A6A"/>
    <w:rsid w:val="00CA4C82"/>
    <w:rsid w:val="00CB7A02"/>
    <w:rsid w:val="00CC2994"/>
    <w:rsid w:val="00CC399F"/>
    <w:rsid w:val="00CE6470"/>
    <w:rsid w:val="00CF608F"/>
    <w:rsid w:val="00D0352E"/>
    <w:rsid w:val="00D206EA"/>
    <w:rsid w:val="00D30227"/>
    <w:rsid w:val="00D40F3B"/>
    <w:rsid w:val="00D673D1"/>
    <w:rsid w:val="00D67AD6"/>
    <w:rsid w:val="00D86D0A"/>
    <w:rsid w:val="00D90A7E"/>
    <w:rsid w:val="00D92631"/>
    <w:rsid w:val="00D94CD9"/>
    <w:rsid w:val="00DA6032"/>
    <w:rsid w:val="00DD1913"/>
    <w:rsid w:val="00DD3D0C"/>
    <w:rsid w:val="00DF0D1C"/>
    <w:rsid w:val="00DF13EF"/>
    <w:rsid w:val="00E12274"/>
    <w:rsid w:val="00E2264B"/>
    <w:rsid w:val="00E24FD0"/>
    <w:rsid w:val="00E32BAD"/>
    <w:rsid w:val="00E41D01"/>
    <w:rsid w:val="00E7358A"/>
    <w:rsid w:val="00E8627D"/>
    <w:rsid w:val="00EA2A4D"/>
    <w:rsid w:val="00EB6D7A"/>
    <w:rsid w:val="00EC58F3"/>
    <w:rsid w:val="00EF5662"/>
    <w:rsid w:val="00F33D15"/>
    <w:rsid w:val="00F44092"/>
    <w:rsid w:val="00F536E0"/>
    <w:rsid w:val="00F53E89"/>
    <w:rsid w:val="00F55F9D"/>
    <w:rsid w:val="00F6470C"/>
    <w:rsid w:val="00F90453"/>
    <w:rsid w:val="00FB2170"/>
    <w:rsid w:val="00FC77F6"/>
    <w:rsid w:val="00FE53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C1B8"/>
  <w15:docId w15:val="{75AEA5AC-C6C5-4706-B943-2C769673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930"/>
    <w:pP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lang w:val="en-GB"/>
    </w:rPr>
  </w:style>
  <w:style w:type="paragraph" w:styleId="Heading1">
    <w:name w:val="heading 1"/>
    <w:basedOn w:val="Normal"/>
    <w:next w:val="Normal"/>
    <w:link w:val="Heading1Char"/>
    <w:uiPriority w:val="9"/>
    <w:qFormat/>
    <w:rsid w:val="00DD1913"/>
    <w:pPr>
      <w:keepNext/>
      <w:keepLines/>
      <w:tabs>
        <w:tab w:val="clear" w:pos="567"/>
        <w:tab w:val="clear" w:pos="1134"/>
        <w:tab w:val="clear" w:pos="1701"/>
        <w:tab w:val="clear" w:pos="2268"/>
        <w:tab w:val="clear" w:pos="2835"/>
      </w:tabs>
      <w:spacing w:before="480" w:line="276" w:lineRule="auto"/>
      <w:outlineLvl w:val="0"/>
    </w:pPr>
    <w:rPr>
      <w:rFonts w:asciiTheme="majorHAnsi" w:eastAsiaTheme="majorEastAsia" w:hAnsiTheme="majorHAnsi" w:cstheme="majorBidi"/>
      <w:b/>
      <w:bCs/>
      <w:color w:val="2E74B5"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B3930"/>
    <w:pP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lang w:val="en-GB"/>
    </w:rPr>
  </w:style>
  <w:style w:type="character" w:styleId="CommentReference">
    <w:name w:val="annotation reference"/>
    <w:basedOn w:val="DefaultParagraphFont"/>
    <w:uiPriority w:val="99"/>
    <w:semiHidden/>
    <w:unhideWhenUsed/>
    <w:rsid w:val="00BB3930"/>
    <w:rPr>
      <w:sz w:val="16"/>
      <w:szCs w:val="16"/>
    </w:rPr>
  </w:style>
  <w:style w:type="paragraph" w:styleId="CommentText">
    <w:name w:val="annotation text"/>
    <w:basedOn w:val="Normal"/>
    <w:link w:val="CommentTextChar"/>
    <w:uiPriority w:val="99"/>
    <w:unhideWhenUsed/>
    <w:rsid w:val="00BB3930"/>
    <w:rPr>
      <w:sz w:val="20"/>
      <w:szCs w:val="20"/>
    </w:rPr>
  </w:style>
  <w:style w:type="character" w:customStyle="1" w:styleId="CommentTextChar">
    <w:name w:val="Comment Text Char"/>
    <w:basedOn w:val="DefaultParagraphFont"/>
    <w:link w:val="CommentText"/>
    <w:uiPriority w:val="99"/>
    <w:rsid w:val="00BB3930"/>
    <w:rPr>
      <w:rFonts w:ascii="Calibri" w:eastAsia="Calibri" w:hAnsi="Calibri" w:cs="Calibri"/>
      <w:color w:val="000000"/>
      <w:sz w:val="20"/>
      <w:szCs w:val="20"/>
      <w:lang w:val="en-GB"/>
    </w:rPr>
  </w:style>
  <w:style w:type="paragraph" w:styleId="BalloonText">
    <w:name w:val="Balloon Text"/>
    <w:basedOn w:val="Normal"/>
    <w:link w:val="BalloonTextChar"/>
    <w:uiPriority w:val="99"/>
    <w:semiHidden/>
    <w:unhideWhenUsed/>
    <w:rsid w:val="00BB393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930"/>
    <w:rPr>
      <w:rFonts w:ascii="Segoe UI" w:eastAsia="Calibri" w:hAnsi="Segoe UI" w:cs="Segoe UI"/>
      <w:color w:val="000000"/>
      <w:sz w:val="18"/>
      <w:szCs w:val="18"/>
      <w:lang w:val="en-GB"/>
    </w:rPr>
  </w:style>
  <w:style w:type="paragraph" w:styleId="FootnoteText">
    <w:name w:val="footnote text"/>
    <w:basedOn w:val="Normal"/>
    <w:link w:val="FootnoteTextChar"/>
    <w:uiPriority w:val="99"/>
    <w:semiHidden/>
    <w:unhideWhenUsed/>
    <w:rsid w:val="002E7BF9"/>
    <w:pPr>
      <w:spacing w:before="0"/>
    </w:pPr>
    <w:rPr>
      <w:sz w:val="20"/>
      <w:szCs w:val="20"/>
    </w:rPr>
  </w:style>
  <w:style w:type="character" w:customStyle="1" w:styleId="FootnoteTextChar">
    <w:name w:val="Footnote Text Char"/>
    <w:basedOn w:val="DefaultParagraphFont"/>
    <w:link w:val="FootnoteText"/>
    <w:uiPriority w:val="99"/>
    <w:semiHidden/>
    <w:rsid w:val="002E7BF9"/>
    <w:rPr>
      <w:rFonts w:ascii="Calibri" w:eastAsia="Calibri" w:hAnsi="Calibri" w:cs="Calibri"/>
      <w:color w:val="000000"/>
      <w:sz w:val="20"/>
      <w:szCs w:val="20"/>
      <w:lang w:val="en-GB"/>
    </w:rPr>
  </w:style>
  <w:style w:type="character" w:styleId="FootnoteReference">
    <w:name w:val="footnote reference"/>
    <w:basedOn w:val="DefaultParagraphFont"/>
    <w:uiPriority w:val="99"/>
    <w:semiHidden/>
    <w:unhideWhenUsed/>
    <w:rsid w:val="002E7BF9"/>
    <w:rPr>
      <w:vertAlign w:val="superscript"/>
    </w:rPr>
  </w:style>
  <w:style w:type="paragraph" w:styleId="CommentSubject">
    <w:name w:val="annotation subject"/>
    <w:basedOn w:val="CommentText"/>
    <w:next w:val="CommentText"/>
    <w:link w:val="CommentSubjectChar"/>
    <w:uiPriority w:val="99"/>
    <w:semiHidden/>
    <w:unhideWhenUsed/>
    <w:rsid w:val="006960DF"/>
    <w:rPr>
      <w:b/>
      <w:bCs/>
    </w:rPr>
  </w:style>
  <w:style w:type="character" w:customStyle="1" w:styleId="CommentSubjectChar">
    <w:name w:val="Comment Subject Char"/>
    <w:basedOn w:val="CommentTextChar"/>
    <w:link w:val="CommentSubject"/>
    <w:uiPriority w:val="99"/>
    <w:semiHidden/>
    <w:rsid w:val="006960DF"/>
    <w:rPr>
      <w:rFonts w:ascii="Calibri" w:eastAsia="Calibri" w:hAnsi="Calibri" w:cs="Calibri"/>
      <w:b/>
      <w:bCs/>
      <w:color w:val="000000"/>
      <w:sz w:val="20"/>
      <w:szCs w:val="20"/>
      <w:lang w:val="en-GB"/>
    </w:rPr>
  </w:style>
  <w:style w:type="paragraph" w:styleId="Revision">
    <w:name w:val="Revision"/>
    <w:hidden/>
    <w:uiPriority w:val="99"/>
    <w:semiHidden/>
    <w:rsid w:val="000A351D"/>
    <w:pPr>
      <w:spacing w:after="0" w:line="240" w:lineRule="auto"/>
    </w:pPr>
    <w:rPr>
      <w:rFonts w:ascii="Calibri" w:eastAsia="Calibri" w:hAnsi="Calibri" w:cs="Calibri"/>
      <w:color w:val="000000"/>
      <w:sz w:val="24"/>
      <w:szCs w:val="24"/>
      <w:lang w:val="en-GB"/>
    </w:rPr>
  </w:style>
  <w:style w:type="character" w:customStyle="1" w:styleId="Heading1Char">
    <w:name w:val="Heading 1 Char"/>
    <w:basedOn w:val="DefaultParagraphFont"/>
    <w:link w:val="Heading1"/>
    <w:uiPriority w:val="9"/>
    <w:rsid w:val="00DD1913"/>
    <w:rPr>
      <w:rFonts w:asciiTheme="majorHAnsi" w:eastAsiaTheme="majorEastAsia" w:hAnsiTheme="majorHAnsi" w:cstheme="majorBidi"/>
      <w:b/>
      <w:bCs/>
      <w:color w:val="2E74B5" w:themeColor="accent1" w:themeShade="BF"/>
      <w:sz w:val="28"/>
      <w:szCs w:val="28"/>
      <w:lang w:eastAsia="ja-JP"/>
    </w:rPr>
  </w:style>
  <w:style w:type="paragraph" w:styleId="Header">
    <w:name w:val="header"/>
    <w:basedOn w:val="Normal"/>
    <w:link w:val="HeaderChar"/>
    <w:uiPriority w:val="99"/>
    <w:unhideWhenUsed/>
    <w:rsid w:val="00761711"/>
    <w:pPr>
      <w:tabs>
        <w:tab w:val="clear" w:pos="567"/>
        <w:tab w:val="clear" w:pos="1134"/>
        <w:tab w:val="clear" w:pos="1701"/>
        <w:tab w:val="clear" w:pos="2268"/>
        <w:tab w:val="clear" w:pos="2835"/>
        <w:tab w:val="center" w:pos="4680"/>
        <w:tab w:val="right" w:pos="9360"/>
      </w:tabs>
      <w:spacing w:before="0"/>
    </w:pPr>
  </w:style>
  <w:style w:type="character" w:customStyle="1" w:styleId="HeaderChar">
    <w:name w:val="Header Char"/>
    <w:basedOn w:val="DefaultParagraphFont"/>
    <w:link w:val="Header"/>
    <w:uiPriority w:val="99"/>
    <w:rsid w:val="00761711"/>
    <w:rPr>
      <w:rFonts w:ascii="Calibri" w:eastAsia="Calibri" w:hAnsi="Calibri" w:cs="Calibri"/>
      <w:color w:val="000000"/>
      <w:sz w:val="24"/>
      <w:szCs w:val="24"/>
      <w:lang w:val="en-GB"/>
    </w:rPr>
  </w:style>
  <w:style w:type="paragraph" w:styleId="Footer">
    <w:name w:val="footer"/>
    <w:basedOn w:val="Normal"/>
    <w:link w:val="FooterChar"/>
    <w:uiPriority w:val="99"/>
    <w:unhideWhenUsed/>
    <w:rsid w:val="00761711"/>
    <w:pPr>
      <w:tabs>
        <w:tab w:val="clear" w:pos="567"/>
        <w:tab w:val="clear" w:pos="1134"/>
        <w:tab w:val="clear" w:pos="1701"/>
        <w:tab w:val="clear" w:pos="2268"/>
        <w:tab w:val="clear" w:pos="2835"/>
        <w:tab w:val="center" w:pos="4680"/>
        <w:tab w:val="right" w:pos="9360"/>
      </w:tabs>
      <w:spacing w:before="0"/>
    </w:pPr>
  </w:style>
  <w:style w:type="character" w:customStyle="1" w:styleId="FooterChar">
    <w:name w:val="Footer Char"/>
    <w:basedOn w:val="DefaultParagraphFont"/>
    <w:link w:val="Footer"/>
    <w:uiPriority w:val="99"/>
    <w:rsid w:val="00761711"/>
    <w:rPr>
      <w:rFonts w:ascii="Calibri" w:eastAsia="Calibri" w:hAnsi="Calibri" w:cs="Calibri"/>
      <w:color w:val="000000"/>
      <w:sz w:val="24"/>
      <w:szCs w:val="24"/>
      <w:lang w:val="en-GB"/>
    </w:rPr>
  </w:style>
  <w:style w:type="paragraph" w:customStyle="1" w:styleId="Title1">
    <w:name w:val="Title 1"/>
    <w:basedOn w:val="Normal1"/>
    <w:rsid w:val="001C0870"/>
    <w:pPr>
      <w:spacing w:before="240"/>
      <w:jc w:val="center"/>
    </w:pPr>
    <w:rPr>
      <w:rFonts w:asciiTheme="minorHAnsi" w:hAnsiTheme="minorHAnsi" w:cs="Times New Roman"/>
      <w:sz w:val="28"/>
      <w:szCs w:val="28"/>
    </w:rPr>
  </w:style>
  <w:style w:type="character" w:styleId="Hyperlink">
    <w:name w:val="Hyperlink"/>
    <w:basedOn w:val="DefaultParagraphFont"/>
    <w:uiPriority w:val="99"/>
    <w:unhideWhenUsed/>
    <w:rsid w:val="001C0870"/>
    <w:rPr>
      <w:color w:val="0563C1" w:themeColor="hyperlink"/>
      <w:u w:val="single"/>
    </w:rPr>
  </w:style>
  <w:style w:type="character" w:styleId="FollowedHyperlink">
    <w:name w:val="FollowedHyperlink"/>
    <w:basedOn w:val="DefaultParagraphFont"/>
    <w:uiPriority w:val="99"/>
    <w:semiHidden/>
    <w:unhideWhenUsed/>
    <w:rsid w:val="001C0870"/>
    <w:rPr>
      <w:color w:val="954F72" w:themeColor="followedHyperlink"/>
      <w:u w:val="single"/>
    </w:rPr>
  </w:style>
  <w:style w:type="paragraph" w:styleId="NormalWeb">
    <w:name w:val="Normal (Web)"/>
    <w:basedOn w:val="Normal"/>
    <w:uiPriority w:val="99"/>
    <w:unhideWhenUsed/>
    <w:rsid w:val="00D0352E"/>
    <w:pPr>
      <w:tabs>
        <w:tab w:val="clear" w:pos="567"/>
        <w:tab w:val="clear" w:pos="1134"/>
        <w:tab w:val="clear" w:pos="1701"/>
        <w:tab w:val="clear" w:pos="2268"/>
        <w:tab w:val="clear" w:pos="2835"/>
      </w:tabs>
      <w:spacing w:before="100" w:beforeAutospacing="1" w:after="100" w:afterAutospacing="1"/>
    </w:pPr>
    <w:rPr>
      <w:rFonts w:ascii="Times New Roman" w:eastAsia="Times New Roman" w:hAnsi="Times New Roman" w:cs="Times New Roman"/>
      <w:color w:val="auto"/>
      <w:lang w:eastAsia="en-GB"/>
    </w:rPr>
  </w:style>
  <w:style w:type="paragraph" w:styleId="ListParagraph">
    <w:name w:val="List Paragraph"/>
    <w:basedOn w:val="Normal"/>
    <w:uiPriority w:val="34"/>
    <w:qFormat/>
    <w:rsid w:val="00BB7E8A"/>
    <w:pPr>
      <w:tabs>
        <w:tab w:val="clear" w:pos="567"/>
        <w:tab w:val="clear" w:pos="1134"/>
        <w:tab w:val="clear" w:pos="1701"/>
        <w:tab w:val="clear" w:pos="2268"/>
        <w:tab w:val="clear" w:pos="2835"/>
      </w:tabs>
      <w:spacing w:before="0" w:after="160" w:line="252" w:lineRule="auto"/>
      <w:ind w:left="720"/>
      <w:contextualSpacing/>
    </w:pPr>
    <w:rPr>
      <w:rFonts w:ascii="Arial" w:eastAsiaTheme="minorHAnsi" w:hAnsi="Arial" w:cs="Arial"/>
      <w:color w:val="auto"/>
      <w:sz w:val="20"/>
      <w:szCs w:val="20"/>
    </w:rPr>
  </w:style>
  <w:style w:type="paragraph" w:customStyle="1" w:styleId="Source">
    <w:name w:val="Source"/>
    <w:basedOn w:val="Normal1"/>
    <w:rsid w:val="0043115D"/>
    <w:pPr>
      <w:spacing w:before="840"/>
      <w:jc w:val="center"/>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122698">
      <w:bodyDiv w:val="1"/>
      <w:marLeft w:val="0"/>
      <w:marRight w:val="0"/>
      <w:marTop w:val="0"/>
      <w:marBottom w:val="0"/>
      <w:divBdr>
        <w:top w:val="none" w:sz="0" w:space="0" w:color="auto"/>
        <w:left w:val="none" w:sz="0" w:space="0" w:color="auto"/>
        <w:bottom w:val="none" w:sz="0" w:space="0" w:color="auto"/>
        <w:right w:val="none" w:sz="0" w:space="0" w:color="auto"/>
      </w:divBdr>
    </w:div>
    <w:div w:id="126171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DEBB3-28DA-4505-B8F6-4614C2B5C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Janin</cp:lastModifiedBy>
  <cp:revision>2</cp:revision>
  <cp:lastPrinted>2017-01-09T19:21:00Z</cp:lastPrinted>
  <dcterms:created xsi:type="dcterms:W3CDTF">2017-09-13T08:01:00Z</dcterms:created>
  <dcterms:modified xsi:type="dcterms:W3CDTF">2017-09-13T08:01:00Z</dcterms:modified>
</cp:coreProperties>
</file>