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E37F8E" w:rsidRPr="0092392D">
        <w:trPr>
          <w:cantSplit/>
        </w:trPr>
        <w:tc>
          <w:tcPr>
            <w:tcW w:w="6912" w:type="dxa"/>
          </w:tcPr>
          <w:p w:rsidR="00E37F8E" w:rsidRPr="00453BB7" w:rsidRDefault="00E37F8E" w:rsidP="004C7A22">
            <w:pPr>
              <w:spacing w:before="36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 w:rsidR="00B4739E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E37F8E" w:rsidRPr="0092392D" w:rsidRDefault="00E37F8E" w:rsidP="004C7A22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E37F8E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015A8D7" wp14:editId="59FAECB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F8E" w:rsidRPr="0092392D" w:rsidTr="008E4393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37F8E" w:rsidRPr="00732045" w:rsidRDefault="00E37F8E" w:rsidP="004C7A22">
            <w:pPr>
              <w:spacing w:before="160"/>
              <w:rPr>
                <w:smallCaps/>
                <w:sz w:val="22"/>
                <w:lang w:val="fr-CH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>Première réunion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– Gen</w:t>
            </w:r>
            <w:r>
              <w:rPr>
                <w:rFonts w:eastAsia="Calibri" w:cs="Calibri"/>
                <w:b/>
                <w:color w:val="000000"/>
                <w:szCs w:val="24"/>
              </w:rPr>
              <w:t>è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v</w:t>
            </w:r>
            <w:r>
              <w:rPr>
                <w:rFonts w:eastAsia="Calibri" w:cs="Calibri"/>
                <w:b/>
                <w:color w:val="000000"/>
                <w:szCs w:val="24"/>
              </w:rPr>
              <w:t>e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Cs w:val="24"/>
              </w:rPr>
              <w:t>9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>-1</w:t>
            </w:r>
            <w:r>
              <w:rPr>
                <w:rFonts w:eastAsia="Calibri" w:cs="Calibri"/>
                <w:b/>
                <w:color w:val="000000"/>
                <w:szCs w:val="24"/>
              </w:rPr>
              <w:t>0</w:t>
            </w:r>
            <w:r w:rsidRPr="005476DB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</w:rPr>
              <w:t>février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37F8E" w:rsidRPr="0092392D" w:rsidRDefault="00E37F8E" w:rsidP="004C7A22">
            <w:pPr>
              <w:spacing w:before="0"/>
              <w:rPr>
                <w:b/>
                <w:bCs/>
              </w:rPr>
            </w:pP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37F8E" w:rsidRPr="0092392D" w:rsidRDefault="00E37F8E" w:rsidP="004C7A22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37F8E" w:rsidRPr="0092392D" w:rsidRDefault="00E37F8E" w:rsidP="004C7A22">
            <w:pPr>
              <w:spacing w:before="0"/>
              <w:rPr>
                <w:b/>
                <w:bCs/>
              </w:rPr>
            </w:pP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37F8E" w:rsidRPr="00E37F8E" w:rsidRDefault="00E37F8E" w:rsidP="009D18F2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E37F8E" w:rsidRPr="00E37F8E" w:rsidRDefault="00E37F8E" w:rsidP="009D18F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  <w:r w:rsidR="00AA09D6">
              <w:rPr>
                <w:b/>
                <w:bCs/>
              </w:rPr>
              <w:t xml:space="preserve"> </w:t>
            </w:r>
            <w:r w:rsidRPr="009B70A4">
              <w:rPr>
                <w:b/>
              </w:rPr>
              <w:t>EG-ITRs 1/</w:t>
            </w:r>
            <w:r w:rsidR="00C249C8">
              <w:rPr>
                <w:b/>
              </w:rPr>
              <w:t>10</w:t>
            </w:r>
            <w:r w:rsidRPr="009B70A4">
              <w:rPr>
                <w:b/>
              </w:rPr>
              <w:t>-</w:t>
            </w:r>
            <w:r>
              <w:rPr>
                <w:b/>
              </w:rPr>
              <w:t>F</w:t>
            </w: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vMerge/>
          </w:tcPr>
          <w:p w:rsidR="00E37F8E" w:rsidRPr="0092392D" w:rsidRDefault="00E37F8E" w:rsidP="009D18F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E37F8E" w:rsidRPr="00E37F8E" w:rsidRDefault="00C249C8" w:rsidP="009D18F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37F8E">
              <w:rPr>
                <w:b/>
                <w:bCs/>
              </w:rPr>
              <w:t xml:space="preserve"> janvier 2017</w:t>
            </w:r>
          </w:p>
        </w:tc>
      </w:tr>
      <w:tr w:rsidR="00E37F8E" w:rsidRPr="0092392D">
        <w:trPr>
          <w:cantSplit/>
          <w:trHeight w:val="20"/>
        </w:trPr>
        <w:tc>
          <w:tcPr>
            <w:tcW w:w="6912" w:type="dxa"/>
            <w:vMerge/>
          </w:tcPr>
          <w:p w:rsidR="00E37F8E" w:rsidRPr="0092392D" w:rsidRDefault="00E37F8E" w:rsidP="009D18F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E37F8E" w:rsidRPr="00E37F8E" w:rsidRDefault="00E37F8E" w:rsidP="009D18F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1E0692">
              <w:rPr>
                <w:b/>
                <w:bCs/>
              </w:rPr>
              <w:t>anglais</w:t>
            </w:r>
          </w:p>
        </w:tc>
      </w:tr>
      <w:tr w:rsidR="00E37F8E" w:rsidRPr="0092392D">
        <w:trPr>
          <w:cantSplit/>
        </w:trPr>
        <w:tc>
          <w:tcPr>
            <w:tcW w:w="10173" w:type="dxa"/>
            <w:gridSpan w:val="2"/>
          </w:tcPr>
          <w:p w:rsidR="00403FE2" w:rsidRPr="00B41729" w:rsidRDefault="001E0692" w:rsidP="009D18F2">
            <w:pPr>
              <w:pStyle w:val="Source"/>
            </w:pPr>
            <w:bookmarkStart w:id="5" w:name="dsource" w:colFirst="0" w:colLast="0"/>
            <w:bookmarkEnd w:id="4"/>
            <w:r>
              <w:t>Groupe</w:t>
            </w:r>
            <w:r w:rsidR="00B41729">
              <w:t xml:space="preserve"> </w:t>
            </w:r>
            <w:r w:rsidR="00B41729">
              <w:rPr>
                <w:rFonts w:asciiTheme="minorHAnsi" w:hAnsiTheme="minorHAnsi"/>
                <w:szCs w:val="28"/>
              </w:rPr>
              <w:t>VimpelCom</w:t>
            </w:r>
          </w:p>
        </w:tc>
      </w:tr>
      <w:tr w:rsidR="00E37F8E" w:rsidRPr="0092392D">
        <w:trPr>
          <w:cantSplit/>
        </w:trPr>
        <w:tc>
          <w:tcPr>
            <w:tcW w:w="10173" w:type="dxa"/>
            <w:gridSpan w:val="2"/>
          </w:tcPr>
          <w:p w:rsidR="00E37F8E" w:rsidRPr="0092392D" w:rsidRDefault="00B41729" w:rsidP="009D18F2">
            <w:pPr>
              <w:pStyle w:val="Title1"/>
            </w:pPr>
            <w:bookmarkStart w:id="6" w:name="dtitle1" w:colFirst="0" w:colLast="0"/>
            <w:bookmarkEnd w:id="5"/>
            <w:r>
              <w:rPr>
                <w:lang w:val="fr-CH"/>
              </w:rPr>
              <w:t>RéVISION DU RèGLEMENT DES TéLé</w:t>
            </w:r>
            <w:r w:rsidRPr="00D167C1">
              <w:rPr>
                <w:lang w:val="fr-CH"/>
              </w:rPr>
              <w:t>COMMUNICATIONS INTERNATIONALES: APPLICATION DE LA DISPOSITION 8.3 DE L'ARTICLE 8</w:t>
            </w:r>
            <w:r>
              <w:rPr>
                <w:lang w:val="fr-CH"/>
              </w:rPr>
              <w:t xml:space="preserve"> DU RTI (</w:t>
            </w:r>
            <w:r w:rsidRPr="00D167C1">
              <w:rPr>
                <w:lang w:val="fr-CH"/>
              </w:rPr>
              <w:t>2012</w:t>
            </w:r>
            <w:r>
              <w:rPr>
                <w:lang w:val="fr-CH"/>
              </w:rPr>
              <w:t xml:space="preserve">) </w:t>
            </w:r>
            <w:r>
              <w:rPr>
                <w:lang w:val="fr-CH"/>
              </w:rPr>
              <w:br/>
              <w:t>ET DE LA DISPOSITION 6.13 DE L'ARTICLE 6 DU rti (1988)</w:t>
            </w:r>
          </w:p>
        </w:tc>
      </w:tr>
    </w:tbl>
    <w:bookmarkEnd w:id="6"/>
    <w:p w:rsidR="00B41729" w:rsidRPr="000062D6" w:rsidRDefault="00B41729" w:rsidP="009D18F2">
      <w:pPr>
        <w:pStyle w:val="Heading1"/>
        <w:spacing w:before="360"/>
        <w:rPr>
          <w:sz w:val="24"/>
          <w:szCs w:val="24"/>
        </w:rPr>
      </w:pPr>
      <w:r w:rsidRPr="000062D6">
        <w:rPr>
          <w:sz w:val="24"/>
          <w:szCs w:val="24"/>
        </w:rPr>
        <w:t>1</w:t>
      </w:r>
      <w:r w:rsidRPr="000062D6">
        <w:rPr>
          <w:sz w:val="24"/>
          <w:szCs w:val="24"/>
        </w:rPr>
        <w:tab/>
        <w:t>Introduction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>Le Groupe VimpelCom (VimpelCom Ltd.), Membre</w:t>
      </w:r>
      <w:r w:rsidR="00142B41">
        <w:rPr>
          <w:rFonts w:asciiTheme="minorHAnsi" w:hAnsiTheme="minorHAnsi" w:cs="Times New Roman"/>
          <w:lang w:val="fr-CH"/>
        </w:rPr>
        <w:t xml:space="preserve"> de Secteur de l'UIT-T et de l'UIT</w:t>
      </w:r>
      <w:r w:rsidR="00142B41">
        <w:rPr>
          <w:rFonts w:asciiTheme="minorHAnsi" w:hAnsiTheme="minorHAnsi" w:cs="Times New Roman"/>
          <w:lang w:val="fr-CH"/>
        </w:rPr>
        <w:noBreakHyphen/>
      </w:r>
      <w:r w:rsidRPr="000062D6">
        <w:rPr>
          <w:rFonts w:asciiTheme="minorHAnsi" w:hAnsiTheme="minorHAnsi" w:cs="Times New Roman"/>
          <w:lang w:val="fr-CH"/>
        </w:rPr>
        <w:t xml:space="preserve">D, </w:t>
      </w:r>
      <w:r w:rsidR="00142B41">
        <w:rPr>
          <w:rFonts w:asciiTheme="minorHAnsi" w:hAnsiTheme="minorHAnsi" w:cs="Times New Roman"/>
          <w:lang w:val="fr-CH"/>
        </w:rPr>
        <w:t>a</w:t>
      </w:r>
      <w:r w:rsidRPr="000062D6">
        <w:rPr>
          <w:rFonts w:asciiTheme="minorHAnsi" w:hAnsiTheme="minorHAnsi" w:cs="Times New Roman"/>
          <w:lang w:val="fr-CH"/>
        </w:rPr>
        <w:t xml:space="preserve"> l'honneur de soumettre sa contribution au Groupe d'experts sur le Règlement des télécommunications internationales (EG-ITRs). 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>VimpelCom est une société internationale spécialisée dans le domaine des communications et de la technologie dont le siège est à Amsterdam. Elle dessert plus de 200</w:t>
      </w:r>
      <w:r w:rsidR="00142B41">
        <w:rPr>
          <w:rFonts w:asciiTheme="minorHAnsi" w:hAnsiTheme="minorHAnsi" w:cs="Times New Roman"/>
          <w:lang w:val="fr-CH"/>
        </w:rPr>
        <w:t xml:space="preserve"> millions d'utilisateurs sur 13 </w:t>
      </w:r>
      <w:r w:rsidRPr="000062D6">
        <w:rPr>
          <w:rFonts w:asciiTheme="minorHAnsi" w:hAnsiTheme="minorHAnsi" w:cs="Times New Roman"/>
          <w:lang w:val="fr-CH"/>
        </w:rPr>
        <w:t>marchés</w:t>
      </w:r>
      <w:r w:rsidR="00142B41">
        <w:rPr>
          <w:rFonts w:asciiTheme="minorHAnsi" w:hAnsiTheme="minorHAnsi" w:cs="Times New Roman"/>
          <w:lang w:val="fr-CH"/>
        </w:rPr>
        <w:t>, essentiellement des marchés</w:t>
      </w:r>
      <w:r w:rsidRPr="000062D6">
        <w:rPr>
          <w:rFonts w:asciiTheme="minorHAnsi" w:hAnsiTheme="minorHAnsi" w:cs="Times New Roman"/>
          <w:lang w:val="fr-CH"/>
        </w:rPr>
        <w:t xml:space="preserve"> émergents (Algérie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Arménie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Bangladesh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Géorgie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Italie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Kazakhstan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Kirghizistan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Laos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Pakistan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Russie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Tadjikistan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Ukraine et Ouzbékistan). 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>Nous sommes convaincus que la certitude, la prévisibil</w:t>
      </w:r>
      <w:r w:rsidR="00142B41">
        <w:rPr>
          <w:rFonts w:asciiTheme="minorHAnsi" w:hAnsiTheme="minorHAnsi" w:cs="Times New Roman"/>
          <w:lang w:val="fr-CH"/>
        </w:rPr>
        <w:t>ité et l'application harmonisée</w:t>
      </w:r>
      <w:r w:rsidRPr="000062D6">
        <w:rPr>
          <w:rFonts w:asciiTheme="minorHAnsi" w:hAnsiTheme="minorHAnsi" w:cs="Times New Roman"/>
          <w:lang w:val="fr-CH"/>
        </w:rPr>
        <w:t xml:space="preserve"> des règles internationales régissant les activités commerciales sont </w:t>
      </w:r>
      <w:r w:rsidR="00142B41">
        <w:rPr>
          <w:rFonts w:asciiTheme="minorHAnsi" w:hAnsiTheme="minorHAnsi" w:cs="Times New Roman"/>
          <w:lang w:val="fr-CH"/>
        </w:rPr>
        <w:t>des éléments déterminant</w:t>
      </w:r>
      <w:r w:rsidRPr="000062D6">
        <w:rPr>
          <w:rFonts w:asciiTheme="minorHAnsi" w:hAnsiTheme="minorHAnsi" w:cs="Times New Roman"/>
          <w:lang w:val="fr-CH"/>
        </w:rPr>
        <w:t xml:space="preserve">s pour créer un environnement propice à l'investissement, </w:t>
      </w:r>
      <w:r w:rsidR="00142B41">
        <w:rPr>
          <w:rFonts w:asciiTheme="minorHAnsi" w:hAnsiTheme="minorHAnsi" w:cs="Times New Roman"/>
          <w:lang w:val="fr-CH"/>
        </w:rPr>
        <w:t>lequel est nécessaire pour assurer une connectivité universelle.</w:t>
      </w:r>
      <w:r w:rsidRPr="000062D6">
        <w:rPr>
          <w:rFonts w:asciiTheme="minorHAnsi" w:hAnsiTheme="minorHAnsi" w:cs="Times New Roman"/>
          <w:lang w:val="fr-CH"/>
        </w:rPr>
        <w:t xml:space="preserve"> </w:t>
      </w:r>
      <w:r w:rsidR="00142B41">
        <w:rPr>
          <w:rFonts w:asciiTheme="minorHAnsi" w:hAnsiTheme="minorHAnsi" w:cs="Times New Roman"/>
          <w:lang w:val="fr-CH"/>
        </w:rPr>
        <w:t>Les principes concernant l'imposition</w:t>
      </w:r>
      <w:r w:rsidRPr="000062D6">
        <w:rPr>
          <w:rFonts w:asciiTheme="minorHAnsi" w:hAnsiTheme="minorHAnsi" w:cs="Times New Roman"/>
          <w:lang w:val="fr-CH"/>
        </w:rPr>
        <w:t xml:space="preserve"> des services internationaux de télécommunication défini</w:t>
      </w:r>
      <w:r w:rsidR="00142B41">
        <w:rPr>
          <w:rFonts w:asciiTheme="minorHAnsi" w:hAnsiTheme="minorHAnsi" w:cs="Times New Roman"/>
          <w:lang w:val="fr-CH"/>
        </w:rPr>
        <w:t>s</w:t>
      </w:r>
      <w:r w:rsidRPr="000062D6">
        <w:rPr>
          <w:rFonts w:asciiTheme="minorHAnsi" w:hAnsiTheme="minorHAnsi" w:cs="Times New Roman"/>
          <w:lang w:val="fr-CH"/>
        </w:rPr>
        <w:t xml:space="preserve"> dans la disposition 8.3 de l'Article 8 du Règlement des télécommunications internationales de 2012 (RTI, 2012)</w:t>
      </w:r>
      <w:r w:rsidR="00142B41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identique</w:t>
      </w:r>
      <w:r w:rsidR="00142B41">
        <w:rPr>
          <w:rFonts w:asciiTheme="minorHAnsi" w:hAnsiTheme="minorHAnsi" w:cs="Times New Roman"/>
          <w:lang w:val="fr-CH"/>
        </w:rPr>
        <w:t>s à ceux de la disposition 6.</w:t>
      </w:r>
      <w:r w:rsidRPr="000062D6">
        <w:rPr>
          <w:rFonts w:asciiTheme="minorHAnsi" w:hAnsiTheme="minorHAnsi" w:cs="Times New Roman"/>
          <w:lang w:val="fr-CH"/>
        </w:rPr>
        <w:t>13 de l'Article 6 du Règlement des télécommunications internationales de 1988 (RTI, 1988)</w:t>
      </w:r>
      <w:r w:rsidR="00C7673D">
        <w:rPr>
          <w:rFonts w:asciiTheme="minorHAnsi" w:hAnsiTheme="minorHAnsi" w:cs="Times New Roman"/>
          <w:lang w:val="fr-CH"/>
        </w:rPr>
        <w:t>,</w:t>
      </w:r>
      <w:r w:rsidRPr="000062D6">
        <w:rPr>
          <w:rFonts w:asciiTheme="minorHAnsi" w:hAnsiTheme="minorHAnsi" w:cs="Times New Roman"/>
          <w:lang w:val="fr-CH"/>
        </w:rPr>
        <w:t xml:space="preserve"> </w:t>
      </w:r>
      <w:r w:rsidR="00142B41">
        <w:rPr>
          <w:rFonts w:asciiTheme="minorHAnsi" w:hAnsiTheme="minorHAnsi" w:cs="Times New Roman"/>
          <w:lang w:val="fr-CH"/>
        </w:rPr>
        <w:t>font</w:t>
      </w:r>
      <w:r w:rsidRPr="000062D6">
        <w:rPr>
          <w:rFonts w:asciiTheme="minorHAnsi" w:hAnsiTheme="minorHAnsi" w:cs="Times New Roman"/>
          <w:lang w:val="fr-CH"/>
        </w:rPr>
        <w:t xml:space="preserve"> partie de ces règles et </w:t>
      </w:r>
      <w:r w:rsidR="00142B41">
        <w:rPr>
          <w:rFonts w:asciiTheme="minorHAnsi" w:hAnsiTheme="minorHAnsi" w:cs="Times New Roman"/>
          <w:lang w:val="fr-CH"/>
        </w:rPr>
        <w:t>prévoient</w:t>
      </w:r>
      <w:r w:rsidRPr="000062D6">
        <w:rPr>
          <w:rFonts w:asciiTheme="minorHAnsi" w:hAnsiTheme="minorHAnsi" w:cs="Times New Roman"/>
          <w:lang w:val="fr-CH"/>
        </w:rPr>
        <w:t xml:space="preserve"> ce qui suit:</w:t>
      </w:r>
    </w:p>
    <w:p w:rsidR="00B41729" w:rsidRPr="000062D6" w:rsidRDefault="00B41729" w:rsidP="009D18F2">
      <w:pPr>
        <w:pStyle w:val="Normal1"/>
        <w:tabs>
          <w:tab w:val="left" w:pos="1418"/>
        </w:tabs>
        <w:ind w:left="540"/>
        <w:rPr>
          <w:rFonts w:asciiTheme="minorHAnsi" w:hAnsiTheme="minorHAnsi" w:cs="Times New Roman"/>
          <w:i/>
          <w:lang w:val="fr-CH"/>
        </w:rPr>
      </w:pPr>
      <w:r w:rsidRPr="000062D6">
        <w:rPr>
          <w:rFonts w:asciiTheme="minorHAnsi" w:hAnsiTheme="minorHAnsi" w:cs="Times New Roman"/>
          <w:i/>
          <w:lang w:val="fr-CH"/>
        </w:rPr>
        <w:t xml:space="preserve">Quand la législation nationale d'un pays prévoit l'application d'une taxe fiscale sur </w:t>
      </w:r>
      <w:r w:rsidR="004C0880">
        <w:rPr>
          <w:rFonts w:asciiTheme="minorHAnsi" w:hAnsiTheme="minorHAnsi" w:cs="Times New Roman"/>
          <w:i/>
          <w:lang w:val="fr-CH"/>
        </w:rPr>
        <w:t>les frais</w:t>
      </w:r>
      <w:r w:rsidRPr="000062D6">
        <w:rPr>
          <w:rFonts w:asciiTheme="minorHAnsi" w:hAnsiTheme="minorHAnsi" w:cs="Times New Roman"/>
          <w:i/>
          <w:lang w:val="fr-CH"/>
        </w:rPr>
        <w:t xml:space="preserve"> de perception pour</w:t>
      </w:r>
      <w:r w:rsidR="004C0880">
        <w:rPr>
          <w:rFonts w:asciiTheme="minorHAnsi" w:hAnsiTheme="minorHAnsi" w:cs="Times New Roman"/>
          <w:i/>
          <w:lang w:val="fr-CH"/>
        </w:rPr>
        <w:t xml:space="preserve"> les services internationaux, </w:t>
      </w:r>
      <w:r w:rsidRPr="000062D6">
        <w:rPr>
          <w:rFonts w:asciiTheme="minorHAnsi" w:hAnsiTheme="minorHAnsi" w:cs="Times New Roman"/>
          <w:i/>
          <w:lang w:val="fr-CH"/>
        </w:rPr>
        <w:t xml:space="preserve">cette taxe n'est </w:t>
      </w:r>
      <w:r w:rsidR="004C0880">
        <w:rPr>
          <w:rFonts w:asciiTheme="minorHAnsi" w:hAnsiTheme="minorHAnsi" w:cs="Times New Roman"/>
          <w:i/>
          <w:lang w:val="fr-CH"/>
        </w:rPr>
        <w:t xml:space="preserve">normalement </w:t>
      </w:r>
      <w:r w:rsidRPr="000062D6">
        <w:rPr>
          <w:rFonts w:asciiTheme="minorHAnsi" w:hAnsiTheme="minorHAnsi" w:cs="Times New Roman"/>
          <w:i/>
          <w:lang w:val="fr-CH"/>
        </w:rPr>
        <w:t>perçue que pour les services internationaux facturés aux clients de ce pays, à moins que d'autres arrangements soient conclus pour faire face à des circonstances spéciales.</w:t>
      </w:r>
    </w:p>
    <w:p w:rsidR="00B41729" w:rsidRPr="000062D6" w:rsidRDefault="00B41729" w:rsidP="009D18F2">
      <w:pPr>
        <w:pStyle w:val="CommentText"/>
        <w:rPr>
          <w:sz w:val="24"/>
          <w:szCs w:val="24"/>
          <w:lang w:val="fr-CH"/>
        </w:rPr>
      </w:pP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Ces dispositions restent applicables et pertinentes dans l'environnement des télécommunications en rapide mutation. Malheureusement, en raison d'erreurs d'interprétation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 xml:space="preserve">sur le plan 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juridique au niveau national,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l'absence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 de cohérence dans l'application de ces dispositions par un certain nombre d'</w:t>
      </w:r>
      <w:r w:rsidR="000062D6">
        <w:rPr>
          <w:rFonts w:asciiTheme="minorHAnsi" w:hAnsiTheme="minorHAnsi" w:cs="Times New Roman"/>
          <w:sz w:val="24"/>
          <w:szCs w:val="24"/>
          <w:lang w:val="fr-CH"/>
        </w:rPr>
        <w:t>E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tats Membres de l'UIT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 xml:space="preserve">entraîne une augmentation 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importante et imprévisible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d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es coûts que doivent supporter les exploitations, ce qui se traduit par des difficultés d'exploitation et 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freine les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 xml:space="preserve"> d'investissement</w:t>
      </w:r>
      <w:r w:rsidR="004C0880">
        <w:rPr>
          <w:rFonts w:asciiTheme="minorHAnsi" w:hAnsiTheme="minorHAnsi" w:cs="Times New Roman"/>
          <w:sz w:val="24"/>
          <w:szCs w:val="24"/>
          <w:lang w:val="fr-CH"/>
        </w:rPr>
        <w:t>s</w:t>
      </w:r>
      <w:r w:rsidRPr="000062D6">
        <w:rPr>
          <w:rFonts w:asciiTheme="minorHAnsi" w:hAnsiTheme="minorHAnsi" w:cs="Times New Roman"/>
          <w:sz w:val="24"/>
          <w:szCs w:val="24"/>
          <w:lang w:val="fr-CH"/>
        </w:rPr>
        <w:t>.</w:t>
      </w:r>
    </w:p>
    <w:p w:rsidR="00B41729" w:rsidRPr="00C7673D" w:rsidRDefault="00C7673D" w:rsidP="009D18F2">
      <w:pPr>
        <w:pStyle w:val="Heading1"/>
        <w:spacing w:before="360"/>
        <w:rPr>
          <w:rFonts w:asciiTheme="minorHAnsi" w:hAnsiTheme="minorHAnsi"/>
          <w:b w:val="0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lastRenderedPageBreak/>
        <w:t>2</w:t>
      </w:r>
      <w:r>
        <w:rPr>
          <w:rFonts w:asciiTheme="minorHAnsi" w:hAnsiTheme="minorHAnsi"/>
          <w:sz w:val="24"/>
          <w:szCs w:val="24"/>
          <w:lang w:val="fr-CH"/>
        </w:rPr>
        <w:tab/>
      </w:r>
      <w:r w:rsidR="00B41729" w:rsidRPr="00C7673D">
        <w:rPr>
          <w:rFonts w:asciiTheme="minorHAnsi" w:hAnsiTheme="minorHAnsi"/>
          <w:sz w:val="24"/>
          <w:szCs w:val="24"/>
          <w:lang w:val="fr-CH"/>
        </w:rPr>
        <w:t>A</w:t>
      </w:r>
      <w:r w:rsidR="005A4A80">
        <w:rPr>
          <w:rFonts w:asciiTheme="minorHAnsi" w:hAnsiTheme="minorHAnsi"/>
          <w:sz w:val="24"/>
          <w:szCs w:val="24"/>
          <w:lang w:val="fr-CH"/>
        </w:rPr>
        <w:t>pplication de la disposition 8.</w:t>
      </w:r>
      <w:r w:rsidR="00B41729" w:rsidRPr="00C7673D">
        <w:rPr>
          <w:rFonts w:asciiTheme="minorHAnsi" w:hAnsiTheme="minorHAnsi"/>
          <w:sz w:val="24"/>
          <w:szCs w:val="24"/>
          <w:lang w:val="fr-CH"/>
        </w:rPr>
        <w:t xml:space="preserve">3 de l'Article 8 du RTI </w:t>
      </w:r>
      <w:r w:rsidR="005A4A80">
        <w:rPr>
          <w:rFonts w:asciiTheme="minorHAnsi" w:hAnsiTheme="minorHAnsi"/>
          <w:sz w:val="24"/>
          <w:szCs w:val="24"/>
          <w:lang w:val="fr-CH"/>
        </w:rPr>
        <w:t>de 2012 et de la disposition 6.</w:t>
      </w:r>
      <w:r w:rsidR="00B41729" w:rsidRPr="00C7673D">
        <w:rPr>
          <w:rFonts w:asciiTheme="minorHAnsi" w:hAnsiTheme="minorHAnsi"/>
          <w:sz w:val="24"/>
          <w:szCs w:val="24"/>
          <w:lang w:val="fr-CH"/>
        </w:rPr>
        <w:t>12 de l'Article 6 du RTI de 1988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b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Un certain nombre de pays dans lesquels nous </w:t>
      </w:r>
      <w:r w:rsidR="00C7673D">
        <w:rPr>
          <w:rFonts w:asciiTheme="minorHAnsi" w:hAnsiTheme="minorHAnsi" w:cs="Times New Roman"/>
          <w:lang w:val="fr-CH"/>
        </w:rPr>
        <w:t>opérons</w:t>
      </w:r>
      <w:r w:rsidRPr="000062D6">
        <w:rPr>
          <w:rFonts w:asciiTheme="minorHAnsi" w:hAnsiTheme="minorHAnsi" w:cs="Times New Roman"/>
          <w:lang w:val="fr-CH"/>
        </w:rPr>
        <w:t xml:space="preserve"> n'applique</w:t>
      </w:r>
      <w:r w:rsidR="00C7673D">
        <w:rPr>
          <w:rFonts w:asciiTheme="minorHAnsi" w:hAnsiTheme="minorHAnsi" w:cs="Times New Roman"/>
          <w:lang w:val="fr-CH"/>
        </w:rPr>
        <w:t>nt</w:t>
      </w:r>
      <w:r w:rsidRPr="000062D6">
        <w:rPr>
          <w:rFonts w:asciiTheme="minorHAnsi" w:hAnsiTheme="minorHAnsi" w:cs="Times New Roman"/>
          <w:lang w:val="fr-CH"/>
        </w:rPr>
        <w:t xml:space="preserve"> pas </w:t>
      </w:r>
      <w:r w:rsidR="00C7673D">
        <w:rPr>
          <w:rFonts w:asciiTheme="minorHAnsi" w:hAnsiTheme="minorHAnsi" w:cs="Times New Roman"/>
          <w:lang w:val="fr-CH"/>
        </w:rPr>
        <w:t>la disposition 8.</w:t>
      </w:r>
      <w:r w:rsidRPr="000062D6">
        <w:rPr>
          <w:rFonts w:asciiTheme="minorHAnsi" w:hAnsiTheme="minorHAnsi" w:cs="Times New Roman"/>
          <w:lang w:val="fr-CH"/>
        </w:rPr>
        <w:t xml:space="preserve">3 </w:t>
      </w:r>
      <w:r w:rsidRPr="000062D6">
        <w:rPr>
          <w:rFonts w:asciiTheme="minorHAnsi" w:hAnsiTheme="minorHAnsi" w:cs="Times New Roman"/>
          <w:bCs/>
          <w:lang w:val="fr-CH"/>
        </w:rPr>
        <w:t xml:space="preserve">de l'Article 8 du RTI </w:t>
      </w:r>
      <w:r w:rsidR="00C7673D">
        <w:rPr>
          <w:rFonts w:asciiTheme="minorHAnsi" w:hAnsiTheme="minorHAnsi" w:cs="Times New Roman"/>
          <w:bCs/>
          <w:lang w:val="fr-CH"/>
        </w:rPr>
        <w:t>de 2012 et la disposition 6.</w:t>
      </w:r>
      <w:r w:rsidRPr="000062D6">
        <w:rPr>
          <w:rFonts w:asciiTheme="minorHAnsi" w:hAnsiTheme="minorHAnsi" w:cs="Times New Roman"/>
          <w:bCs/>
          <w:lang w:val="fr-CH"/>
        </w:rPr>
        <w:t>12 de l'Article 6 du RTI de 1988 en dépit des engagements pris au niveau internation</w:t>
      </w:r>
      <w:r w:rsidR="00C7673D">
        <w:rPr>
          <w:rFonts w:asciiTheme="minorHAnsi" w:hAnsiTheme="minorHAnsi" w:cs="Times New Roman"/>
          <w:bCs/>
          <w:lang w:val="fr-CH"/>
        </w:rPr>
        <w:t>al dans ce domaine. Par exemple</w:t>
      </w:r>
      <w:r w:rsidRPr="000062D6">
        <w:rPr>
          <w:rFonts w:asciiTheme="minorHAnsi" w:hAnsiTheme="minorHAnsi" w:cs="Times New Roman"/>
          <w:bCs/>
          <w:lang w:val="fr-CH"/>
        </w:rPr>
        <w:t>:</w:t>
      </w:r>
    </w:p>
    <w:p w:rsidR="00B41729" w:rsidRPr="00C7673D" w:rsidRDefault="004C7A22" w:rsidP="009D18F2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La République kirghize </w:t>
      </w:r>
      <w:r w:rsidR="00C7673D">
        <w:rPr>
          <w:lang w:val="fr-CH"/>
        </w:rPr>
        <w:t>a signé le</w:t>
      </w:r>
      <w:r w:rsidR="00B41729" w:rsidRPr="000062D6">
        <w:rPr>
          <w:lang w:val="fr-CH"/>
        </w:rPr>
        <w:t xml:space="preserve"> RTI de 2012. Conformément à l'Article 14 </w:t>
      </w:r>
      <w:r w:rsidR="00C7673D">
        <w:rPr>
          <w:lang w:val="fr-CH"/>
        </w:rPr>
        <w:t>de ce Règlement</w:t>
      </w:r>
      <w:r w:rsidR="00B41729" w:rsidRPr="000062D6">
        <w:rPr>
          <w:lang w:val="fr-CH"/>
        </w:rPr>
        <w:t xml:space="preserve"> et à l'</w:t>
      </w:r>
      <w:r w:rsidR="00C7673D">
        <w:rPr>
          <w:lang w:val="fr-CH"/>
        </w:rPr>
        <w:t>a</w:t>
      </w:r>
      <w:r w:rsidR="00B41729" w:rsidRPr="000062D6">
        <w:rPr>
          <w:lang w:val="fr-CH"/>
        </w:rPr>
        <w:t>rticle 54 de la Constitution de l'UIT, le RTI de 2012 s'applique provisoirement à la République kirghize à compter du 1</w:t>
      </w:r>
      <w:r w:rsidR="00B41729" w:rsidRPr="00C7673D">
        <w:rPr>
          <w:lang w:val="fr-CH"/>
        </w:rPr>
        <w:t>er</w:t>
      </w:r>
      <w:r w:rsidR="00B41729" w:rsidRPr="000062D6">
        <w:rPr>
          <w:lang w:val="fr-CH"/>
        </w:rPr>
        <w:t xml:space="preserve"> janvier 2015. </w:t>
      </w:r>
      <w:r w:rsidR="00C7673D">
        <w:rPr>
          <w:lang w:val="fr-CH"/>
        </w:rPr>
        <w:t>Par ailleurs</w:t>
      </w:r>
      <w:r w:rsidR="00B41729" w:rsidRPr="000062D6">
        <w:rPr>
          <w:lang w:val="fr-CH"/>
        </w:rPr>
        <w:t xml:space="preserve">, la République kirghize </w:t>
      </w:r>
      <w:r w:rsidR="00B41729" w:rsidRPr="000062D6">
        <w:rPr>
          <w:i/>
          <w:lang w:val="fr-CH"/>
        </w:rPr>
        <w:t>ipso facto</w:t>
      </w:r>
      <w:r w:rsidR="00B41729" w:rsidRPr="000062D6">
        <w:rPr>
          <w:lang w:val="fr-CH"/>
        </w:rPr>
        <w:t xml:space="preserve"> s'est engagée à respecter le RTI de 1988 à </w:t>
      </w:r>
      <w:r w:rsidR="00C7673D">
        <w:rPr>
          <w:lang w:val="fr-CH"/>
        </w:rPr>
        <w:t>compter</w:t>
      </w:r>
      <w:r w:rsidR="00B41729" w:rsidRPr="000062D6">
        <w:rPr>
          <w:lang w:val="fr-CH"/>
        </w:rPr>
        <w:t xml:space="preserve"> du 5 septembre 1994, date à laquelle elle a adhéré à la Constitution et la Convention de l'UIT (Article 54 (2) de la Constitution de l'UIT). </w:t>
      </w:r>
      <w:r w:rsidR="00C7673D">
        <w:rPr>
          <w:lang w:val="fr-CH"/>
        </w:rPr>
        <w:t>En dépit de</w:t>
      </w:r>
      <w:r w:rsidR="00B41729" w:rsidRPr="000062D6">
        <w:rPr>
          <w:lang w:val="fr-CH"/>
        </w:rPr>
        <w:t xml:space="preserve"> cet engagement et </w:t>
      </w:r>
      <w:r w:rsidR="00C7673D">
        <w:rPr>
          <w:lang w:val="fr-CH"/>
        </w:rPr>
        <w:t xml:space="preserve">de </w:t>
      </w:r>
      <w:r w:rsidR="00B41729" w:rsidRPr="000062D6">
        <w:rPr>
          <w:lang w:val="fr-CH"/>
        </w:rPr>
        <w:t>l'absence de disposition</w:t>
      </w:r>
      <w:r w:rsidR="00C7673D">
        <w:rPr>
          <w:lang w:val="fr-CH"/>
        </w:rPr>
        <w:t>s</w:t>
      </w:r>
      <w:r w:rsidR="00B41729" w:rsidRPr="000062D6">
        <w:rPr>
          <w:lang w:val="fr-CH"/>
        </w:rPr>
        <w:t xml:space="preserve"> particulière</w:t>
      </w:r>
      <w:r w:rsidR="00C7673D">
        <w:rPr>
          <w:lang w:val="fr-CH"/>
        </w:rPr>
        <w:t>s</w:t>
      </w:r>
      <w:r w:rsidR="00B41729" w:rsidRPr="000062D6">
        <w:rPr>
          <w:lang w:val="fr-CH"/>
        </w:rPr>
        <w:t xml:space="preserve"> dans la législation fiscale du pays, les autorités fiscales de la République kirghize ont décidé d'interpréter les dispositions de la législation fiscale nationale de manière à </w:t>
      </w:r>
      <w:r w:rsidR="00C7673D">
        <w:rPr>
          <w:lang w:val="fr-CH"/>
        </w:rPr>
        <w:t>rendre</w:t>
      </w:r>
      <w:r w:rsidR="00B41729" w:rsidRPr="000062D6">
        <w:rPr>
          <w:lang w:val="fr-CH"/>
        </w:rPr>
        <w:t xml:space="preserve"> la taxe à la valeur ajoutée (TVA) </w:t>
      </w:r>
      <w:r w:rsidR="00C7673D">
        <w:rPr>
          <w:lang w:val="fr-CH"/>
        </w:rPr>
        <w:t>applicable aux</w:t>
      </w:r>
      <w:r w:rsidR="00B41729" w:rsidRPr="000062D6">
        <w:rPr>
          <w:lang w:val="fr-CH"/>
        </w:rPr>
        <w:t xml:space="preserve"> services internationaux de télécommunication qui ne sont pas facturés </w:t>
      </w:r>
      <w:r w:rsidR="00C7673D">
        <w:rPr>
          <w:lang w:val="fr-CH"/>
        </w:rPr>
        <w:t>aux clients dans</w:t>
      </w:r>
      <w:r w:rsidR="00B41729" w:rsidRPr="000062D6">
        <w:rPr>
          <w:lang w:val="fr-CH"/>
        </w:rPr>
        <w:t xml:space="preserve"> la République kirghize.</w:t>
      </w:r>
      <w:r w:rsidR="00C7673D">
        <w:rPr>
          <w:lang w:val="fr-CH"/>
        </w:rPr>
        <w:t xml:space="preserve"> Les sociétés du G</w:t>
      </w:r>
      <w:r w:rsidR="00B41729" w:rsidRPr="000062D6">
        <w:rPr>
          <w:lang w:val="fr-CH"/>
        </w:rPr>
        <w:t xml:space="preserve">roupe VimpelCom basées dans la République kirghize ont en conséquence reçu des </w:t>
      </w:r>
      <w:r w:rsidR="00C7673D">
        <w:rPr>
          <w:lang w:val="fr-CH"/>
        </w:rPr>
        <w:t>créances fiscales concernant</w:t>
      </w:r>
      <w:r w:rsidR="00B41729" w:rsidRPr="00C7673D">
        <w:rPr>
          <w:lang w:val="fr-CH"/>
        </w:rPr>
        <w:t xml:space="preserve"> la TVA pour les services non</w:t>
      </w:r>
      <w:r w:rsidR="00C734F4">
        <w:rPr>
          <w:lang w:val="fr-CH"/>
        </w:rPr>
        <w:t xml:space="preserve"> </w:t>
      </w:r>
      <w:r w:rsidR="00B41729" w:rsidRPr="00C7673D">
        <w:rPr>
          <w:lang w:val="fr-CH"/>
        </w:rPr>
        <w:t xml:space="preserve">résidents, </w:t>
      </w:r>
      <w:r w:rsidR="00C7673D">
        <w:rPr>
          <w:lang w:val="fr-CH"/>
        </w:rPr>
        <w:t>d'</w:t>
      </w:r>
      <w:r w:rsidR="00B41729" w:rsidRPr="00C7673D">
        <w:rPr>
          <w:lang w:val="fr-CH"/>
        </w:rPr>
        <w:t xml:space="preserve">un montant </w:t>
      </w:r>
      <w:r w:rsidR="00C7673D">
        <w:rPr>
          <w:lang w:val="fr-CH"/>
        </w:rPr>
        <w:t>de</w:t>
      </w:r>
      <w:r w:rsidR="00C734F4">
        <w:rPr>
          <w:lang w:val="fr-CH"/>
        </w:rPr>
        <w:t> 5,9 </w:t>
      </w:r>
      <w:r w:rsidR="00B41729" w:rsidRPr="00C7673D">
        <w:rPr>
          <w:lang w:val="fr-CH"/>
        </w:rPr>
        <w:t xml:space="preserve">millions USD en 2014 et </w:t>
      </w:r>
      <w:r w:rsidR="00C7673D">
        <w:rPr>
          <w:lang w:val="fr-CH"/>
        </w:rPr>
        <w:t xml:space="preserve">de </w:t>
      </w:r>
      <w:r w:rsidR="00B41729" w:rsidRPr="00C7673D">
        <w:rPr>
          <w:lang w:val="fr-CH"/>
        </w:rPr>
        <w:t>6,6 millions USD en 2015.</w:t>
      </w:r>
    </w:p>
    <w:p w:rsidR="00B41729" w:rsidRPr="000062D6" w:rsidRDefault="004C7A22" w:rsidP="009D18F2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B41729" w:rsidRPr="000062D6">
        <w:rPr>
          <w:lang w:val="fr-CH"/>
        </w:rPr>
        <w:t>La République du Tadjikistan</w:t>
      </w:r>
      <w:r w:rsidR="000062D6">
        <w:rPr>
          <w:lang w:val="fr-CH"/>
        </w:rPr>
        <w:t xml:space="preserve"> </w:t>
      </w:r>
      <w:r w:rsidR="00B41729" w:rsidRPr="000062D6">
        <w:rPr>
          <w:i/>
          <w:lang w:val="fr-CH"/>
        </w:rPr>
        <w:t xml:space="preserve">ipso facto </w:t>
      </w:r>
      <w:r w:rsidR="00B41729" w:rsidRPr="000062D6">
        <w:rPr>
          <w:lang w:val="fr-CH"/>
        </w:rPr>
        <w:t xml:space="preserve">s'est engagée à respecter le RTI de 1988 à compter du 19 juillet 1994, date à laquelle elle a adhéré à la Constitution et la Convention de l'UIT. </w:t>
      </w:r>
      <w:r w:rsidR="007128CD">
        <w:rPr>
          <w:lang w:val="fr-CH"/>
        </w:rPr>
        <w:t>En dépit de</w:t>
      </w:r>
      <w:r w:rsidR="00B41729" w:rsidRPr="000062D6">
        <w:rPr>
          <w:lang w:val="fr-CH"/>
        </w:rPr>
        <w:t xml:space="preserve"> cet engagement et </w:t>
      </w:r>
      <w:r w:rsidR="007128CD">
        <w:rPr>
          <w:lang w:val="fr-CH"/>
        </w:rPr>
        <w:t>de l'absence de</w:t>
      </w:r>
      <w:r w:rsidR="00B41729" w:rsidRPr="000062D6">
        <w:rPr>
          <w:lang w:val="fr-CH"/>
        </w:rPr>
        <w:t xml:space="preserve"> disposition</w:t>
      </w:r>
      <w:r w:rsidR="007128CD">
        <w:rPr>
          <w:lang w:val="fr-CH"/>
        </w:rPr>
        <w:t>s</w:t>
      </w:r>
      <w:r w:rsidR="00B41729" w:rsidRPr="000062D6">
        <w:rPr>
          <w:lang w:val="fr-CH"/>
        </w:rPr>
        <w:t xml:space="preserve"> particulière</w:t>
      </w:r>
      <w:r w:rsidR="007128CD">
        <w:rPr>
          <w:lang w:val="fr-CH"/>
        </w:rPr>
        <w:t>s</w:t>
      </w:r>
      <w:r w:rsidR="00B41729" w:rsidRPr="000062D6">
        <w:rPr>
          <w:lang w:val="fr-CH"/>
        </w:rPr>
        <w:t xml:space="preserve"> dans la législation fiscale du pays, les autorités fiscales de la République du Tadjikistan ont décidé d'interpréter les dispositions de la législation fiscale nationale de manière à </w:t>
      </w:r>
      <w:r w:rsidR="007128CD">
        <w:rPr>
          <w:lang w:val="fr-CH"/>
        </w:rPr>
        <w:t>rendre</w:t>
      </w:r>
      <w:r w:rsidR="00B41729" w:rsidRPr="000062D6">
        <w:rPr>
          <w:lang w:val="fr-CH"/>
        </w:rPr>
        <w:t xml:space="preserve"> la taxe à la valeur ajoutée (TVA) </w:t>
      </w:r>
      <w:r w:rsidR="007128CD">
        <w:rPr>
          <w:lang w:val="fr-CH"/>
        </w:rPr>
        <w:t>applicable aux</w:t>
      </w:r>
      <w:r w:rsidR="00B41729" w:rsidRPr="000062D6">
        <w:rPr>
          <w:lang w:val="fr-CH"/>
        </w:rPr>
        <w:t xml:space="preserve"> services internationaux de télécommunication qui ne sont pas facturés </w:t>
      </w:r>
      <w:r w:rsidR="007128CD">
        <w:rPr>
          <w:lang w:val="fr-CH"/>
        </w:rPr>
        <w:t>aux</w:t>
      </w:r>
      <w:r w:rsidR="00B41729" w:rsidRPr="000062D6">
        <w:rPr>
          <w:lang w:val="fr-CH"/>
        </w:rPr>
        <w:t xml:space="preserve"> clients </w:t>
      </w:r>
      <w:r w:rsidR="007128CD">
        <w:rPr>
          <w:lang w:val="fr-CH"/>
        </w:rPr>
        <w:t>dans</w:t>
      </w:r>
      <w:r w:rsidR="00B41729" w:rsidRPr="000062D6">
        <w:rPr>
          <w:lang w:val="fr-CH"/>
        </w:rPr>
        <w:t xml:space="preserve"> la République d</w:t>
      </w:r>
      <w:r w:rsidR="00915E26">
        <w:rPr>
          <w:lang w:val="fr-CH"/>
        </w:rPr>
        <w:t>u Tadjikistan. Les sociétés du G</w:t>
      </w:r>
      <w:r w:rsidR="00B41729" w:rsidRPr="000062D6">
        <w:rPr>
          <w:lang w:val="fr-CH"/>
        </w:rPr>
        <w:t xml:space="preserve">roupe VimpelCom basées dans la République du Tadjikistan ont en conséquence reçu des </w:t>
      </w:r>
      <w:r w:rsidR="00566B80">
        <w:rPr>
          <w:lang w:val="fr-CH"/>
        </w:rPr>
        <w:t>créances fiscales concernant</w:t>
      </w:r>
      <w:r w:rsidR="00B41729" w:rsidRPr="000062D6">
        <w:rPr>
          <w:lang w:val="fr-CH"/>
        </w:rPr>
        <w:t xml:space="preserve"> la TVA pour les services non-résidents, </w:t>
      </w:r>
      <w:r w:rsidR="00036138">
        <w:rPr>
          <w:lang w:val="fr-CH"/>
        </w:rPr>
        <w:t>d'</w:t>
      </w:r>
      <w:r w:rsidR="00B41729" w:rsidRPr="000062D6">
        <w:rPr>
          <w:lang w:val="fr-CH"/>
        </w:rPr>
        <w:t xml:space="preserve">un montant </w:t>
      </w:r>
      <w:r w:rsidR="00036138">
        <w:rPr>
          <w:lang w:val="fr-CH"/>
        </w:rPr>
        <w:t>de </w:t>
      </w:r>
      <w:r w:rsidR="00B41729" w:rsidRPr="000062D6">
        <w:rPr>
          <w:lang w:val="fr-CH"/>
        </w:rPr>
        <w:t>2,6</w:t>
      </w:r>
      <w:r w:rsidR="00036138">
        <w:rPr>
          <w:lang w:val="fr-CH"/>
        </w:rPr>
        <w:t> </w:t>
      </w:r>
      <w:r w:rsidR="00B41729" w:rsidRPr="000062D6">
        <w:rPr>
          <w:lang w:val="fr-CH"/>
        </w:rPr>
        <w:t>million</w:t>
      </w:r>
      <w:r w:rsidR="00036138">
        <w:rPr>
          <w:lang w:val="fr-CH"/>
        </w:rPr>
        <w:t>s</w:t>
      </w:r>
      <w:r w:rsidR="00B41729" w:rsidRPr="000062D6">
        <w:rPr>
          <w:lang w:val="fr-CH"/>
        </w:rPr>
        <w:t xml:space="preserve"> USD</w:t>
      </w:r>
      <w:r w:rsidR="003E31C5">
        <w:rPr>
          <w:lang w:val="fr-CH"/>
        </w:rPr>
        <w:t xml:space="preserve"> en </w:t>
      </w:r>
      <w:r w:rsidR="00B41729" w:rsidRPr="000062D6">
        <w:rPr>
          <w:lang w:val="fr-CH"/>
        </w:rPr>
        <w:t xml:space="preserve">2014 et </w:t>
      </w:r>
      <w:r w:rsidR="00036138">
        <w:rPr>
          <w:lang w:val="fr-CH"/>
        </w:rPr>
        <w:t>de</w:t>
      </w:r>
      <w:r w:rsidR="00B41729" w:rsidRPr="000062D6">
        <w:rPr>
          <w:lang w:val="fr-CH"/>
        </w:rPr>
        <w:t xml:space="preserve"> 1,44 million USD</w:t>
      </w:r>
      <w:r w:rsidR="00036138">
        <w:rPr>
          <w:lang w:val="fr-CH"/>
        </w:rPr>
        <w:t xml:space="preserve"> en 2015.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Il ressort de ce qui précède </w:t>
      </w:r>
      <w:r w:rsidR="00974E9F">
        <w:rPr>
          <w:rFonts w:asciiTheme="minorHAnsi" w:hAnsiTheme="minorHAnsi" w:cs="Times New Roman"/>
          <w:lang w:val="fr-CH"/>
        </w:rPr>
        <w:t>que l'absence</w:t>
      </w:r>
      <w:r w:rsidRPr="000062D6">
        <w:rPr>
          <w:rFonts w:asciiTheme="minorHAnsi" w:hAnsiTheme="minorHAnsi" w:cs="Times New Roman"/>
          <w:lang w:val="fr-CH"/>
        </w:rPr>
        <w:t xml:space="preserve"> de cohérence dans l'application du RTI a des conséquences négatives bien tangibles pour les exploitations. </w:t>
      </w:r>
    </w:p>
    <w:p w:rsidR="00B41729" w:rsidRPr="00974E9F" w:rsidRDefault="00974E9F" w:rsidP="009D18F2">
      <w:pPr>
        <w:pStyle w:val="Heading1"/>
        <w:spacing w:before="3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fr-CH"/>
        </w:rPr>
        <w:t>3</w:t>
      </w:r>
      <w:r>
        <w:rPr>
          <w:rFonts w:asciiTheme="minorHAnsi" w:hAnsiTheme="minorHAnsi"/>
          <w:sz w:val="24"/>
          <w:szCs w:val="24"/>
          <w:lang w:val="fr-CH"/>
        </w:rPr>
        <w:tab/>
      </w:r>
      <w:r w:rsidR="00B41729" w:rsidRPr="00974E9F">
        <w:rPr>
          <w:rFonts w:asciiTheme="minorHAnsi" w:hAnsiTheme="minorHAnsi"/>
          <w:sz w:val="24"/>
          <w:szCs w:val="24"/>
          <w:lang w:val="fr-CH"/>
        </w:rPr>
        <w:t xml:space="preserve">Analyse juridique </w:t>
      </w:r>
      <w:r>
        <w:rPr>
          <w:rFonts w:asciiTheme="minorHAnsi" w:hAnsiTheme="minorHAnsi"/>
          <w:sz w:val="24"/>
          <w:szCs w:val="24"/>
          <w:lang w:val="fr-CH"/>
        </w:rPr>
        <w:t>de la disposition 8.</w:t>
      </w:r>
      <w:r w:rsidR="00B41729" w:rsidRPr="00974E9F">
        <w:rPr>
          <w:rFonts w:asciiTheme="minorHAnsi" w:hAnsiTheme="minorHAnsi"/>
          <w:sz w:val="24"/>
          <w:szCs w:val="24"/>
          <w:lang w:val="fr-CH"/>
        </w:rPr>
        <w:t xml:space="preserve">3 de l'Article 8 du RTI </w:t>
      </w:r>
      <w:r>
        <w:rPr>
          <w:rFonts w:asciiTheme="minorHAnsi" w:hAnsiTheme="minorHAnsi"/>
          <w:sz w:val="24"/>
          <w:szCs w:val="24"/>
          <w:lang w:val="fr-CH"/>
        </w:rPr>
        <w:t>de 2012 et de la disposition 6.</w:t>
      </w:r>
      <w:r w:rsidR="00B41729" w:rsidRPr="00974E9F">
        <w:rPr>
          <w:rFonts w:asciiTheme="minorHAnsi" w:hAnsiTheme="minorHAnsi"/>
          <w:sz w:val="24"/>
          <w:szCs w:val="24"/>
          <w:lang w:val="fr-CH"/>
        </w:rPr>
        <w:t>12 de l'Article 6 du RTI de 1988</w:t>
      </w:r>
    </w:p>
    <w:p w:rsidR="00B41729" w:rsidRPr="000062D6" w:rsidRDefault="00B41729" w:rsidP="009D18F2">
      <w:pPr>
        <w:pStyle w:val="Normal1"/>
        <w:tabs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Certains </w:t>
      </w:r>
      <w:r w:rsidR="000062D6">
        <w:rPr>
          <w:rFonts w:asciiTheme="minorHAnsi" w:hAnsiTheme="minorHAnsi" w:cs="Times New Roman"/>
          <w:lang w:val="fr-CH"/>
        </w:rPr>
        <w:t>E</w:t>
      </w:r>
      <w:r w:rsidRPr="000062D6">
        <w:rPr>
          <w:rFonts w:asciiTheme="minorHAnsi" w:hAnsiTheme="minorHAnsi" w:cs="Times New Roman"/>
          <w:lang w:val="fr-CH"/>
        </w:rPr>
        <w:t xml:space="preserve">tats Membres de l'UIT peu désireux d'appliquer les dispositions du RTI avancent plusieurs arguments juridiques dont </w:t>
      </w:r>
      <w:r w:rsidR="00974E9F">
        <w:rPr>
          <w:rFonts w:asciiTheme="minorHAnsi" w:hAnsiTheme="minorHAnsi" w:cs="Times New Roman"/>
          <w:lang w:val="fr-CH"/>
        </w:rPr>
        <w:t xml:space="preserve">les </w:t>
      </w:r>
      <w:r w:rsidRPr="000062D6">
        <w:rPr>
          <w:rFonts w:asciiTheme="minorHAnsi" w:hAnsiTheme="minorHAnsi" w:cs="Times New Roman"/>
          <w:lang w:val="fr-CH"/>
        </w:rPr>
        <w:t>suivants: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974E9F">
        <w:rPr>
          <w:lang w:val="fr-CH"/>
        </w:rPr>
        <w:t>L</w:t>
      </w:r>
      <w:r w:rsidR="00B41729" w:rsidRPr="000062D6">
        <w:rPr>
          <w:lang w:val="fr-CH"/>
        </w:rPr>
        <w:t xml:space="preserve">e fait qu'un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 Membre donné de l'UIT n'a pas signé le RTI de 1988 même si ce Règlement était en vigueur au moment où l'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 Membre de l'UIT en question a adhéré à la Constitution de l'UIT. </w:t>
      </w:r>
      <w:r w:rsidR="00974E9F">
        <w:rPr>
          <w:lang w:val="fr-CH"/>
        </w:rPr>
        <w:t>A</w:t>
      </w:r>
      <w:r w:rsidR="00B41729" w:rsidRPr="000062D6">
        <w:rPr>
          <w:lang w:val="fr-CH"/>
        </w:rPr>
        <w:t xml:space="preserve"> notre avis, un tel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 Membres de l'UIT est </w:t>
      </w:r>
      <w:r w:rsidR="00B41729" w:rsidRPr="000062D6">
        <w:rPr>
          <w:i/>
          <w:lang w:val="fr-CH"/>
        </w:rPr>
        <w:t>ipso facto</w:t>
      </w:r>
      <w:r w:rsidR="00B41729" w:rsidRPr="000062D6">
        <w:rPr>
          <w:lang w:val="fr-CH"/>
        </w:rPr>
        <w:t xml:space="preserve"> contraint d'appliquer les dispositions du RTI de 1988 conformément à l'Article</w:t>
      </w:r>
      <w:r w:rsidR="000062D6">
        <w:rPr>
          <w:lang w:val="fr-CH"/>
        </w:rPr>
        <w:t xml:space="preserve"> </w:t>
      </w:r>
      <w:r w:rsidR="00B41729" w:rsidRPr="000062D6">
        <w:rPr>
          <w:lang w:val="fr-CH"/>
        </w:rPr>
        <w:t xml:space="preserve">54 (2) </w:t>
      </w:r>
      <w:r w:rsidR="00974E9F">
        <w:rPr>
          <w:lang w:val="fr-CH"/>
        </w:rPr>
        <w:t>de la Constitution de l'UIT.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974E9F">
        <w:rPr>
          <w:lang w:val="fr-CH"/>
        </w:rPr>
        <w:t>L</w:t>
      </w:r>
      <w:r w:rsidR="00B41729" w:rsidRPr="000062D6">
        <w:rPr>
          <w:lang w:val="fr-CH"/>
        </w:rPr>
        <w:t xml:space="preserve">e fait qu'un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 Membre donné de l'UIT n'a pas ratifié le R</w:t>
      </w:r>
      <w:r w:rsidR="00974E9F">
        <w:rPr>
          <w:lang w:val="fr-CH"/>
        </w:rPr>
        <w:t>TI de 2012 même s'il a signé le </w:t>
      </w:r>
      <w:r w:rsidR="00B41729" w:rsidRPr="000062D6">
        <w:rPr>
          <w:lang w:val="fr-CH"/>
        </w:rPr>
        <w:t>RTI de 2012 et que</w:t>
      </w:r>
      <w:r w:rsidR="00974E9F">
        <w:rPr>
          <w:lang w:val="fr-CH"/>
        </w:rPr>
        <w:t>,</w:t>
      </w:r>
      <w:r w:rsidR="00B41729" w:rsidRPr="000062D6">
        <w:rPr>
          <w:lang w:val="fr-CH"/>
        </w:rPr>
        <w:t xml:space="preserve"> conformément à l'Article</w:t>
      </w:r>
      <w:r w:rsidR="000062D6">
        <w:rPr>
          <w:lang w:val="fr-CH"/>
        </w:rPr>
        <w:t xml:space="preserve"> </w:t>
      </w:r>
      <w:r w:rsidR="00B41729" w:rsidRPr="000062D6">
        <w:rPr>
          <w:lang w:val="fr-CH"/>
        </w:rPr>
        <w:t>14 du RTI de 2012 et à l'</w:t>
      </w:r>
      <w:r w:rsidR="00974E9F">
        <w:rPr>
          <w:lang w:val="fr-CH"/>
        </w:rPr>
        <w:t>a</w:t>
      </w:r>
      <w:r w:rsidR="00B41729" w:rsidRPr="000062D6">
        <w:rPr>
          <w:lang w:val="fr-CH"/>
        </w:rPr>
        <w:t xml:space="preserve">rticle 54 de la Constitution de l'UIT, les dispositions du RTI de 2012 s'appliquent à </w:t>
      </w:r>
      <w:r w:rsidR="00974E9F">
        <w:rPr>
          <w:lang w:val="fr-CH"/>
        </w:rPr>
        <w:t>c</w:t>
      </w:r>
      <w:r w:rsidR="00B41729" w:rsidRPr="000062D6">
        <w:rPr>
          <w:lang w:val="fr-CH"/>
        </w:rPr>
        <w:t xml:space="preserve">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à compter du 1</w:t>
      </w:r>
      <w:r w:rsidR="00B41729" w:rsidRPr="00974E9F">
        <w:rPr>
          <w:lang w:val="fr-CH"/>
        </w:rPr>
        <w:t>er</w:t>
      </w:r>
      <w:r w:rsidR="00974E9F">
        <w:rPr>
          <w:lang w:val="fr-CH"/>
        </w:rPr>
        <w:t xml:space="preserve"> janvier 2015.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lastRenderedPageBreak/>
        <w:t>3)</w:t>
      </w:r>
      <w:r>
        <w:rPr>
          <w:lang w:val="fr-CH"/>
        </w:rPr>
        <w:tab/>
      </w:r>
      <w:r w:rsidR="00974E9F">
        <w:rPr>
          <w:lang w:val="fr-CH"/>
        </w:rPr>
        <w:t>Q</w:t>
      </w:r>
      <w:r w:rsidR="00B41729" w:rsidRPr="000062D6">
        <w:rPr>
          <w:lang w:val="fr-CH"/>
        </w:rPr>
        <w:t xml:space="preserve">ue le terme </w:t>
      </w:r>
      <w:r w:rsidR="00974E9F">
        <w:rPr>
          <w:lang w:val="fr-CH"/>
        </w:rPr>
        <w:t>"normalement"</w:t>
      </w:r>
      <w:r w:rsidR="00B41729" w:rsidRPr="000062D6">
        <w:rPr>
          <w:lang w:val="fr-CH"/>
        </w:rPr>
        <w:t xml:space="preserve"> qui figure dans lesdites dispositions permet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de décider s'ils le jugent bon d'appliquer </w:t>
      </w:r>
      <w:r w:rsidR="00974E9F">
        <w:rPr>
          <w:lang w:val="fr-CH"/>
        </w:rPr>
        <w:t>ou non c</w:t>
      </w:r>
      <w:r w:rsidR="00B41729" w:rsidRPr="000062D6">
        <w:rPr>
          <w:lang w:val="fr-CH"/>
        </w:rPr>
        <w:t xml:space="preserve">es règles. </w:t>
      </w:r>
      <w:r w:rsidR="00974E9F">
        <w:rPr>
          <w:lang w:val="fr-CH"/>
        </w:rPr>
        <w:t>A</w:t>
      </w:r>
      <w:r w:rsidR="00B41729" w:rsidRPr="000062D6">
        <w:rPr>
          <w:lang w:val="fr-CH"/>
        </w:rPr>
        <w:t xml:space="preserve"> notre avis toutefois, une telle position n'a pas de fondement juridique dans le texte du RTI. </w:t>
      </w:r>
      <w:r w:rsidR="002E636E">
        <w:rPr>
          <w:lang w:val="fr-CH"/>
        </w:rPr>
        <w:t>Nous considérons que le terme "</w:t>
      </w:r>
      <w:r w:rsidR="00B41729" w:rsidRPr="000062D6">
        <w:rPr>
          <w:lang w:val="fr-CH"/>
        </w:rPr>
        <w:t>normalement</w:t>
      </w:r>
      <w:r w:rsidR="002E636E">
        <w:rPr>
          <w:lang w:val="fr-CH"/>
        </w:rPr>
        <w:t>"</w:t>
      </w:r>
      <w:r w:rsidR="00B41729" w:rsidRPr="000062D6">
        <w:rPr>
          <w:lang w:val="fr-CH"/>
        </w:rPr>
        <w:t xml:space="preserve"> devrait </w:t>
      </w:r>
      <w:r w:rsidR="002E636E">
        <w:rPr>
          <w:lang w:val="fr-CH"/>
        </w:rPr>
        <w:t>être assorti du libellé "à </w:t>
      </w:r>
      <w:r w:rsidR="00B41729" w:rsidRPr="000062D6">
        <w:rPr>
          <w:lang w:val="fr-CH"/>
        </w:rPr>
        <w:t>moins que d'autres arrangements soient conclus pour faire face</w:t>
      </w:r>
      <w:r w:rsidR="002E636E">
        <w:rPr>
          <w:lang w:val="fr-CH"/>
        </w:rPr>
        <w:t xml:space="preserve"> à des circonstances spéciales"</w:t>
      </w:r>
      <w:r w:rsidR="00B41729" w:rsidRPr="000062D6">
        <w:rPr>
          <w:lang w:val="fr-CH"/>
        </w:rPr>
        <w:t xml:space="preserve">. Par conséquent, cela signifierait que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ont simplement le droit de conclure (c'est-à-dire de légiférer en toute transparence) des arrangements particuliers pour faire face à des circonstances spéciales (justifiées); </w:t>
      </w:r>
      <w:r w:rsidR="002E636E">
        <w:rPr>
          <w:lang w:val="fr-CH"/>
        </w:rPr>
        <w:t xml:space="preserve">il ne s'agirait pas d'une possibilité très générale </w:t>
      </w:r>
      <w:r w:rsidR="00B41729" w:rsidRPr="000062D6">
        <w:rPr>
          <w:lang w:val="fr-CH"/>
        </w:rPr>
        <w:t xml:space="preserve">permettant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décider de ne pas appliquer la règle en tant que telle. Toute interprétation dans le sens contraire rendrait la règle inopérante.</w:t>
      </w:r>
    </w:p>
    <w:p w:rsidR="00B41729" w:rsidRPr="000062D6" w:rsidRDefault="003E31C5" w:rsidP="005A4A80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Que le RTI ne s'applique pas directement aux relations entre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et les entités du secteur privé. </w:t>
      </w:r>
      <w:r w:rsidR="005A4A80">
        <w:rPr>
          <w:lang w:val="fr-CH"/>
        </w:rPr>
        <w:t>A</w:t>
      </w:r>
      <w:r w:rsidR="00B41729" w:rsidRPr="000062D6">
        <w:rPr>
          <w:lang w:val="fr-CH"/>
        </w:rPr>
        <w:t xml:space="preserve"> notre sens, un tel argument ne devrait pas permettre à un </w:t>
      </w:r>
      <w:r w:rsidR="000062D6">
        <w:rPr>
          <w:lang w:val="fr-CH"/>
        </w:rPr>
        <w:t>E</w:t>
      </w:r>
      <w:r w:rsidR="002E636E">
        <w:rPr>
          <w:lang w:val="fr-CH"/>
        </w:rPr>
        <w:t>tat Membre</w:t>
      </w:r>
      <w:r w:rsidR="00B41729" w:rsidRPr="000062D6">
        <w:rPr>
          <w:lang w:val="fr-CH"/>
        </w:rPr>
        <w:t xml:space="preserve"> de l'UIT de bafouer ses obligations internationales. </w:t>
      </w:r>
    </w:p>
    <w:p w:rsidR="00B41729" w:rsidRPr="000062D6" w:rsidRDefault="00B41729" w:rsidP="009D18F2">
      <w:pPr>
        <w:pStyle w:val="Normal1"/>
        <w:tabs>
          <w:tab w:val="clear" w:pos="567"/>
          <w:tab w:val="left" w:pos="720"/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 xml:space="preserve">En l'absence d'un mécanisme clair de règlement des différends, </w:t>
      </w:r>
      <w:r w:rsidR="002E636E">
        <w:rPr>
          <w:rFonts w:asciiTheme="minorHAnsi" w:hAnsiTheme="minorHAnsi" w:cs="Times New Roman"/>
          <w:lang w:val="fr-CH"/>
        </w:rPr>
        <w:t>l'absence</w:t>
      </w:r>
      <w:r w:rsidRPr="000062D6">
        <w:rPr>
          <w:rFonts w:asciiTheme="minorHAnsi" w:hAnsiTheme="minorHAnsi" w:cs="Times New Roman"/>
          <w:lang w:val="fr-CH"/>
        </w:rPr>
        <w:t xml:space="preserve"> de cohérence dans l'application et l'analyse juridique du RTI par certains </w:t>
      </w:r>
      <w:r w:rsidR="000062D6">
        <w:rPr>
          <w:rFonts w:asciiTheme="minorHAnsi" w:hAnsiTheme="minorHAnsi" w:cs="Times New Roman"/>
          <w:lang w:val="fr-CH"/>
        </w:rPr>
        <w:t>E</w:t>
      </w:r>
      <w:r w:rsidRPr="000062D6">
        <w:rPr>
          <w:rFonts w:asciiTheme="minorHAnsi" w:hAnsiTheme="minorHAnsi" w:cs="Times New Roman"/>
          <w:lang w:val="fr-CH"/>
        </w:rPr>
        <w:t xml:space="preserve">tats Membres de l'UIT risque de rendre nulles et non avenues les dispositions </w:t>
      </w:r>
      <w:r w:rsidR="002E636E">
        <w:rPr>
          <w:rFonts w:asciiTheme="minorHAnsi" w:hAnsiTheme="minorHAnsi" w:cs="Times New Roman"/>
          <w:lang w:val="fr-CH"/>
        </w:rPr>
        <w:t>de cet instrument</w:t>
      </w:r>
      <w:r w:rsidRPr="000062D6">
        <w:rPr>
          <w:rFonts w:asciiTheme="minorHAnsi" w:hAnsiTheme="minorHAnsi" w:cs="Times New Roman"/>
          <w:lang w:val="fr-CH"/>
        </w:rPr>
        <w:t xml:space="preserve">, de nuire aux attentes juridiques des exploitations et de se traduire par des pertes directes pour </w:t>
      </w:r>
      <w:r w:rsidR="002E636E">
        <w:rPr>
          <w:rFonts w:asciiTheme="minorHAnsi" w:hAnsiTheme="minorHAnsi" w:cs="Times New Roman"/>
          <w:lang w:val="fr-CH"/>
        </w:rPr>
        <w:t>ces</w:t>
      </w:r>
      <w:r w:rsidRPr="000062D6">
        <w:rPr>
          <w:rFonts w:asciiTheme="minorHAnsi" w:hAnsiTheme="minorHAnsi" w:cs="Times New Roman"/>
          <w:lang w:val="fr-CH"/>
        </w:rPr>
        <w:t xml:space="preserve"> entités.</w:t>
      </w:r>
    </w:p>
    <w:p w:rsidR="00B41729" w:rsidRPr="002E636E" w:rsidRDefault="002E636E" w:rsidP="009D18F2">
      <w:pPr>
        <w:pStyle w:val="Heading1"/>
        <w:spacing w:before="360"/>
        <w:rPr>
          <w:rFonts w:asciiTheme="minorHAnsi" w:hAnsiTheme="minorHAnsi"/>
          <w:b w:val="0"/>
          <w:sz w:val="24"/>
          <w:szCs w:val="24"/>
          <w:lang w:val="fr-CH"/>
        </w:rPr>
      </w:pPr>
      <w:r>
        <w:rPr>
          <w:rFonts w:asciiTheme="minorHAnsi" w:hAnsiTheme="minorHAnsi"/>
          <w:sz w:val="24"/>
          <w:szCs w:val="24"/>
          <w:lang w:val="fr-CH"/>
        </w:rPr>
        <w:t>4</w:t>
      </w:r>
      <w:r>
        <w:rPr>
          <w:rFonts w:asciiTheme="minorHAnsi" w:hAnsiTheme="minorHAnsi"/>
          <w:sz w:val="24"/>
          <w:szCs w:val="24"/>
          <w:lang w:val="fr-CH"/>
        </w:rPr>
        <w:tab/>
      </w:r>
      <w:r w:rsidR="00B41729" w:rsidRPr="002E636E">
        <w:rPr>
          <w:rFonts w:asciiTheme="minorHAnsi" w:hAnsiTheme="minorHAnsi"/>
          <w:sz w:val="24"/>
          <w:szCs w:val="24"/>
          <w:lang w:val="fr-CH"/>
        </w:rPr>
        <w:t xml:space="preserve">Suggestions pour le Groupe d'experts sur le RTI </w:t>
      </w:r>
    </w:p>
    <w:p w:rsidR="00B41729" w:rsidRPr="000062D6" w:rsidRDefault="00B41729" w:rsidP="009D18F2">
      <w:pPr>
        <w:pStyle w:val="Normal1"/>
        <w:tabs>
          <w:tab w:val="clear" w:pos="567"/>
          <w:tab w:val="left" w:pos="720"/>
          <w:tab w:val="left" w:pos="1418"/>
        </w:tabs>
        <w:rPr>
          <w:rFonts w:asciiTheme="minorHAnsi" w:hAnsiTheme="minorHAnsi" w:cs="Times New Roman"/>
          <w:lang w:val="fr-CH"/>
        </w:rPr>
      </w:pPr>
      <w:r w:rsidRPr="000062D6">
        <w:rPr>
          <w:rFonts w:asciiTheme="minorHAnsi" w:hAnsiTheme="minorHAnsi" w:cs="Times New Roman"/>
          <w:lang w:val="fr-CH"/>
        </w:rPr>
        <w:t>Nous sommes convaincus que le Groupe d'experts sur le RTI est une instance idéale qui ne manquera pas de renforcer l'application des dispositions du RTI et qui contribuera donc à améliorer l'environnement pour les investissements dans le secteur. Dans cette optique et compte tenu de ce qui précède, nous proposons que le Groupe d'experts sur le RTI: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tienne compte dans </w:t>
      </w:r>
      <w:r w:rsidR="002E636E">
        <w:rPr>
          <w:lang w:val="fr-CH"/>
        </w:rPr>
        <w:t>s</w:t>
      </w:r>
      <w:r w:rsidR="00B41729" w:rsidRPr="000062D6">
        <w:rPr>
          <w:lang w:val="fr-CH"/>
        </w:rPr>
        <w:t>es travaux des incohérences susmentionnées dans l'application des dispositions du RTI;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B41729" w:rsidRPr="000062D6">
        <w:rPr>
          <w:lang w:val="fr-CH"/>
        </w:rPr>
        <w:t>prie le Secrétaire général de l'UIT de fournir une analyse juridique pour ce qui est de</w:t>
      </w:r>
      <w:r w:rsidR="00C7673D">
        <w:rPr>
          <w:lang w:val="fr-CH"/>
        </w:rPr>
        <w:t>: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l'applicabilité du RTI de 1988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qui n'ont pas individuellement signé le RTI de 1988 mais qui ont adhéré à la Constitution de l'UIT après </w:t>
      </w:r>
      <w:r w:rsidR="002E636E">
        <w:rPr>
          <w:lang w:val="fr-CH"/>
        </w:rPr>
        <w:t>l'entrée en vigueur du</w:t>
      </w:r>
      <w:r w:rsidR="00B41729" w:rsidRPr="000062D6">
        <w:rPr>
          <w:lang w:val="fr-CH"/>
        </w:rPr>
        <w:t xml:space="preserve"> RTI de 1988;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l'applicabilité du RTI de 2012 aux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qui ont signé mais qui n'ont pas ratifié le RTI de 2012;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la possibilité pour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qui ont signé le RTI et/ou auxquels le RTI s'applique</w:t>
      </w:r>
      <w:r w:rsidR="000062D6">
        <w:rPr>
          <w:lang w:val="fr-CH"/>
        </w:rPr>
        <w:t xml:space="preserve"> </w:t>
      </w:r>
      <w:r w:rsidR="00B41729" w:rsidRPr="000062D6">
        <w:rPr>
          <w:i/>
          <w:lang w:val="fr-CH"/>
        </w:rPr>
        <w:t>ipso facto,</w:t>
      </w:r>
      <w:r w:rsidR="00B41729" w:rsidRPr="000062D6">
        <w:rPr>
          <w:lang w:val="fr-CH"/>
        </w:rPr>
        <w:t xml:space="preserve"> de refuser d'appliquer le RTI de 2012 et/ou le RTI de 1988 car ils n'ont pas pris dans leur législation nationale les mesures prévues pour </w:t>
      </w:r>
      <w:r w:rsidR="002E636E">
        <w:rPr>
          <w:lang w:val="fr-CH"/>
        </w:rPr>
        <w:t>l'adoption de</w:t>
      </w:r>
      <w:r w:rsidR="00B41729" w:rsidRPr="000062D6">
        <w:rPr>
          <w:lang w:val="fr-CH"/>
        </w:rPr>
        <w:t xml:space="preserve"> traités internationaux</w:t>
      </w:r>
      <w:r w:rsidR="002E636E">
        <w:rPr>
          <w:lang w:val="fr-CH"/>
        </w:rPr>
        <w:t>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d)</w:t>
      </w:r>
      <w:r>
        <w:rPr>
          <w:lang w:val="fr-CH"/>
        </w:rPr>
        <w:tab/>
      </w:r>
      <w:r w:rsidR="00B41729" w:rsidRPr="000062D6">
        <w:rPr>
          <w:lang w:val="fr-CH"/>
        </w:rPr>
        <w:t>l'applicabilité de la disposition 8.3 de l'Article 8 du RTI de 2012 et de la dis</w:t>
      </w:r>
      <w:r w:rsidR="002E636E">
        <w:rPr>
          <w:lang w:val="fr-CH"/>
        </w:rPr>
        <w:t>position 6.</w:t>
      </w:r>
      <w:r w:rsidR="00B05C27">
        <w:rPr>
          <w:lang w:val="fr-CH"/>
        </w:rPr>
        <w:t>12 de l'Article 6 du RTI de 198</w:t>
      </w:r>
      <w:r w:rsidR="00B41729" w:rsidRPr="000062D6">
        <w:rPr>
          <w:lang w:val="fr-CH"/>
        </w:rPr>
        <w:t xml:space="preserve">8, en particulier en vue de préciser dans quelles circonstances particulières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peuvent légitimement percevoir une taxe fiscale sur les frais de perception pour les services internationaux de télécommunication qui </w:t>
      </w:r>
      <w:r w:rsidR="00B41729" w:rsidRPr="005A4A80">
        <w:rPr>
          <w:lang w:val="fr-CH"/>
        </w:rPr>
        <w:t xml:space="preserve">ne </w:t>
      </w:r>
      <w:r w:rsidR="00B41729" w:rsidRPr="005A4A80">
        <w:rPr>
          <w:u w:val="single"/>
          <w:lang w:val="fr-CH"/>
        </w:rPr>
        <w:t>sont pas</w:t>
      </w:r>
      <w:r w:rsidR="00B41729" w:rsidRPr="005A4A80">
        <w:rPr>
          <w:lang w:val="fr-CH"/>
        </w:rPr>
        <w:t xml:space="preserve"> facturés</w:t>
      </w:r>
      <w:r w:rsidR="00B41729" w:rsidRPr="000062D6">
        <w:rPr>
          <w:lang w:val="fr-CH"/>
        </w:rPr>
        <w:t xml:space="preserve"> aux clients dans le pays considéré</w:t>
      </w:r>
      <w:r w:rsidR="002E636E">
        <w:rPr>
          <w:lang w:val="fr-CH"/>
        </w:rPr>
        <w:t>;</w:t>
      </w:r>
    </w:p>
    <w:p w:rsidR="00B41729" w:rsidRPr="002E636E" w:rsidRDefault="003E31C5" w:rsidP="009D18F2">
      <w:pPr>
        <w:pStyle w:val="enumlev2"/>
        <w:rPr>
          <w:lang w:val="fr-CH"/>
        </w:rPr>
      </w:pPr>
      <w:r>
        <w:rPr>
          <w:lang w:val="fr-CH"/>
        </w:rPr>
        <w:t>e)</w:t>
      </w:r>
      <w:r>
        <w:rPr>
          <w:lang w:val="fr-CH"/>
        </w:rPr>
        <w:tab/>
      </w:r>
      <w:r w:rsidR="002E636E">
        <w:rPr>
          <w:lang w:val="fr-CH"/>
        </w:rPr>
        <w:t>les incompatibilités éventuelles en</w:t>
      </w:r>
      <w:r w:rsidR="00B41729" w:rsidRPr="000062D6">
        <w:rPr>
          <w:lang w:val="fr-CH"/>
        </w:rPr>
        <w:t xml:space="preserve">tre les obligations des signataires du RTI de 2012 et </w:t>
      </w:r>
      <w:r w:rsidR="002E636E">
        <w:rPr>
          <w:lang w:val="fr-CH"/>
        </w:rPr>
        <w:t xml:space="preserve">celles </w:t>
      </w:r>
      <w:r w:rsidR="00B05C27">
        <w:rPr>
          <w:lang w:val="fr-CH"/>
        </w:rPr>
        <w:t>des signataires du RTI de 198</w:t>
      </w:r>
      <w:r w:rsidR="00B41729" w:rsidRPr="000062D6">
        <w:rPr>
          <w:lang w:val="fr-CH"/>
        </w:rPr>
        <w:t xml:space="preserve">8 </w:t>
      </w:r>
      <w:r w:rsidR="002E636E">
        <w:rPr>
          <w:lang w:val="fr-CH"/>
        </w:rPr>
        <w:t>s'agissant</w:t>
      </w:r>
      <w:r w:rsidR="00B41729" w:rsidRPr="000062D6">
        <w:rPr>
          <w:lang w:val="fr-CH"/>
        </w:rPr>
        <w:t xml:space="preserve"> la mise en </w:t>
      </w:r>
      <w:r w:rsidR="002E636E">
        <w:rPr>
          <w:lang w:val="fr-CH"/>
        </w:rPr>
        <w:t>oe</w:t>
      </w:r>
      <w:r w:rsidR="00B41729" w:rsidRPr="000062D6">
        <w:rPr>
          <w:lang w:val="fr-CH"/>
        </w:rPr>
        <w:t xml:space="preserve">uvre de la disposition 8.3 de l'Article 8 du RTI </w:t>
      </w:r>
      <w:r w:rsidR="002E636E">
        <w:rPr>
          <w:lang w:val="fr-CH"/>
        </w:rPr>
        <w:t>de 2012 et de la disposition 6.</w:t>
      </w:r>
      <w:r w:rsidR="00B41729" w:rsidRPr="002E636E">
        <w:rPr>
          <w:lang w:val="fr-CH"/>
        </w:rPr>
        <w:t>12 de l'Article</w:t>
      </w:r>
      <w:r w:rsidR="00B05C27">
        <w:rPr>
          <w:lang w:val="fr-CH"/>
        </w:rPr>
        <w:t xml:space="preserve"> 6 du RTI de 198</w:t>
      </w:r>
      <w:r w:rsidR="00B41729" w:rsidRPr="002E636E">
        <w:rPr>
          <w:lang w:val="fr-CH"/>
        </w:rPr>
        <w:t>8;</w:t>
      </w:r>
    </w:p>
    <w:p w:rsidR="00B41729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lastRenderedPageBreak/>
        <w:t>f)</w:t>
      </w:r>
      <w:r>
        <w:rPr>
          <w:lang w:val="fr-CH"/>
        </w:rPr>
        <w:tab/>
      </w:r>
      <w:r w:rsidR="00B41729" w:rsidRPr="000062D6">
        <w:rPr>
          <w:lang w:val="fr-CH"/>
        </w:rPr>
        <w:t xml:space="preserve">les recours dont disposent les exploitations et/ou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lorsque certains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>tats Membres de l'UIT n'appliquent pas ou appliquent de façon</w:t>
      </w:r>
      <w:r w:rsidR="002E636E">
        <w:rPr>
          <w:lang w:val="fr-CH"/>
        </w:rPr>
        <w:t xml:space="preserve"> incorrecte </w:t>
      </w:r>
      <w:r w:rsidR="00B41729" w:rsidRPr="000062D6">
        <w:rPr>
          <w:lang w:val="fr-CH"/>
        </w:rPr>
        <w:t xml:space="preserve">la disposition 8.3 de l'Article 8 du RTI </w:t>
      </w:r>
      <w:r w:rsidR="002E636E">
        <w:rPr>
          <w:lang w:val="fr-CH"/>
        </w:rPr>
        <w:t xml:space="preserve">de 2012 et </w:t>
      </w:r>
      <w:r w:rsidR="000062D6">
        <w:rPr>
          <w:lang w:val="fr-CH"/>
        </w:rPr>
        <w:t>la disposition 6.</w:t>
      </w:r>
      <w:r w:rsidR="005A4A80">
        <w:rPr>
          <w:lang w:val="fr-CH"/>
        </w:rPr>
        <w:t>12 de l'Article 6 du RTI de 198</w:t>
      </w:r>
      <w:r w:rsidR="00B41729" w:rsidRPr="000062D6">
        <w:rPr>
          <w:lang w:val="fr-CH"/>
        </w:rPr>
        <w:t>8</w:t>
      </w:r>
      <w:r>
        <w:rPr>
          <w:lang w:val="fr-CH"/>
        </w:rPr>
        <w:t>.</w:t>
      </w:r>
    </w:p>
    <w:p w:rsidR="00B41729" w:rsidRPr="000062D6" w:rsidRDefault="003E31C5" w:rsidP="009D18F2">
      <w:pPr>
        <w:pStyle w:val="enumlev1"/>
        <w:rPr>
          <w:lang w:val="fr-CH"/>
        </w:rPr>
      </w:pPr>
      <w:r>
        <w:rPr>
          <w:lang w:val="fr-CH"/>
        </w:rPr>
        <w:t>3)</w:t>
      </w:r>
      <w:r>
        <w:rPr>
          <w:lang w:val="fr-CH"/>
        </w:rPr>
        <w:tab/>
      </w:r>
      <w:r w:rsidR="00B41729" w:rsidRPr="000062D6">
        <w:rPr>
          <w:lang w:val="fr-CH"/>
        </w:rPr>
        <w:t>Après avoir examiné la disposition 8.3 de l'Article 8 du RTI de 2012 et/ou</w:t>
      </w:r>
      <w:r w:rsidR="002E636E">
        <w:rPr>
          <w:lang w:val="fr-CH"/>
        </w:rPr>
        <w:t xml:space="preserve"> la disposition 6.</w:t>
      </w:r>
      <w:r w:rsidR="005A4A80">
        <w:rPr>
          <w:lang w:val="fr-CH"/>
        </w:rPr>
        <w:t>12 de l'Article 6 du RTI de 198</w:t>
      </w:r>
      <w:r w:rsidR="00B41729" w:rsidRPr="000062D6">
        <w:rPr>
          <w:lang w:val="fr-CH"/>
        </w:rPr>
        <w:t>8 et en s'appuyant sur l'analyse juridique fournie,</w:t>
      </w:r>
      <w:r w:rsidR="000062D6">
        <w:rPr>
          <w:lang w:val="fr-CH"/>
        </w:rPr>
        <w:t xml:space="preserve"> </w:t>
      </w:r>
      <w:r w:rsidR="00B41729" w:rsidRPr="000062D6">
        <w:rPr>
          <w:lang w:val="fr-CH"/>
        </w:rPr>
        <w:t>inclu</w:t>
      </w:r>
      <w:r w:rsidR="002E636E">
        <w:rPr>
          <w:lang w:val="fr-CH"/>
        </w:rPr>
        <w:t>r</w:t>
      </w:r>
      <w:r w:rsidR="00B41729" w:rsidRPr="000062D6">
        <w:rPr>
          <w:lang w:val="fr-CH"/>
        </w:rPr>
        <w:t>e dans son rapport une suggestion à l'intention du Conseil en vue:</w:t>
      </w:r>
    </w:p>
    <w:p w:rsidR="00B41729" w:rsidRPr="000062D6" w:rsidRDefault="003E31C5" w:rsidP="00B05C27">
      <w:pPr>
        <w:pStyle w:val="enumlev2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</w:r>
      <w:r w:rsidR="002E636E">
        <w:rPr>
          <w:lang w:val="fr-CH"/>
        </w:rPr>
        <w:t>d'</w:t>
      </w:r>
      <w:r w:rsidR="00B41729" w:rsidRPr="000062D6">
        <w:rPr>
          <w:lang w:val="fr-CH"/>
        </w:rPr>
        <w:t xml:space="preserve">inviter les </w:t>
      </w:r>
      <w:r w:rsidR="000062D6">
        <w:rPr>
          <w:lang w:val="fr-CH"/>
        </w:rPr>
        <w:t>E</w:t>
      </w:r>
      <w:r w:rsidR="00B41729" w:rsidRPr="000062D6">
        <w:rPr>
          <w:lang w:val="fr-CH"/>
        </w:rPr>
        <w:t xml:space="preserve">tats Membres de l'UIT à appliquer la disposition 8.3 de l'Article 8 du RTI </w:t>
      </w:r>
      <w:r w:rsidR="002E636E">
        <w:rPr>
          <w:lang w:val="fr-CH"/>
        </w:rPr>
        <w:t>de 2012 et la disposition 6.</w:t>
      </w:r>
      <w:r w:rsidR="00B41729" w:rsidRPr="000062D6">
        <w:rPr>
          <w:lang w:val="fr-CH"/>
        </w:rPr>
        <w:t>12 de l'Article 6 du RTI de 19</w:t>
      </w:r>
      <w:r w:rsidR="00B05C27">
        <w:rPr>
          <w:lang w:val="fr-CH"/>
        </w:rPr>
        <w:t>8</w:t>
      </w:r>
      <w:r w:rsidR="00B41729" w:rsidRPr="000062D6">
        <w:rPr>
          <w:lang w:val="fr-CH"/>
        </w:rPr>
        <w:t>8 avec précision, cohérence et de manière prévisible;</w:t>
      </w:r>
    </w:p>
    <w:p w:rsidR="0069555A" w:rsidRPr="000062D6" w:rsidRDefault="003E31C5" w:rsidP="009D18F2">
      <w:pPr>
        <w:pStyle w:val="enumlev2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</w:r>
      <w:r w:rsidR="002E636E">
        <w:rPr>
          <w:lang w:val="fr-CH"/>
        </w:rPr>
        <w:t xml:space="preserve">de </w:t>
      </w:r>
      <w:r w:rsidR="00B41729" w:rsidRPr="000062D6">
        <w:rPr>
          <w:lang w:val="fr-CH"/>
        </w:rPr>
        <w:t xml:space="preserve">réfléchir à la nécessité d'élaborer et d'adopter des instruments contraignants (comme les amendements au RTI) </w:t>
      </w:r>
      <w:r w:rsidR="002E636E">
        <w:rPr>
          <w:lang w:val="fr-CH"/>
        </w:rPr>
        <w:t>et/</w:t>
      </w:r>
      <w:r w:rsidR="00B41729" w:rsidRPr="000062D6">
        <w:rPr>
          <w:lang w:val="fr-CH"/>
        </w:rPr>
        <w:t xml:space="preserve">ou non contraignants (comme les Recommandations de l'UIT-T) pour renforcer la certitude et la prévisibilité en ce qui concerne l'application de la disposition 8.3 de l'Article 8 du RTI </w:t>
      </w:r>
      <w:r w:rsidR="002E636E">
        <w:rPr>
          <w:lang w:val="fr-CH"/>
        </w:rPr>
        <w:t>de 2012 et de la disposition 6.</w:t>
      </w:r>
      <w:r w:rsidR="00B05C27">
        <w:t>12 de l'Article 6 du RTI de 198</w:t>
      </w:r>
      <w:r w:rsidR="00B41729" w:rsidRPr="000062D6">
        <w:t>8.</w:t>
      </w:r>
    </w:p>
    <w:p w:rsidR="0050614C" w:rsidRPr="000062D6" w:rsidRDefault="0050614C" w:rsidP="009D18F2">
      <w:pPr>
        <w:rPr>
          <w:szCs w:val="24"/>
          <w:lang w:val="fr-CH"/>
        </w:rPr>
      </w:pPr>
    </w:p>
    <w:p w:rsidR="008E6C95" w:rsidRPr="000062D6" w:rsidRDefault="008E6C95" w:rsidP="009D18F2">
      <w:pPr>
        <w:jc w:val="center"/>
        <w:rPr>
          <w:szCs w:val="24"/>
        </w:rPr>
      </w:pPr>
      <w:r w:rsidRPr="000062D6">
        <w:rPr>
          <w:szCs w:val="24"/>
        </w:rPr>
        <w:t>______________</w:t>
      </w:r>
      <w:bookmarkStart w:id="7" w:name="_GoBack"/>
      <w:bookmarkEnd w:id="7"/>
    </w:p>
    <w:sectPr w:rsidR="008E6C95" w:rsidRPr="000062D6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8E" w:rsidRDefault="00E37F8E">
      <w:r>
        <w:separator/>
      </w:r>
    </w:p>
  </w:endnote>
  <w:endnote w:type="continuationSeparator" w:id="0">
    <w:p w:rsidR="00E37F8E" w:rsidRDefault="00E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354758" w:rsidRDefault="00354758">
    <w:pPr>
      <w:pStyle w:val="Footer"/>
      <w:rPr>
        <w:lang w:val="fr-CH"/>
      </w:rPr>
    </w:pPr>
    <w:r>
      <w:fldChar w:fldCharType="begin"/>
    </w:r>
    <w:r w:rsidRPr="00354758">
      <w:rPr>
        <w:lang w:val="fr-CH"/>
      </w:rPr>
      <w:instrText xml:space="preserve"> FILENAME \p \* MERGEFORMAT </w:instrText>
    </w:r>
    <w:r>
      <w:fldChar w:fldCharType="separate"/>
    </w:r>
    <w:r w:rsidR="00915E26">
      <w:rPr>
        <w:lang w:val="fr-CH"/>
      </w:rPr>
      <w:t>P:\FRA\SG\CONSEIL\EG-ITR-1\000\010F.docx</w:t>
    </w:r>
    <w:r>
      <w:fldChar w:fldCharType="end"/>
    </w:r>
    <w:r w:rsidR="00732045" w:rsidRPr="00354758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D18F2">
      <w:t>02.02.17</w:t>
    </w:r>
    <w:r w:rsidR="002F1B76">
      <w:fldChar w:fldCharType="end"/>
    </w:r>
    <w:r w:rsidR="00732045" w:rsidRPr="00354758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15E26">
      <w:t>02.02.17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0614C" w:rsidRDefault="00354758" w:rsidP="00B41729">
    <w:pPr>
      <w:pStyle w:val="Footer"/>
      <w:rPr>
        <w:lang w:val="fr-CH"/>
      </w:rPr>
    </w:pPr>
    <w:r>
      <w:fldChar w:fldCharType="begin"/>
    </w:r>
    <w:r w:rsidRPr="0050614C">
      <w:rPr>
        <w:lang w:val="fr-CH"/>
      </w:rPr>
      <w:instrText xml:space="preserve"> FILENAME \p \* MERGEFORMAT </w:instrText>
    </w:r>
    <w:r>
      <w:fldChar w:fldCharType="separate"/>
    </w:r>
    <w:r w:rsidR="00915E26">
      <w:rPr>
        <w:lang w:val="fr-CH"/>
      </w:rPr>
      <w:t>P:\FRA\SG\CONSEIL\EG-ITR-1\000\010F.docx</w:t>
    </w:r>
    <w:r>
      <w:fldChar w:fldCharType="end"/>
    </w:r>
    <w:r w:rsidR="008E6C95" w:rsidRPr="0050614C">
      <w:rPr>
        <w:lang w:val="fr-CH"/>
      </w:rPr>
      <w:t xml:space="preserve"> (</w:t>
    </w:r>
    <w:r w:rsidR="009514F6" w:rsidRPr="0050614C">
      <w:rPr>
        <w:lang w:val="fr-CH"/>
      </w:rPr>
      <w:t>4118</w:t>
    </w:r>
    <w:r w:rsidR="00B41729">
      <w:rPr>
        <w:lang w:val="fr-CH"/>
      </w:rPr>
      <w:t>12</w:t>
    </w:r>
    <w:r w:rsidR="008E6C95" w:rsidRPr="0050614C">
      <w:rPr>
        <w:lang w:val="fr-CH"/>
      </w:rPr>
      <w:t>)</w:t>
    </w:r>
    <w:r w:rsidR="00732045" w:rsidRPr="0050614C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D18F2">
      <w:t>02.02.17</w:t>
    </w:r>
    <w:r w:rsidR="002F1B76">
      <w:fldChar w:fldCharType="end"/>
    </w:r>
    <w:r w:rsidR="00732045" w:rsidRPr="0050614C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915E26">
      <w:t>02.02.17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B41729">
    <w:pPr>
      <w:spacing w:after="24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354758" w:rsidRDefault="00B41729" w:rsidP="00B41729">
    <w:pPr>
      <w:pStyle w:val="Footer"/>
      <w:rPr>
        <w:lang w:val="fr-CH"/>
      </w:rPr>
    </w:pPr>
    <w:r>
      <w:fldChar w:fldCharType="begin"/>
    </w:r>
    <w:r w:rsidRPr="0050614C">
      <w:rPr>
        <w:lang w:val="fr-CH"/>
      </w:rPr>
      <w:instrText xml:space="preserve"> FILENAME \p \* MERGEFORMAT </w:instrText>
    </w:r>
    <w:r>
      <w:fldChar w:fldCharType="separate"/>
    </w:r>
    <w:r w:rsidR="00915E26">
      <w:rPr>
        <w:lang w:val="fr-CH"/>
      </w:rPr>
      <w:t>P:\FRA\SG\CONSEIL\EG-ITR-1\000\010F.docx</w:t>
    </w:r>
    <w:r>
      <w:fldChar w:fldCharType="end"/>
    </w:r>
    <w:r w:rsidRPr="0050614C">
      <w:rPr>
        <w:lang w:val="fr-CH"/>
      </w:rPr>
      <w:t xml:space="preserve"> (4118</w:t>
    </w:r>
    <w:r>
      <w:rPr>
        <w:lang w:val="fr-CH"/>
      </w:rPr>
      <w:t>12</w:t>
    </w:r>
    <w:r w:rsidRPr="0050614C">
      <w:rPr>
        <w:lang w:val="fr-CH"/>
      </w:rPr>
      <w:t>)</w:t>
    </w:r>
    <w:r w:rsidRPr="0050614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18F2">
      <w:t>02.02.17</w:t>
    </w:r>
    <w:r>
      <w:fldChar w:fldCharType="end"/>
    </w:r>
    <w:r w:rsidRPr="0050614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15E26">
      <w:t>02.02.17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8E" w:rsidRDefault="00E37F8E">
      <w:r>
        <w:t>____________________</w:t>
      </w:r>
    </w:p>
  </w:footnote>
  <w:footnote w:type="continuationSeparator" w:id="0">
    <w:p w:rsidR="00E37F8E" w:rsidRDefault="00E3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8E6C95">
    <w:pPr>
      <w:pStyle w:val="Header"/>
    </w:pPr>
    <w:r>
      <w:fldChar w:fldCharType="begin"/>
    </w:r>
    <w:r>
      <w:instrText>PAGE</w:instrText>
    </w:r>
    <w:r>
      <w:fldChar w:fldCharType="separate"/>
    </w:r>
    <w:r w:rsidR="00CC074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DDE"/>
    <w:multiLevelType w:val="hybridMultilevel"/>
    <w:tmpl w:val="CBD41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2" w15:restartNumberingAfterBreak="0">
    <w:nsid w:val="58853F01"/>
    <w:multiLevelType w:val="hybridMultilevel"/>
    <w:tmpl w:val="A7D40F44"/>
    <w:lvl w:ilvl="0" w:tplc="605AE4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33F92"/>
    <w:multiLevelType w:val="hybridMultilevel"/>
    <w:tmpl w:val="B794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8732B"/>
    <w:multiLevelType w:val="hybridMultilevel"/>
    <w:tmpl w:val="5FFE31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2BA4"/>
    <w:multiLevelType w:val="hybridMultilevel"/>
    <w:tmpl w:val="723E466E"/>
    <w:lvl w:ilvl="0" w:tplc="605AE4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93614"/>
    <w:multiLevelType w:val="hybridMultilevel"/>
    <w:tmpl w:val="95882C90"/>
    <w:lvl w:ilvl="0" w:tplc="605AE4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0565531-31A3-4671-A2D6-713CF161E8DF}"/>
    <w:docVar w:name="dgnword-eventsink" w:val="673737072"/>
  </w:docVars>
  <w:rsids>
    <w:rsidRoot w:val="00E37F8E"/>
    <w:rsid w:val="000062D6"/>
    <w:rsid w:val="000176D9"/>
    <w:rsid w:val="00036138"/>
    <w:rsid w:val="000412BE"/>
    <w:rsid w:val="00043BD0"/>
    <w:rsid w:val="00072970"/>
    <w:rsid w:val="000C689D"/>
    <w:rsid w:val="000D0D0A"/>
    <w:rsid w:val="00103163"/>
    <w:rsid w:val="00115D93"/>
    <w:rsid w:val="001247A8"/>
    <w:rsid w:val="001378C0"/>
    <w:rsid w:val="00142B41"/>
    <w:rsid w:val="0018694A"/>
    <w:rsid w:val="001A3287"/>
    <w:rsid w:val="001D4C31"/>
    <w:rsid w:val="001E0692"/>
    <w:rsid w:val="001E4D21"/>
    <w:rsid w:val="00205DD3"/>
    <w:rsid w:val="00207CD1"/>
    <w:rsid w:val="002477A2"/>
    <w:rsid w:val="00263A51"/>
    <w:rsid w:val="00267E02"/>
    <w:rsid w:val="00294E91"/>
    <w:rsid w:val="002A5D44"/>
    <w:rsid w:val="002E0BC4"/>
    <w:rsid w:val="002E636E"/>
    <w:rsid w:val="002F1B76"/>
    <w:rsid w:val="00303812"/>
    <w:rsid w:val="00325D76"/>
    <w:rsid w:val="00354758"/>
    <w:rsid w:val="00355FF5"/>
    <w:rsid w:val="00361350"/>
    <w:rsid w:val="00384C2A"/>
    <w:rsid w:val="003E31C5"/>
    <w:rsid w:val="004038CB"/>
    <w:rsid w:val="00403FE2"/>
    <w:rsid w:val="0040546F"/>
    <w:rsid w:val="0042404A"/>
    <w:rsid w:val="0044618F"/>
    <w:rsid w:val="0046769A"/>
    <w:rsid w:val="00475FB3"/>
    <w:rsid w:val="00486F6B"/>
    <w:rsid w:val="004C0880"/>
    <w:rsid w:val="004C37A9"/>
    <w:rsid w:val="004C3EEC"/>
    <w:rsid w:val="004C7A22"/>
    <w:rsid w:val="004E1D78"/>
    <w:rsid w:val="004E746E"/>
    <w:rsid w:val="004F259E"/>
    <w:rsid w:val="0050614C"/>
    <w:rsid w:val="00511F1D"/>
    <w:rsid w:val="00540615"/>
    <w:rsid w:val="00540A6D"/>
    <w:rsid w:val="00566B80"/>
    <w:rsid w:val="00571EEA"/>
    <w:rsid w:val="00575417"/>
    <w:rsid w:val="005768E1"/>
    <w:rsid w:val="005A4A80"/>
    <w:rsid w:val="005C3890"/>
    <w:rsid w:val="005D27F3"/>
    <w:rsid w:val="005F7BFE"/>
    <w:rsid w:val="00600017"/>
    <w:rsid w:val="00604606"/>
    <w:rsid w:val="006210E4"/>
    <w:rsid w:val="006235CA"/>
    <w:rsid w:val="00647F74"/>
    <w:rsid w:val="006643AB"/>
    <w:rsid w:val="0069555A"/>
    <w:rsid w:val="007128CD"/>
    <w:rsid w:val="007210CD"/>
    <w:rsid w:val="00730FBD"/>
    <w:rsid w:val="00732045"/>
    <w:rsid w:val="007369DB"/>
    <w:rsid w:val="00751C94"/>
    <w:rsid w:val="00777F7A"/>
    <w:rsid w:val="007956C2"/>
    <w:rsid w:val="007A187E"/>
    <w:rsid w:val="007C72C2"/>
    <w:rsid w:val="007D4436"/>
    <w:rsid w:val="007F257A"/>
    <w:rsid w:val="007F3665"/>
    <w:rsid w:val="00800037"/>
    <w:rsid w:val="00861D73"/>
    <w:rsid w:val="0086423C"/>
    <w:rsid w:val="0086655A"/>
    <w:rsid w:val="008A4E87"/>
    <w:rsid w:val="008B063E"/>
    <w:rsid w:val="008D76E6"/>
    <w:rsid w:val="008E6C95"/>
    <w:rsid w:val="00915E26"/>
    <w:rsid w:val="0092392D"/>
    <w:rsid w:val="0093234A"/>
    <w:rsid w:val="009514F6"/>
    <w:rsid w:val="00971CA5"/>
    <w:rsid w:val="00974E9F"/>
    <w:rsid w:val="009A6B31"/>
    <w:rsid w:val="009C307F"/>
    <w:rsid w:val="009D18F2"/>
    <w:rsid w:val="00A2113E"/>
    <w:rsid w:val="00A23A51"/>
    <w:rsid w:val="00A24607"/>
    <w:rsid w:val="00A25CD3"/>
    <w:rsid w:val="00A33B44"/>
    <w:rsid w:val="00A82767"/>
    <w:rsid w:val="00AA09D6"/>
    <w:rsid w:val="00AA332F"/>
    <w:rsid w:val="00AA7BBB"/>
    <w:rsid w:val="00AB64A8"/>
    <w:rsid w:val="00AC0266"/>
    <w:rsid w:val="00AD24EC"/>
    <w:rsid w:val="00B05C27"/>
    <w:rsid w:val="00B309F9"/>
    <w:rsid w:val="00B32B60"/>
    <w:rsid w:val="00B36C71"/>
    <w:rsid w:val="00B41729"/>
    <w:rsid w:val="00B4739E"/>
    <w:rsid w:val="00B61619"/>
    <w:rsid w:val="00BB4545"/>
    <w:rsid w:val="00BD5873"/>
    <w:rsid w:val="00C04BE3"/>
    <w:rsid w:val="00C249C8"/>
    <w:rsid w:val="00C25D29"/>
    <w:rsid w:val="00C27A7C"/>
    <w:rsid w:val="00C734F4"/>
    <w:rsid w:val="00C7673D"/>
    <w:rsid w:val="00CA08ED"/>
    <w:rsid w:val="00CC074A"/>
    <w:rsid w:val="00CE57FB"/>
    <w:rsid w:val="00CE66B2"/>
    <w:rsid w:val="00CF183B"/>
    <w:rsid w:val="00D161D8"/>
    <w:rsid w:val="00D233E2"/>
    <w:rsid w:val="00D375CD"/>
    <w:rsid w:val="00D553A2"/>
    <w:rsid w:val="00D774D3"/>
    <w:rsid w:val="00D904E8"/>
    <w:rsid w:val="00DA08C3"/>
    <w:rsid w:val="00DB5A3E"/>
    <w:rsid w:val="00DC22AA"/>
    <w:rsid w:val="00DC3CE5"/>
    <w:rsid w:val="00DF74DD"/>
    <w:rsid w:val="00E25AD0"/>
    <w:rsid w:val="00E37F8E"/>
    <w:rsid w:val="00EB6350"/>
    <w:rsid w:val="00EC7676"/>
    <w:rsid w:val="00F020C1"/>
    <w:rsid w:val="00F15B57"/>
    <w:rsid w:val="00F427DB"/>
    <w:rsid w:val="00FA42E7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6004B75A-EE1C-40DD-9998-663506B1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F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D18F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D18F2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D18F2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D18F2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18F2"/>
    <w:pPr>
      <w:outlineLvl w:val="4"/>
    </w:pPr>
  </w:style>
  <w:style w:type="paragraph" w:styleId="Heading6">
    <w:name w:val="heading 6"/>
    <w:basedOn w:val="Heading4"/>
    <w:next w:val="Normal"/>
    <w:qFormat/>
    <w:rsid w:val="009D18F2"/>
    <w:pPr>
      <w:outlineLvl w:val="5"/>
    </w:pPr>
  </w:style>
  <w:style w:type="paragraph" w:styleId="Heading7">
    <w:name w:val="heading 7"/>
    <w:basedOn w:val="Heading4"/>
    <w:next w:val="Normal"/>
    <w:qFormat/>
    <w:rsid w:val="009D18F2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D18F2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D18F2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D18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18F2"/>
  </w:style>
  <w:style w:type="paragraph" w:styleId="TOC8">
    <w:name w:val="toc 8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D18F2"/>
    <w:pPr>
      <w:ind w:left="1698"/>
    </w:pPr>
  </w:style>
  <w:style w:type="paragraph" w:styleId="Index6">
    <w:name w:val="index 6"/>
    <w:basedOn w:val="Normal"/>
    <w:next w:val="Normal"/>
    <w:rsid w:val="009D18F2"/>
    <w:pPr>
      <w:ind w:left="1415"/>
    </w:pPr>
  </w:style>
  <w:style w:type="paragraph" w:styleId="Index5">
    <w:name w:val="index 5"/>
    <w:basedOn w:val="Normal"/>
    <w:next w:val="Normal"/>
    <w:rsid w:val="009D18F2"/>
    <w:pPr>
      <w:ind w:left="1132"/>
    </w:pPr>
  </w:style>
  <w:style w:type="paragraph" w:styleId="Index4">
    <w:name w:val="index 4"/>
    <w:basedOn w:val="Normal"/>
    <w:next w:val="Normal"/>
    <w:rsid w:val="009D18F2"/>
    <w:pPr>
      <w:ind w:left="849"/>
    </w:pPr>
  </w:style>
  <w:style w:type="paragraph" w:styleId="Index3">
    <w:name w:val="index 3"/>
    <w:basedOn w:val="Normal"/>
    <w:next w:val="Normal"/>
    <w:rsid w:val="009D18F2"/>
    <w:pPr>
      <w:ind w:left="566"/>
    </w:pPr>
  </w:style>
  <w:style w:type="paragraph" w:styleId="Index2">
    <w:name w:val="index 2"/>
    <w:basedOn w:val="Normal"/>
    <w:next w:val="Normal"/>
    <w:rsid w:val="009D18F2"/>
    <w:pPr>
      <w:ind w:left="283"/>
    </w:pPr>
  </w:style>
  <w:style w:type="paragraph" w:styleId="Index1">
    <w:name w:val="index 1"/>
    <w:basedOn w:val="Normal"/>
    <w:next w:val="Normal"/>
    <w:rsid w:val="009D18F2"/>
  </w:style>
  <w:style w:type="character" w:styleId="LineNumber">
    <w:name w:val="line number"/>
    <w:basedOn w:val="DefaultParagraphFont"/>
    <w:rsid w:val="009D18F2"/>
  </w:style>
  <w:style w:type="paragraph" w:styleId="IndexHeading">
    <w:name w:val="index heading"/>
    <w:basedOn w:val="Normal"/>
    <w:next w:val="Index1"/>
    <w:rsid w:val="009D18F2"/>
  </w:style>
  <w:style w:type="paragraph" w:styleId="Footer">
    <w:name w:val="footer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D18F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D18F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D18F2"/>
    <w:pPr>
      <w:ind w:left="567"/>
    </w:pPr>
  </w:style>
  <w:style w:type="paragraph" w:customStyle="1" w:styleId="enumlev1">
    <w:name w:val="enumlev1"/>
    <w:basedOn w:val="Normal"/>
    <w:rsid w:val="009D18F2"/>
    <w:pPr>
      <w:spacing w:before="86"/>
      <w:ind w:left="567" w:hanging="567"/>
    </w:pPr>
  </w:style>
  <w:style w:type="paragraph" w:customStyle="1" w:styleId="enumlev2">
    <w:name w:val="enumlev2"/>
    <w:basedOn w:val="enumlev1"/>
    <w:rsid w:val="009D18F2"/>
    <w:pPr>
      <w:ind w:left="1134"/>
    </w:pPr>
  </w:style>
  <w:style w:type="paragraph" w:customStyle="1" w:styleId="enumlev3">
    <w:name w:val="enumlev3"/>
    <w:basedOn w:val="enumlev2"/>
    <w:rsid w:val="009D18F2"/>
    <w:pPr>
      <w:ind w:left="1701"/>
    </w:pPr>
  </w:style>
  <w:style w:type="paragraph" w:customStyle="1" w:styleId="Equation">
    <w:name w:val="Equation"/>
    <w:basedOn w:val="Normal"/>
    <w:rsid w:val="009D18F2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D18F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9D18F2"/>
    <w:pPr>
      <w:spacing w:before="240"/>
    </w:pPr>
  </w:style>
  <w:style w:type="paragraph" w:customStyle="1" w:styleId="Call">
    <w:name w:val="Call"/>
    <w:basedOn w:val="Normal"/>
    <w:next w:val="Normal"/>
    <w:rsid w:val="009D18F2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D18F2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D18F2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9D18F2"/>
  </w:style>
  <w:style w:type="paragraph" w:customStyle="1" w:styleId="meeting">
    <w:name w:val="meeting"/>
    <w:basedOn w:val="Head"/>
    <w:next w:val="Head"/>
    <w:rsid w:val="009D18F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D18F2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9D18F2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9D18F2"/>
  </w:style>
  <w:style w:type="paragraph" w:customStyle="1" w:styleId="Data">
    <w:name w:val="Data"/>
    <w:basedOn w:val="Subject"/>
    <w:next w:val="Subject"/>
    <w:rsid w:val="009D18F2"/>
  </w:style>
  <w:style w:type="paragraph" w:customStyle="1" w:styleId="Headingb">
    <w:name w:val="Heading_b"/>
    <w:basedOn w:val="Heading3"/>
    <w:next w:val="Normal"/>
    <w:rsid w:val="009D18F2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9D18F2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9D18F2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9D18F2"/>
    <w:rPr>
      <w:caps w:val="0"/>
    </w:rPr>
  </w:style>
  <w:style w:type="paragraph" w:customStyle="1" w:styleId="Note">
    <w:name w:val="Note"/>
    <w:basedOn w:val="Normal"/>
    <w:rsid w:val="009D18F2"/>
    <w:pPr>
      <w:spacing w:before="80"/>
    </w:pPr>
  </w:style>
  <w:style w:type="paragraph" w:styleId="TOC9">
    <w:name w:val="toc 9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9D18F2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D18F2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9D18F2"/>
    <w:rPr>
      <w:color w:val="0000FF"/>
      <w:u w:val="single"/>
    </w:rPr>
  </w:style>
  <w:style w:type="character" w:styleId="FollowedHyperlink">
    <w:name w:val="FollowedHyperlink"/>
    <w:basedOn w:val="DefaultParagraphFont"/>
    <w:rsid w:val="009D18F2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9D18F2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D18F2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9D18F2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9D18F2"/>
  </w:style>
  <w:style w:type="paragraph" w:customStyle="1" w:styleId="Appendixref">
    <w:name w:val="Appendix_ref"/>
    <w:basedOn w:val="Annexref"/>
    <w:next w:val="Appendixtitle"/>
    <w:rsid w:val="009D18F2"/>
  </w:style>
  <w:style w:type="paragraph" w:customStyle="1" w:styleId="Appendixtitle">
    <w:name w:val="Appendix_title"/>
    <w:basedOn w:val="Annextitle"/>
    <w:next w:val="Normal"/>
    <w:rsid w:val="009D18F2"/>
  </w:style>
  <w:style w:type="paragraph" w:customStyle="1" w:styleId="Artheading">
    <w:name w:val="Art_heading"/>
    <w:basedOn w:val="Normal"/>
    <w:next w:val="Normalaftertitle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D18F2"/>
  </w:style>
  <w:style w:type="paragraph" w:customStyle="1" w:styleId="Chaptitle">
    <w:name w:val="Chap_title"/>
    <w:basedOn w:val="Arttitle"/>
    <w:next w:val="Normal"/>
    <w:rsid w:val="009D18F2"/>
  </w:style>
  <w:style w:type="paragraph" w:customStyle="1" w:styleId="Equationlegend">
    <w:name w:val="Equation_legend"/>
    <w:basedOn w:val="NormalIndent"/>
    <w:rsid w:val="009D18F2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9D18F2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9D18F2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9D18F2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9D18F2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9D18F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D18F2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9D18F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D18F2"/>
  </w:style>
  <w:style w:type="paragraph" w:customStyle="1" w:styleId="Partref">
    <w:name w:val="Part_ref"/>
    <w:basedOn w:val="Annexref"/>
    <w:next w:val="Normalaftertitle"/>
    <w:rsid w:val="009D18F2"/>
  </w:style>
  <w:style w:type="paragraph" w:customStyle="1" w:styleId="Parttitle">
    <w:name w:val="Part_title"/>
    <w:basedOn w:val="Annextitle"/>
    <w:next w:val="Partref"/>
    <w:rsid w:val="009D18F2"/>
  </w:style>
  <w:style w:type="paragraph" w:customStyle="1" w:styleId="RecNo">
    <w:name w:val="Rec_No"/>
    <w:basedOn w:val="Normal"/>
    <w:next w:val="Rectitle"/>
    <w:rsid w:val="009D18F2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D18F2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D18F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D18F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D18F2"/>
  </w:style>
  <w:style w:type="paragraph" w:customStyle="1" w:styleId="QuestionNo">
    <w:name w:val="Question_No"/>
    <w:basedOn w:val="RecNo"/>
    <w:next w:val="Questiontitle"/>
    <w:rsid w:val="009D18F2"/>
  </w:style>
  <w:style w:type="paragraph" w:customStyle="1" w:styleId="Questionref">
    <w:name w:val="Question_ref"/>
    <w:basedOn w:val="Recref"/>
    <w:next w:val="Questiondate"/>
    <w:rsid w:val="009D18F2"/>
  </w:style>
  <w:style w:type="paragraph" w:customStyle="1" w:styleId="Questiontitle">
    <w:name w:val="Question_title"/>
    <w:basedOn w:val="Rectitle"/>
    <w:next w:val="Questionref"/>
    <w:rsid w:val="009D18F2"/>
  </w:style>
  <w:style w:type="paragraph" w:customStyle="1" w:styleId="Reftext">
    <w:name w:val="Ref_text"/>
    <w:basedOn w:val="Normal"/>
    <w:rsid w:val="009D18F2"/>
    <w:pPr>
      <w:ind w:left="567" w:hanging="567"/>
    </w:pPr>
  </w:style>
  <w:style w:type="paragraph" w:customStyle="1" w:styleId="Reftitle">
    <w:name w:val="Ref_title"/>
    <w:basedOn w:val="Normal"/>
    <w:next w:val="Reftext"/>
    <w:rsid w:val="009D18F2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D18F2"/>
  </w:style>
  <w:style w:type="paragraph" w:customStyle="1" w:styleId="RepNo">
    <w:name w:val="Rep_No"/>
    <w:basedOn w:val="RecNo"/>
    <w:next w:val="Reptitle"/>
    <w:rsid w:val="009D18F2"/>
  </w:style>
  <w:style w:type="paragraph" w:customStyle="1" w:styleId="Repref">
    <w:name w:val="Rep_ref"/>
    <w:basedOn w:val="Recref"/>
    <w:next w:val="Repdate"/>
    <w:rsid w:val="009D18F2"/>
  </w:style>
  <w:style w:type="paragraph" w:customStyle="1" w:styleId="Reptitle">
    <w:name w:val="Rep_title"/>
    <w:basedOn w:val="Rectitle"/>
    <w:next w:val="Repref"/>
    <w:rsid w:val="009D18F2"/>
  </w:style>
  <w:style w:type="paragraph" w:customStyle="1" w:styleId="Resdate">
    <w:name w:val="Res_date"/>
    <w:basedOn w:val="Recdate"/>
    <w:next w:val="Normalaftertitle"/>
    <w:rsid w:val="009D18F2"/>
  </w:style>
  <w:style w:type="paragraph" w:customStyle="1" w:styleId="ResNo">
    <w:name w:val="Res_No"/>
    <w:basedOn w:val="AnnexNo"/>
    <w:next w:val="Restitle"/>
    <w:rsid w:val="009D18F2"/>
  </w:style>
  <w:style w:type="paragraph" w:customStyle="1" w:styleId="Resref">
    <w:name w:val="Res_ref"/>
    <w:basedOn w:val="Recref"/>
    <w:next w:val="Resdate"/>
    <w:rsid w:val="009D18F2"/>
  </w:style>
  <w:style w:type="paragraph" w:customStyle="1" w:styleId="Restitle">
    <w:name w:val="Res_title"/>
    <w:basedOn w:val="Annextitle"/>
    <w:next w:val="Normal"/>
    <w:rsid w:val="009D18F2"/>
  </w:style>
  <w:style w:type="paragraph" w:customStyle="1" w:styleId="SectionNo">
    <w:name w:val="Section_No"/>
    <w:basedOn w:val="AnnexNo"/>
    <w:next w:val="Sectiontitle"/>
    <w:rsid w:val="009D18F2"/>
  </w:style>
  <w:style w:type="paragraph" w:customStyle="1" w:styleId="Sectiontitle">
    <w:name w:val="Section_title"/>
    <w:basedOn w:val="Normal"/>
    <w:next w:val="Normalaftertitle"/>
    <w:rsid w:val="009D18F2"/>
    <w:rPr>
      <w:sz w:val="28"/>
    </w:rPr>
  </w:style>
  <w:style w:type="paragraph" w:customStyle="1" w:styleId="SpecialFooter">
    <w:name w:val="Special Footer"/>
    <w:basedOn w:val="Footer"/>
    <w:rsid w:val="009D18F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9D18F2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D18F2"/>
    <w:pPr>
      <w:spacing w:before="120"/>
    </w:pPr>
  </w:style>
  <w:style w:type="paragraph" w:customStyle="1" w:styleId="Tableref">
    <w:name w:val="Table_ref"/>
    <w:basedOn w:val="Normal"/>
    <w:next w:val="Tabletitle"/>
    <w:rsid w:val="009D18F2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9D18F2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D18F2"/>
    <w:rPr>
      <w:caps w:val="0"/>
    </w:rPr>
  </w:style>
  <w:style w:type="paragraph" w:customStyle="1" w:styleId="Title4">
    <w:name w:val="Title 4"/>
    <w:basedOn w:val="Title3"/>
    <w:next w:val="Heading1"/>
    <w:rsid w:val="009D18F2"/>
    <w:rPr>
      <w:b/>
    </w:rPr>
  </w:style>
  <w:style w:type="paragraph" w:customStyle="1" w:styleId="FigureNo">
    <w:name w:val="Figure_No"/>
    <w:basedOn w:val="Normal"/>
    <w:next w:val="Figuretitle"/>
    <w:rsid w:val="009D18F2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9D18F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37F8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Normal1">
    <w:name w:val="Normal1"/>
    <w:rsid w:val="008E6C9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E6C95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777F7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B41729"/>
    <w:pPr>
      <w:overflowPunct/>
      <w:autoSpaceDE/>
      <w:autoSpaceDN/>
      <w:adjustRightInd/>
      <w:textAlignment w:val="auto"/>
    </w:pPr>
    <w:rPr>
      <w:rFonts w:eastAsia="Calibri" w:cs="Calibri"/>
      <w:color w:val="000000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729"/>
    <w:rPr>
      <w:rFonts w:ascii="Calibri" w:eastAsia="Calibri" w:hAnsi="Calibri" w:cs="Calibri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75</TotalTime>
  <Pages>4</Pages>
  <Words>1684</Words>
  <Characters>8835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RÉVISION DU RÈGLEMENT DES TÉLÉCOMMUNICATIONS INTERNATIONALES: APPLICATION DE LA DISPOSITION 8.3 DE L'ARTICLE 8 DU RTI (2012) ET DE LA DISPOSITION 6.13 DE L'ARTICLE 6 DU RTI (1988)</vt:lpstr>
    </vt:vector>
  </TitlesOfParts>
  <Manager>Secrétariat général - Pool</Manager>
  <Company>Union internationale des télécommunications (UIT)</Company>
  <LinksUpToDate>false</LinksUpToDate>
  <CharactersWithSpaces>10487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DU RÈGLEMENT DES TÉLÉCOMMUNICATIONS INTERNATIONALES: APPLICATION DE LA DISPOSITION 8.3 DE L'ARTICLE 8 DU RTI (2012) ET DE LA DISPOSITION 6.13 DE L'ARTICLE 6 DU RTI (1988)</dc:title>
  <dc:subject>Conseil 2010</dc:subject>
  <dc:creator>Groupe VimpelCom</dc:creator>
  <cp:keywords>C2010, C10</cp:keywords>
  <dc:description>Document EG-ITRs 1/10-F  Pour: _x000d_Date du document: 25 janvier 2017_x000d_Enregistré par ITU51007787 à 10:42:54 le 03/02/2017</dc:description>
  <cp:lastModifiedBy>Royer, Veronique</cp:lastModifiedBy>
  <cp:revision>18</cp:revision>
  <cp:lastPrinted>2017-02-02T08:13:00Z</cp:lastPrinted>
  <dcterms:created xsi:type="dcterms:W3CDTF">2017-02-02T07:38:00Z</dcterms:created>
  <dcterms:modified xsi:type="dcterms:W3CDTF">2017-02-03T09:42:00Z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1/10-F</vt:lpwstr>
  </property>
  <property fmtid="{D5CDD505-2E9C-101B-9397-08002B2CF9AE}" pid="3" name="Docdate">
    <vt:lpwstr>25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Groupe VimpelCom</vt:lpwstr>
  </property>
</Properties>
</file>