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0031" w:type="dxa"/>
        <w:tblInd w:w="-115" w:type="dxa"/>
        <w:tblLayout w:type="fixed"/>
        <w:tblLook w:val="0000" w:firstRow="0" w:lastRow="0" w:firstColumn="0" w:lastColumn="0" w:noHBand="0" w:noVBand="0"/>
      </w:tblPr>
      <w:tblGrid>
        <w:gridCol w:w="6487"/>
        <w:gridCol w:w="3544"/>
      </w:tblGrid>
      <w:tr w:rsidR="001D3316" w14:paraId="5401562D" w14:textId="77777777">
        <w:tc>
          <w:tcPr>
            <w:tcW w:w="6487" w:type="dxa"/>
          </w:tcPr>
          <w:p w14:paraId="1E1D37D4" w14:textId="168C819D" w:rsidR="001D3316" w:rsidRDefault="00252EDF" w:rsidP="00BB0178">
            <w:pPr>
              <w:pStyle w:val="Normal1"/>
              <w:spacing w:before="360" w:after="48"/>
            </w:pPr>
            <w:bookmarkStart w:id="0" w:name="h.gjdgxs" w:colFirst="0" w:colLast="0"/>
            <w:bookmarkEnd w:id="0"/>
            <w:r>
              <w:rPr>
                <w:b/>
                <w:bCs/>
                <w:position w:val="6"/>
                <w:sz w:val="30"/>
                <w:szCs w:val="30"/>
              </w:rPr>
              <w:t>Expert Group on the International Telecommunication Regulations (EG-ITRs</w:t>
            </w:r>
            <w:r w:rsidRPr="001D2834">
              <w:rPr>
                <w:b/>
                <w:bCs/>
                <w:position w:val="6"/>
                <w:sz w:val="30"/>
                <w:szCs w:val="30"/>
              </w:rPr>
              <w:t>)</w:t>
            </w:r>
          </w:p>
        </w:tc>
        <w:tc>
          <w:tcPr>
            <w:tcW w:w="3544" w:type="dxa"/>
          </w:tcPr>
          <w:p w14:paraId="61F375F6" w14:textId="77777777" w:rsidR="001D3316" w:rsidRDefault="00665980">
            <w:pPr>
              <w:pStyle w:val="Normal1"/>
              <w:spacing w:before="0"/>
            </w:pPr>
            <w:bookmarkStart w:id="1" w:name="h.30j0zll" w:colFirst="0" w:colLast="0"/>
            <w:bookmarkEnd w:id="1"/>
            <w:r>
              <w:rPr>
                <w:noProof/>
                <w:lang w:val="en-US" w:eastAsia="zh-CN"/>
              </w:rPr>
              <w:drawing>
                <wp:inline distT="0" distB="0" distL="0" distR="0" wp14:anchorId="65A95C30" wp14:editId="2D429074">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760220" cy="746760"/>
                          </a:xfrm>
                          <a:prstGeom prst="rect">
                            <a:avLst/>
                          </a:prstGeom>
                          <a:ln/>
                        </pic:spPr>
                      </pic:pic>
                    </a:graphicData>
                  </a:graphic>
                </wp:inline>
              </w:drawing>
            </w:r>
          </w:p>
        </w:tc>
      </w:tr>
      <w:tr w:rsidR="001D3316" w14:paraId="65090DBD" w14:textId="77777777">
        <w:tc>
          <w:tcPr>
            <w:tcW w:w="6487" w:type="dxa"/>
            <w:tcBorders>
              <w:bottom w:val="single" w:sz="12" w:space="0" w:color="000000"/>
            </w:tcBorders>
          </w:tcPr>
          <w:p w14:paraId="5253E732" w14:textId="629F622D" w:rsidR="001D3316" w:rsidRDefault="00B00558" w:rsidP="00B00558">
            <w:pPr>
              <w:pStyle w:val="Normal1"/>
              <w:spacing w:before="0"/>
            </w:pPr>
            <w:r>
              <w:rPr>
                <w:b/>
              </w:rPr>
              <w:t>First</w:t>
            </w:r>
            <w:r w:rsidR="00665980">
              <w:rPr>
                <w:b/>
              </w:rPr>
              <w:t xml:space="preserve"> meeting – Geneva, </w:t>
            </w:r>
            <w:r>
              <w:rPr>
                <w:b/>
              </w:rPr>
              <w:t>9-10 February 2017</w:t>
            </w:r>
            <w:r w:rsidR="00665980">
              <w:rPr>
                <w:b/>
              </w:rPr>
              <w:t xml:space="preserve"> </w:t>
            </w:r>
          </w:p>
        </w:tc>
        <w:tc>
          <w:tcPr>
            <w:tcW w:w="3544" w:type="dxa"/>
            <w:tcBorders>
              <w:bottom w:val="single" w:sz="12" w:space="0" w:color="000000"/>
            </w:tcBorders>
          </w:tcPr>
          <w:p w14:paraId="77D943C0" w14:textId="77777777" w:rsidR="001D3316" w:rsidRDefault="001D3316">
            <w:pPr>
              <w:pStyle w:val="Normal1"/>
              <w:spacing w:before="0"/>
            </w:pPr>
          </w:p>
        </w:tc>
      </w:tr>
      <w:tr w:rsidR="001D3316" w14:paraId="1D91D335" w14:textId="77777777">
        <w:tc>
          <w:tcPr>
            <w:tcW w:w="6487" w:type="dxa"/>
            <w:tcBorders>
              <w:top w:val="single" w:sz="12" w:space="0" w:color="000000"/>
            </w:tcBorders>
          </w:tcPr>
          <w:p w14:paraId="27610891" w14:textId="77777777" w:rsidR="001D3316" w:rsidRDefault="001D3316">
            <w:pPr>
              <w:pStyle w:val="Normal1"/>
              <w:spacing w:before="0"/>
            </w:pPr>
          </w:p>
        </w:tc>
        <w:tc>
          <w:tcPr>
            <w:tcW w:w="3544" w:type="dxa"/>
            <w:tcBorders>
              <w:top w:val="single" w:sz="12" w:space="0" w:color="000000"/>
            </w:tcBorders>
          </w:tcPr>
          <w:p w14:paraId="509274A6" w14:textId="77777777" w:rsidR="001D3316" w:rsidRDefault="001D3316">
            <w:pPr>
              <w:pStyle w:val="Normal1"/>
              <w:spacing w:before="0"/>
            </w:pPr>
          </w:p>
        </w:tc>
      </w:tr>
      <w:tr w:rsidR="001D3316" w14:paraId="528CBCCB" w14:textId="77777777">
        <w:trPr>
          <w:trHeight w:val="20"/>
        </w:trPr>
        <w:tc>
          <w:tcPr>
            <w:tcW w:w="6487" w:type="dxa"/>
            <w:vMerge w:val="restart"/>
          </w:tcPr>
          <w:p w14:paraId="7E6055FE" w14:textId="77777777" w:rsidR="001D3316" w:rsidRDefault="001D3316">
            <w:pPr>
              <w:pStyle w:val="Normal1"/>
              <w:tabs>
                <w:tab w:val="left" w:pos="851"/>
              </w:tabs>
              <w:spacing w:before="0"/>
            </w:pPr>
          </w:p>
        </w:tc>
        <w:tc>
          <w:tcPr>
            <w:tcW w:w="3544" w:type="dxa"/>
          </w:tcPr>
          <w:p w14:paraId="50CFE4E3" w14:textId="78A34D01" w:rsidR="001D3316" w:rsidRDefault="00252EDF" w:rsidP="00252EDF">
            <w:pPr>
              <w:pStyle w:val="Normal1"/>
              <w:tabs>
                <w:tab w:val="left" w:pos="851"/>
              </w:tabs>
            </w:pPr>
            <w:r w:rsidRPr="005476DB">
              <w:rPr>
                <w:b/>
              </w:rPr>
              <w:t xml:space="preserve">Document </w:t>
            </w:r>
            <w:r>
              <w:rPr>
                <w:b/>
                <w:lang w:val="de-CH"/>
              </w:rPr>
              <w:t>E</w:t>
            </w:r>
            <w:r w:rsidRPr="005476DB">
              <w:rPr>
                <w:b/>
                <w:lang w:val="de-CH"/>
              </w:rPr>
              <w:t>G-I</w:t>
            </w:r>
            <w:r>
              <w:rPr>
                <w:b/>
                <w:lang w:val="de-CH"/>
              </w:rPr>
              <w:t>TRs</w:t>
            </w:r>
            <w:r w:rsidRPr="005476DB">
              <w:rPr>
                <w:b/>
                <w:lang w:val="de-CH"/>
              </w:rPr>
              <w:t xml:space="preserve"> </w:t>
            </w:r>
            <w:r>
              <w:rPr>
                <w:b/>
                <w:lang w:val="de-CH"/>
              </w:rPr>
              <w:t>1</w:t>
            </w:r>
            <w:r w:rsidRPr="005476DB">
              <w:rPr>
                <w:b/>
                <w:lang w:val="de-CH"/>
              </w:rPr>
              <w:t>/</w:t>
            </w:r>
            <w:r>
              <w:rPr>
                <w:b/>
                <w:lang w:val="de-CH"/>
              </w:rPr>
              <w:t>9</w:t>
            </w:r>
            <w:r>
              <w:rPr>
                <w:b/>
                <w:lang w:val="de-CH"/>
              </w:rPr>
              <w:t>-E</w:t>
            </w:r>
          </w:p>
        </w:tc>
      </w:tr>
      <w:tr w:rsidR="001D3316" w14:paraId="4A3F8396" w14:textId="77777777">
        <w:trPr>
          <w:trHeight w:val="20"/>
        </w:trPr>
        <w:tc>
          <w:tcPr>
            <w:tcW w:w="6487" w:type="dxa"/>
            <w:vMerge/>
          </w:tcPr>
          <w:p w14:paraId="7C3399E6" w14:textId="77777777" w:rsidR="001D3316" w:rsidRDefault="001D3316">
            <w:pPr>
              <w:pStyle w:val="Normal1"/>
              <w:tabs>
                <w:tab w:val="left" w:pos="851"/>
              </w:tabs>
            </w:pPr>
          </w:p>
        </w:tc>
        <w:tc>
          <w:tcPr>
            <w:tcW w:w="3544" w:type="dxa"/>
          </w:tcPr>
          <w:p w14:paraId="62A40ACF" w14:textId="6B527A7A" w:rsidR="001D3316" w:rsidRDefault="00BB0178" w:rsidP="00B00558">
            <w:pPr>
              <w:pStyle w:val="Normal1"/>
              <w:tabs>
                <w:tab w:val="left" w:pos="993"/>
              </w:tabs>
              <w:spacing w:before="0"/>
            </w:pPr>
            <w:r>
              <w:rPr>
                <w:b/>
              </w:rPr>
              <w:t>24</w:t>
            </w:r>
            <w:r w:rsidR="00B00558">
              <w:rPr>
                <w:b/>
              </w:rPr>
              <w:t xml:space="preserve"> January 2017</w:t>
            </w:r>
          </w:p>
        </w:tc>
      </w:tr>
      <w:tr w:rsidR="001D3316" w14:paraId="299B37B1" w14:textId="77777777">
        <w:trPr>
          <w:trHeight w:val="20"/>
        </w:trPr>
        <w:tc>
          <w:tcPr>
            <w:tcW w:w="6487" w:type="dxa"/>
            <w:vMerge/>
          </w:tcPr>
          <w:p w14:paraId="01A7E9E9" w14:textId="77777777" w:rsidR="001D3316" w:rsidRDefault="001D3316">
            <w:pPr>
              <w:pStyle w:val="Normal1"/>
              <w:tabs>
                <w:tab w:val="left" w:pos="851"/>
              </w:tabs>
            </w:pPr>
          </w:p>
        </w:tc>
        <w:tc>
          <w:tcPr>
            <w:tcW w:w="3544" w:type="dxa"/>
          </w:tcPr>
          <w:p w14:paraId="21C55003" w14:textId="1D9DCF6D" w:rsidR="001D3316" w:rsidRDefault="00252EDF" w:rsidP="00252EDF">
            <w:pPr>
              <w:pStyle w:val="Normal1"/>
              <w:tabs>
                <w:tab w:val="left" w:pos="993"/>
              </w:tabs>
              <w:spacing w:before="0"/>
            </w:pPr>
            <w:r>
              <w:rPr>
                <w:b/>
              </w:rPr>
              <w:t xml:space="preserve">Original: </w:t>
            </w:r>
            <w:r w:rsidR="00665980">
              <w:rPr>
                <w:b/>
              </w:rPr>
              <w:t xml:space="preserve">English </w:t>
            </w:r>
          </w:p>
        </w:tc>
      </w:tr>
      <w:tr w:rsidR="001D3316" w14:paraId="1B03E23C" w14:textId="77777777">
        <w:trPr>
          <w:trHeight w:val="20"/>
        </w:trPr>
        <w:tc>
          <w:tcPr>
            <w:tcW w:w="10031" w:type="dxa"/>
            <w:gridSpan w:val="2"/>
          </w:tcPr>
          <w:p w14:paraId="42B453E9" w14:textId="6DA397BF" w:rsidR="001D3316" w:rsidRDefault="00951F4A">
            <w:pPr>
              <w:pStyle w:val="Normal1"/>
              <w:spacing w:before="840"/>
              <w:jc w:val="center"/>
            </w:pPr>
            <w:r>
              <w:rPr>
                <w:b/>
                <w:sz w:val="28"/>
                <w:szCs w:val="28"/>
              </w:rPr>
              <w:t xml:space="preserve">The </w:t>
            </w:r>
            <w:r w:rsidR="006E4C5B">
              <w:rPr>
                <w:b/>
                <w:sz w:val="28"/>
                <w:szCs w:val="28"/>
              </w:rPr>
              <w:t xml:space="preserve">Czech Republic, </w:t>
            </w:r>
            <w:r w:rsidR="002E34DA">
              <w:rPr>
                <w:b/>
                <w:sz w:val="28"/>
                <w:szCs w:val="28"/>
              </w:rPr>
              <w:t xml:space="preserve">Denmark, </w:t>
            </w:r>
            <w:r w:rsidR="00BF2CE0">
              <w:rPr>
                <w:b/>
                <w:sz w:val="28"/>
                <w:szCs w:val="28"/>
              </w:rPr>
              <w:t xml:space="preserve">the Netherlands, </w:t>
            </w:r>
            <w:r w:rsidR="006E4C5B">
              <w:rPr>
                <w:b/>
                <w:sz w:val="28"/>
                <w:szCs w:val="28"/>
              </w:rPr>
              <w:t xml:space="preserve">Sweden and the </w:t>
            </w:r>
            <w:r w:rsidR="00665980">
              <w:rPr>
                <w:b/>
                <w:sz w:val="28"/>
                <w:szCs w:val="28"/>
              </w:rPr>
              <w:t>United Kingdom</w:t>
            </w:r>
          </w:p>
        </w:tc>
      </w:tr>
      <w:tr w:rsidR="001D3316" w14:paraId="5B4D77CD" w14:textId="77777777" w:rsidTr="00BB30EB">
        <w:trPr>
          <w:trHeight w:val="138"/>
        </w:trPr>
        <w:tc>
          <w:tcPr>
            <w:tcW w:w="10031" w:type="dxa"/>
            <w:gridSpan w:val="2"/>
          </w:tcPr>
          <w:p w14:paraId="7F0AC5A6" w14:textId="0518ACCA" w:rsidR="001D3316" w:rsidRDefault="001D3316" w:rsidP="003C7CD5">
            <w:pPr>
              <w:pStyle w:val="Normal1"/>
              <w:spacing w:before="240"/>
            </w:pPr>
            <w:bookmarkStart w:id="2" w:name="_GoBack"/>
          </w:p>
        </w:tc>
      </w:tr>
    </w:tbl>
    <w:p w14:paraId="6FE54B2D" w14:textId="4A81F24F" w:rsidR="00BB30EB" w:rsidRPr="00BB30EB" w:rsidRDefault="00B00558" w:rsidP="00BB30EB">
      <w:pPr>
        <w:pStyle w:val="Normal1"/>
        <w:tabs>
          <w:tab w:val="left" w:pos="1418"/>
        </w:tabs>
        <w:spacing w:before="160"/>
        <w:rPr>
          <w:b/>
          <w:sz w:val="32"/>
          <w:szCs w:val="32"/>
        </w:rPr>
      </w:pPr>
      <w:bookmarkStart w:id="3" w:name="h.erbxq0yh2qlt" w:colFirst="0" w:colLast="0"/>
      <w:bookmarkEnd w:id="3"/>
      <w:bookmarkEnd w:id="2"/>
      <w:r>
        <w:rPr>
          <w:b/>
          <w:sz w:val="32"/>
          <w:szCs w:val="32"/>
        </w:rPr>
        <w:t>Review of the 2012 International Telecommunication Regulations</w:t>
      </w:r>
    </w:p>
    <w:p w14:paraId="28B397A9" w14:textId="3801786B" w:rsidR="00B00558" w:rsidRPr="003C7CD5" w:rsidRDefault="004144D1" w:rsidP="00BB0178">
      <w:pPr>
        <w:pStyle w:val="Normal1"/>
        <w:numPr>
          <w:ilvl w:val="0"/>
          <w:numId w:val="15"/>
        </w:numPr>
        <w:tabs>
          <w:tab w:val="left" w:pos="1418"/>
        </w:tabs>
        <w:spacing w:before="160" w:line="320" w:lineRule="atLeast"/>
        <w:ind w:left="567" w:hanging="578"/>
      </w:pPr>
      <w:r w:rsidRPr="003C7CD5">
        <w:t xml:space="preserve">The Czech Republic, </w:t>
      </w:r>
      <w:r w:rsidR="002E34DA" w:rsidRPr="003C7CD5">
        <w:t xml:space="preserve">Denmark, </w:t>
      </w:r>
      <w:r w:rsidR="00BF2CE0" w:rsidRPr="003C7CD5">
        <w:t xml:space="preserve">the Netherlands, </w:t>
      </w:r>
      <w:r w:rsidRPr="003C7CD5">
        <w:t>Sweden and the United Kingdom</w:t>
      </w:r>
      <w:r w:rsidR="00D35096" w:rsidRPr="003C7CD5">
        <w:t xml:space="preserve"> welcome</w:t>
      </w:r>
      <w:r w:rsidR="00B00558" w:rsidRPr="003C7CD5">
        <w:t xml:space="preserve"> </w:t>
      </w:r>
      <w:r w:rsidR="00D35096" w:rsidRPr="003C7CD5">
        <w:t>t</w:t>
      </w:r>
      <w:r w:rsidR="00B00558" w:rsidRPr="003C7CD5">
        <w:t>he opportunity to make a contribution to the first meeting of the Expert Group on the International Telecommunications Regulations (ITRs).</w:t>
      </w:r>
    </w:p>
    <w:p w14:paraId="7992E667" w14:textId="6699C4A9" w:rsidR="000D5CED" w:rsidRDefault="00D35096" w:rsidP="00BB0178">
      <w:pPr>
        <w:pStyle w:val="Normal1"/>
        <w:numPr>
          <w:ilvl w:val="0"/>
          <w:numId w:val="15"/>
        </w:numPr>
        <w:tabs>
          <w:tab w:val="left" w:pos="1418"/>
        </w:tabs>
        <w:spacing w:before="160" w:line="320" w:lineRule="atLeast"/>
        <w:ind w:left="567" w:hanging="578"/>
      </w:pPr>
      <w:r w:rsidRPr="003C7CD5">
        <w:t>We</w:t>
      </w:r>
      <w:r w:rsidR="00B00558" w:rsidRPr="003C7CD5">
        <w:t xml:space="preserve"> did not sign the 2012 ITRs and we do not intend to do so. Along with many other</w:t>
      </w:r>
      <w:r w:rsidR="00B00558">
        <w:t xml:space="preserve"> countries, we continue to </w:t>
      </w:r>
      <w:r w:rsidR="00EC3F5B">
        <w:t>abide by</w:t>
      </w:r>
      <w:r w:rsidR="00B00558">
        <w:t xml:space="preserve"> the 1988 ITRs. </w:t>
      </w:r>
      <w:r w:rsidR="00DD123F">
        <w:t xml:space="preserve">We are not aware of any issues or difficulties that have arisen from differences between the two texts. Operators have not </w:t>
      </w:r>
      <w:r w:rsidR="0034017E">
        <w:t>raised</w:t>
      </w:r>
      <w:r w:rsidR="00DD123F">
        <w:t xml:space="preserve"> any </w:t>
      </w:r>
      <w:r w:rsidR="000D5CED">
        <w:t>concerns or uncertainties and we are not aware of any concerns about potential issues in the future</w:t>
      </w:r>
      <w:r w:rsidR="00DD123F">
        <w:t xml:space="preserve">. </w:t>
      </w:r>
    </w:p>
    <w:p w14:paraId="0D9CD0A8" w14:textId="53FD729B" w:rsidR="007044D3" w:rsidRPr="007044D3" w:rsidRDefault="007044D3" w:rsidP="003C7CD5">
      <w:pPr>
        <w:pStyle w:val="Normal1"/>
        <w:tabs>
          <w:tab w:val="left" w:pos="1418"/>
        </w:tabs>
        <w:spacing w:before="160" w:line="320" w:lineRule="atLeast"/>
        <w:rPr>
          <w:b/>
        </w:rPr>
      </w:pPr>
      <w:r w:rsidRPr="007044D3">
        <w:rPr>
          <w:b/>
        </w:rPr>
        <w:t>Progress since 2012</w:t>
      </w:r>
    </w:p>
    <w:p w14:paraId="2873C83F" w14:textId="4F473A48" w:rsidR="00951DA6" w:rsidRDefault="007E2B65" w:rsidP="00BB0178">
      <w:pPr>
        <w:pStyle w:val="Normal1"/>
        <w:numPr>
          <w:ilvl w:val="0"/>
          <w:numId w:val="15"/>
        </w:numPr>
        <w:tabs>
          <w:tab w:val="left" w:pos="1418"/>
        </w:tabs>
        <w:spacing w:before="160" w:line="320" w:lineRule="atLeast"/>
        <w:ind w:left="567" w:hanging="578"/>
      </w:pPr>
      <w:r>
        <w:t xml:space="preserve">In fact we </w:t>
      </w:r>
      <w:r w:rsidR="0040525A">
        <w:t xml:space="preserve">have observed that </w:t>
      </w:r>
      <w:r w:rsidR="00D20EAB">
        <w:t xml:space="preserve">since 2012 </w:t>
      </w:r>
      <w:r>
        <w:t xml:space="preserve">the development of telecommunications services has continued to advance, particularly in developing countries. </w:t>
      </w:r>
      <w:r w:rsidR="0040525A">
        <w:t xml:space="preserve">Having two sets of ITRs does not appear to have hindered this development. </w:t>
      </w:r>
      <w:r w:rsidR="006A679C">
        <w:t>The International Telecommunication Union (ITU) reported in 2016 that 7 billion people (95% of the global population) live in an area covered by a multi-cellular network. The total number of mobile broadban</w:t>
      </w:r>
      <w:r w:rsidR="007044D3">
        <w:t>d</w:t>
      </w:r>
      <w:r w:rsidR="006A679C">
        <w:t xml:space="preserve"> subscriptions continues to grow at dou</w:t>
      </w:r>
      <w:r w:rsidR="007044D3">
        <w:t>ble-</w:t>
      </w:r>
      <w:r w:rsidR="006A679C">
        <w:t xml:space="preserve">digit rates in developing countries. By the end of 2015, 83 developing countries had achieved the Broadband Commission’s affordability target. </w:t>
      </w:r>
    </w:p>
    <w:p w14:paraId="35876D92" w14:textId="3718A600" w:rsidR="007044D3" w:rsidRDefault="00951DA6" w:rsidP="00BB0178">
      <w:pPr>
        <w:pStyle w:val="Normal1"/>
        <w:numPr>
          <w:ilvl w:val="0"/>
          <w:numId w:val="15"/>
        </w:numPr>
        <w:tabs>
          <w:tab w:val="left" w:pos="1418"/>
        </w:tabs>
        <w:spacing w:before="160" w:line="320" w:lineRule="atLeast"/>
        <w:ind w:left="567" w:hanging="578"/>
        <w:rPr>
          <w:lang w:val="en-US"/>
        </w:rPr>
      </w:pPr>
      <w:r>
        <w:t xml:space="preserve">This </w:t>
      </w:r>
      <w:r w:rsidR="00D20EAB">
        <w:t>progress has been made</w:t>
      </w:r>
      <w:r>
        <w:t xml:space="preserve"> because s</w:t>
      </w:r>
      <w:r w:rsidR="000847A5">
        <w:t>o many countries have created a stable</w:t>
      </w:r>
      <w:r>
        <w:t xml:space="preserve"> enabling environment for investment.</w:t>
      </w:r>
      <w:r w:rsidR="006A679C">
        <w:t xml:space="preserve"> </w:t>
      </w:r>
      <w:r w:rsidR="006A679C" w:rsidRPr="009F199B">
        <w:t xml:space="preserve">The outcome document of the review </w:t>
      </w:r>
      <w:r w:rsidR="006A679C">
        <w:t xml:space="preserve">of the World Summit on the Information Society </w:t>
      </w:r>
      <w:r w:rsidR="006A679C" w:rsidRPr="009F199B">
        <w:t>recognised that significant gains in connectivity and sustainable development have been facilitated by approaches such as</w:t>
      </w:r>
      <w:r w:rsidR="006A679C">
        <w:t xml:space="preserve"> fostering competition, </w:t>
      </w:r>
      <w:r w:rsidR="006A679C" w:rsidRPr="009F199B">
        <w:rPr>
          <w:lang w:val="en-US"/>
        </w:rPr>
        <w:t>the creation of transparent, predictable, independent and non-discriminatory regulatory and legal systems</w:t>
      </w:r>
      <w:r w:rsidR="006A679C">
        <w:rPr>
          <w:lang w:val="en-US"/>
        </w:rPr>
        <w:t xml:space="preserve">, </w:t>
      </w:r>
      <w:r w:rsidR="006A679C" w:rsidRPr="009F199B">
        <w:rPr>
          <w:lang w:val="en-US"/>
        </w:rPr>
        <w:t>access to finance</w:t>
      </w:r>
      <w:r w:rsidR="007044D3">
        <w:rPr>
          <w:lang w:val="en-US"/>
        </w:rPr>
        <w:t xml:space="preserve"> </w:t>
      </w:r>
      <w:r w:rsidR="006A679C">
        <w:rPr>
          <w:lang w:val="en-US"/>
        </w:rPr>
        <w:t xml:space="preserve">and </w:t>
      </w:r>
      <w:r w:rsidR="006A679C" w:rsidRPr="009F199B">
        <w:rPr>
          <w:lang w:val="en-US"/>
        </w:rPr>
        <w:t>multi-stakeholder cooperation</w:t>
      </w:r>
      <w:r w:rsidR="006A679C">
        <w:rPr>
          <w:lang w:val="en-US"/>
        </w:rPr>
        <w:t>.</w:t>
      </w:r>
      <w:r w:rsidR="006A679C" w:rsidRPr="009F199B">
        <w:rPr>
          <w:lang w:val="en-US"/>
        </w:rPr>
        <w:t xml:space="preserve"> </w:t>
      </w:r>
    </w:p>
    <w:p w14:paraId="3D586A01" w14:textId="39763A6C" w:rsidR="00951DA6" w:rsidRDefault="00D20EAB" w:rsidP="00BB0178">
      <w:pPr>
        <w:pStyle w:val="Normal1"/>
        <w:numPr>
          <w:ilvl w:val="0"/>
          <w:numId w:val="15"/>
        </w:numPr>
        <w:tabs>
          <w:tab w:val="left" w:pos="1418"/>
        </w:tabs>
        <w:spacing w:before="160" w:line="320" w:lineRule="atLeast"/>
        <w:ind w:left="567" w:hanging="578"/>
        <w:rPr>
          <w:lang w:val="en-US"/>
        </w:rPr>
      </w:pPr>
      <w:r>
        <w:rPr>
          <w:lang w:val="en-US"/>
        </w:rPr>
        <w:lastRenderedPageBreak/>
        <w:t>Although progress has been made, d</w:t>
      </w:r>
      <w:r w:rsidR="007044D3">
        <w:rPr>
          <w:lang w:val="en-US"/>
        </w:rPr>
        <w:t xml:space="preserve">eveloping countries in particular continue to face </w:t>
      </w:r>
      <w:r>
        <w:rPr>
          <w:lang w:val="en-US"/>
        </w:rPr>
        <w:t xml:space="preserve">significant </w:t>
      </w:r>
      <w:r w:rsidR="007044D3">
        <w:rPr>
          <w:lang w:val="en-US"/>
        </w:rPr>
        <w:t>challenges in terms of investment, affordability and capacity-building. We need to continue to make progress in these areas in order to bridge the digital divide.</w:t>
      </w:r>
    </w:p>
    <w:p w14:paraId="3B368A28" w14:textId="76F0C404" w:rsidR="007044D3" w:rsidRPr="007044D3" w:rsidRDefault="007044D3" w:rsidP="003C7CD5">
      <w:pPr>
        <w:pStyle w:val="Normal1"/>
        <w:tabs>
          <w:tab w:val="left" w:pos="1418"/>
        </w:tabs>
        <w:spacing w:before="160" w:line="320" w:lineRule="atLeast"/>
        <w:rPr>
          <w:b/>
          <w:lang w:val="en-US"/>
        </w:rPr>
      </w:pPr>
      <w:r>
        <w:rPr>
          <w:b/>
          <w:lang w:val="en-US"/>
        </w:rPr>
        <w:t>The uncertainty that would be caused by another WCIT</w:t>
      </w:r>
    </w:p>
    <w:p w14:paraId="1BC0FB48" w14:textId="05D1C78D" w:rsidR="00110CFB" w:rsidRDefault="00951DA6" w:rsidP="00BB0178">
      <w:pPr>
        <w:pStyle w:val="Normal1"/>
        <w:numPr>
          <w:ilvl w:val="0"/>
          <w:numId w:val="15"/>
        </w:numPr>
        <w:tabs>
          <w:tab w:val="left" w:pos="1418"/>
        </w:tabs>
        <w:spacing w:before="160" w:line="320" w:lineRule="atLeast"/>
        <w:ind w:left="567" w:hanging="578"/>
      </w:pPr>
      <w:r>
        <w:t>We have heard a suggestion that there should be another World Conference on International Telecommunications (WCIT) in order to produce another set of ITRs. We are concerned that such a course of action would</w:t>
      </w:r>
      <w:r w:rsidR="00110CFB">
        <w:t xml:space="preserve"> cause </w:t>
      </w:r>
      <w:r w:rsidR="00C11ABF">
        <w:t>great</w:t>
      </w:r>
      <w:r w:rsidR="00110CFB">
        <w:t xml:space="preserve"> uncertainty and that this uncertainty </w:t>
      </w:r>
      <w:r>
        <w:t xml:space="preserve">could hinder the investment </w:t>
      </w:r>
      <w:r w:rsidR="00C11ABF">
        <w:t xml:space="preserve">that is currently taking place. </w:t>
      </w:r>
      <w:r w:rsidR="00110CFB">
        <w:t xml:space="preserve">This </w:t>
      </w:r>
      <w:r w:rsidR="0034017E">
        <w:t>uncertainty</w:t>
      </w:r>
      <w:r w:rsidR="00110CFB">
        <w:t xml:space="preserve"> would last for many years because a new WCIT would require a long and detailed preparatory process in which many different issues would be </w:t>
      </w:r>
      <w:r w:rsidR="00C11ABF">
        <w:t>re-opened</w:t>
      </w:r>
      <w:r w:rsidR="00110CFB">
        <w:t>. It is likely that a new WCIT would create three main areas of uncertainty:</w:t>
      </w:r>
    </w:p>
    <w:p w14:paraId="527F4972" w14:textId="7566F191" w:rsidR="00110CFB" w:rsidRDefault="00C11ABF" w:rsidP="00BB0178">
      <w:pPr>
        <w:pStyle w:val="Normal1"/>
        <w:numPr>
          <w:ilvl w:val="0"/>
          <w:numId w:val="16"/>
        </w:numPr>
        <w:tabs>
          <w:tab w:val="clear" w:pos="567"/>
          <w:tab w:val="clear" w:pos="1134"/>
          <w:tab w:val="left" w:pos="284"/>
          <w:tab w:val="left" w:pos="1418"/>
        </w:tabs>
        <w:spacing w:before="160" w:line="320" w:lineRule="atLeast"/>
        <w:ind w:left="993"/>
      </w:pPr>
      <w:r>
        <w:t xml:space="preserve">The scope of the ITRs </w:t>
      </w:r>
      <w:r w:rsidR="00110CFB">
        <w:t xml:space="preserve">and whether they should include internet-related </w:t>
      </w:r>
      <w:r>
        <w:t>matters would be a very difficult issue</w:t>
      </w:r>
      <w:r w:rsidR="00110CFB">
        <w:t xml:space="preserve">. </w:t>
      </w:r>
      <w:r w:rsidR="00D35096">
        <w:t>We are</w:t>
      </w:r>
      <w:r w:rsidR="00110CFB">
        <w:t xml:space="preserve"> clear that the ITRs should not include internet-related </w:t>
      </w:r>
      <w:r>
        <w:t>matters</w:t>
      </w:r>
      <w:r w:rsidR="001F5B4B">
        <w:t xml:space="preserve">. We know, however, that </w:t>
      </w:r>
      <w:r w:rsidR="0034017E">
        <w:t>others do not share this position</w:t>
      </w:r>
      <w:r w:rsidR="00110CFB">
        <w:t xml:space="preserve">. </w:t>
      </w:r>
      <w:r>
        <w:t>During the negotiations</w:t>
      </w:r>
      <w:r w:rsidR="0034017E">
        <w:t xml:space="preserve"> </w:t>
      </w:r>
      <w:r w:rsidR="00110CFB">
        <w:t xml:space="preserve">many internet-related organisations and businesses </w:t>
      </w:r>
      <w:r w:rsidR="000847A5">
        <w:t>that</w:t>
      </w:r>
      <w:r w:rsidR="00110CFB">
        <w:t xml:space="preserve"> do not currently fall within the scope of the ITRs </w:t>
      </w:r>
      <w:r w:rsidR="0034017E">
        <w:t>c</w:t>
      </w:r>
      <w:r w:rsidR="00110CFB">
        <w:t>ould find themselves at risk of new int</w:t>
      </w:r>
      <w:r w:rsidR="00C83B11">
        <w:t>ernational regulation and this c</w:t>
      </w:r>
      <w:r w:rsidR="00110CFB">
        <w:t xml:space="preserve">ould affect </w:t>
      </w:r>
      <w:r>
        <w:t>planning and investment</w:t>
      </w:r>
      <w:r w:rsidR="00110CFB">
        <w:t xml:space="preserve"> decisions. </w:t>
      </w:r>
      <w:r>
        <w:t>There may be pressure to</w:t>
      </w:r>
      <w:r w:rsidR="00110CFB">
        <w:t xml:space="preserve"> </w:t>
      </w:r>
      <w:r>
        <w:t>postpone</w:t>
      </w:r>
      <w:r w:rsidR="00110CFB">
        <w:t xml:space="preserve"> investment </w:t>
      </w:r>
      <w:r w:rsidR="002D1470">
        <w:t xml:space="preserve">and commercial </w:t>
      </w:r>
      <w:r w:rsidR="00110CFB">
        <w:t xml:space="preserve">decisions until a new set of ITRs was agreed and the position was clear. </w:t>
      </w:r>
    </w:p>
    <w:p w14:paraId="2D3EADCA" w14:textId="5299EBB7" w:rsidR="00110CFB" w:rsidRDefault="00C11ABF" w:rsidP="00BB0178">
      <w:pPr>
        <w:pStyle w:val="Normal1"/>
        <w:numPr>
          <w:ilvl w:val="0"/>
          <w:numId w:val="16"/>
        </w:numPr>
        <w:tabs>
          <w:tab w:val="clear" w:pos="567"/>
          <w:tab w:val="clear" w:pos="1134"/>
          <w:tab w:val="left" w:pos="284"/>
          <w:tab w:val="left" w:pos="1418"/>
        </w:tabs>
        <w:spacing w:before="160" w:line="320" w:lineRule="atLeast"/>
        <w:ind w:left="993"/>
      </w:pPr>
      <w:r>
        <w:t>There would also</w:t>
      </w:r>
      <w:r w:rsidR="000847A5">
        <w:t xml:space="preserve"> be uncertainty about </w:t>
      </w:r>
      <w:r>
        <w:t>content of</w:t>
      </w:r>
      <w:r w:rsidR="000847A5">
        <w:t xml:space="preserve"> the </w:t>
      </w:r>
      <w:r>
        <w:t>new Regulations</w:t>
      </w:r>
      <w:r w:rsidR="000847A5">
        <w:t>. All of the existing provisions in the ITRs from 1988 and 2012 would be opened up for re-negotiation</w:t>
      </w:r>
      <w:r w:rsidR="00C83B11">
        <w:t xml:space="preserve"> and new provisions would be proposed</w:t>
      </w:r>
      <w:r w:rsidR="000847A5">
        <w:t xml:space="preserve">. This means that operators whose </w:t>
      </w:r>
      <w:r w:rsidR="0034017E">
        <w:t>activities</w:t>
      </w:r>
      <w:r w:rsidR="000847A5">
        <w:t xml:space="preserve"> are currently within the scope of the </w:t>
      </w:r>
      <w:r>
        <w:t xml:space="preserve">ITRs </w:t>
      </w:r>
      <w:r w:rsidR="000847A5">
        <w:t xml:space="preserve">will be exposed to uncertainty about </w:t>
      </w:r>
      <w:r w:rsidR="002D1470">
        <w:t xml:space="preserve">the </w:t>
      </w:r>
      <w:r>
        <w:t>future of the R</w:t>
      </w:r>
      <w:r w:rsidR="002D1470">
        <w:t>egulations</w:t>
      </w:r>
      <w:r w:rsidR="000847A5">
        <w:t xml:space="preserve"> </w:t>
      </w:r>
      <w:r w:rsidR="002D1470">
        <w:t xml:space="preserve">and they may also decide to </w:t>
      </w:r>
      <w:r>
        <w:t>delay</w:t>
      </w:r>
      <w:r w:rsidR="002D1470">
        <w:t xml:space="preserve"> investment and commercial decisions until any new text was agreed.</w:t>
      </w:r>
    </w:p>
    <w:p w14:paraId="7E6F64A7" w14:textId="6349CA05" w:rsidR="002D1470" w:rsidRDefault="002D1470" w:rsidP="00BB0178">
      <w:pPr>
        <w:pStyle w:val="Normal1"/>
        <w:numPr>
          <w:ilvl w:val="0"/>
          <w:numId w:val="16"/>
        </w:numPr>
        <w:tabs>
          <w:tab w:val="clear" w:pos="567"/>
          <w:tab w:val="clear" w:pos="1134"/>
          <w:tab w:val="left" w:pos="284"/>
          <w:tab w:val="left" w:pos="1418"/>
        </w:tabs>
        <w:spacing w:before="160" w:line="320" w:lineRule="atLeast"/>
        <w:ind w:left="993"/>
      </w:pPr>
      <w:r>
        <w:t xml:space="preserve">Finally, it is not clear that a third set of ITRs would attract </w:t>
      </w:r>
      <w:r w:rsidR="0034017E">
        <w:t>consensus</w:t>
      </w:r>
      <w:r>
        <w:t xml:space="preserve"> agreement</w:t>
      </w:r>
      <w:r w:rsidR="00632D42">
        <w:t>,</w:t>
      </w:r>
      <w:r>
        <w:t xml:space="preserve"> </w:t>
      </w:r>
      <w:r w:rsidR="0034017E">
        <w:t xml:space="preserve">which could </w:t>
      </w:r>
      <w:r w:rsidR="001F5B4B">
        <w:t>put at risk</w:t>
      </w:r>
      <w:r w:rsidR="0034017E">
        <w:t xml:space="preserve"> the ITU’s reputation as an effective </w:t>
      </w:r>
      <w:r w:rsidR="001F5B4B">
        <w:t>international</w:t>
      </w:r>
      <w:r w:rsidR="0034017E">
        <w:t xml:space="preserve"> body</w:t>
      </w:r>
      <w:r>
        <w:t>. Even if a large number of countries signed a new set of ITRs, the ratification and implementation process could take many years and could add to the uncertainty.</w:t>
      </w:r>
    </w:p>
    <w:p w14:paraId="186E12EE" w14:textId="4509D160" w:rsidR="002D1470" w:rsidRPr="00C83B11" w:rsidRDefault="002D1470" w:rsidP="00BB0178">
      <w:pPr>
        <w:pStyle w:val="Normal1"/>
        <w:tabs>
          <w:tab w:val="left" w:pos="1418"/>
        </w:tabs>
        <w:spacing w:before="160" w:line="320" w:lineRule="atLeast"/>
        <w:ind w:left="567"/>
        <w:rPr>
          <w:b/>
        </w:rPr>
      </w:pPr>
      <w:r>
        <w:t xml:space="preserve">The </w:t>
      </w:r>
      <w:r w:rsidR="00C11ABF">
        <w:t>ITU</w:t>
      </w:r>
      <w:r>
        <w:t xml:space="preserve"> and the international community more broadly face many challenges over the coming years to increase investment in infrastructure and connectivity, to improve affordability, to build capacity and skills and to tackle the digital divide. A new WCIT and another re-negotiation of the ITRs </w:t>
      </w:r>
      <w:r w:rsidR="00C83B11">
        <w:t>would</w:t>
      </w:r>
      <w:r>
        <w:t xml:space="preserve"> take away resources and attention from critically important priorities such as realising the 2030 Sustainable Development Goals, delivering the Action Lines of the World </w:t>
      </w:r>
      <w:r w:rsidR="0034017E">
        <w:t>Summit</w:t>
      </w:r>
      <w:r>
        <w:t xml:space="preserve"> on the Information Society and implementing the outcomes of the World Telecommunications Development Conference later this year.</w:t>
      </w:r>
    </w:p>
    <w:p w14:paraId="1E098DDB" w14:textId="77777777" w:rsidR="00BB30EB" w:rsidRDefault="00BB30EB" w:rsidP="003C7CD5">
      <w:pPr>
        <w:pStyle w:val="Normal1"/>
        <w:tabs>
          <w:tab w:val="left" w:pos="1418"/>
        </w:tabs>
        <w:spacing w:before="160" w:line="320" w:lineRule="atLeast"/>
        <w:rPr>
          <w:b/>
        </w:rPr>
      </w:pPr>
    </w:p>
    <w:p w14:paraId="6F93C2D4" w14:textId="77777777" w:rsidR="00BB30EB" w:rsidRDefault="00BB30EB" w:rsidP="003C7CD5">
      <w:pPr>
        <w:pStyle w:val="Normal1"/>
        <w:tabs>
          <w:tab w:val="left" w:pos="1418"/>
        </w:tabs>
        <w:spacing w:before="160" w:line="320" w:lineRule="atLeast"/>
        <w:rPr>
          <w:b/>
        </w:rPr>
      </w:pPr>
    </w:p>
    <w:p w14:paraId="6D8F4762" w14:textId="10272365" w:rsidR="00C83B11" w:rsidRPr="00C83B11" w:rsidRDefault="00C83B11" w:rsidP="003C7CD5">
      <w:pPr>
        <w:pStyle w:val="Normal1"/>
        <w:tabs>
          <w:tab w:val="left" w:pos="1418"/>
        </w:tabs>
        <w:spacing w:before="160" w:line="320" w:lineRule="atLeast"/>
        <w:rPr>
          <w:b/>
        </w:rPr>
      </w:pPr>
      <w:r>
        <w:rPr>
          <w:b/>
        </w:rPr>
        <w:t>Conclusion</w:t>
      </w:r>
    </w:p>
    <w:p w14:paraId="764779B7" w14:textId="2ACF4B7A" w:rsidR="00FD7DD1" w:rsidRDefault="002D1470" w:rsidP="00BB0178">
      <w:pPr>
        <w:pStyle w:val="Normal1"/>
        <w:numPr>
          <w:ilvl w:val="0"/>
          <w:numId w:val="15"/>
        </w:numPr>
        <w:tabs>
          <w:tab w:val="left" w:pos="1418"/>
        </w:tabs>
        <w:spacing w:before="160" w:line="320" w:lineRule="atLeast"/>
        <w:ind w:left="567" w:hanging="578"/>
      </w:pPr>
      <w:r>
        <w:t xml:space="preserve">In </w:t>
      </w:r>
      <w:r w:rsidR="00FD7DD1">
        <w:t>summary</w:t>
      </w:r>
      <w:r>
        <w:t>, we see no difficult</w:t>
      </w:r>
      <w:r w:rsidR="00FD7DD1">
        <w:t xml:space="preserve">ies caused by the existence of two sets of ITRs, in fact investment in and access to telecommunications services have continued to </w:t>
      </w:r>
      <w:r w:rsidR="00C83B11">
        <w:t>develop</w:t>
      </w:r>
      <w:r w:rsidR="00FD7DD1">
        <w:t xml:space="preserve">. </w:t>
      </w:r>
      <w:r w:rsidR="00C83B11">
        <w:t xml:space="preserve">Another </w:t>
      </w:r>
      <w:r w:rsidR="00FD7DD1">
        <w:t xml:space="preserve">WCIT would cause significant uncertainty, which might </w:t>
      </w:r>
      <w:r w:rsidR="00C11ABF">
        <w:t>hold back</w:t>
      </w:r>
      <w:r w:rsidR="00FD7DD1">
        <w:t xml:space="preserve"> investment and development. Instead, our focus should be on implementing the 2030 Sustainable Development Agenda and fostering new investment and affordable telecommunications, particularly in developing countries.</w:t>
      </w:r>
    </w:p>
    <w:p w14:paraId="74369030" w14:textId="2F1549C8" w:rsidR="001D3316" w:rsidRDefault="00FD7DD1" w:rsidP="00BB0178">
      <w:pPr>
        <w:pStyle w:val="Normal1"/>
        <w:tabs>
          <w:tab w:val="left" w:pos="1418"/>
        </w:tabs>
        <w:spacing w:before="160" w:line="320" w:lineRule="atLeast"/>
      </w:pPr>
      <w:r>
        <w:t xml:space="preserve"> </w:t>
      </w:r>
    </w:p>
    <w:p w14:paraId="03999F23" w14:textId="77777777" w:rsidR="00C80FC6" w:rsidRPr="009F199B" w:rsidRDefault="00C80FC6" w:rsidP="00BB0178">
      <w:pPr>
        <w:pStyle w:val="Normal1"/>
        <w:tabs>
          <w:tab w:val="left" w:pos="1418"/>
        </w:tabs>
        <w:spacing w:before="160" w:line="320" w:lineRule="atLeast"/>
      </w:pPr>
    </w:p>
    <w:p w14:paraId="6C4672A7" w14:textId="77777777" w:rsidR="001D3316" w:rsidRDefault="00665980" w:rsidP="00BB0178">
      <w:pPr>
        <w:pStyle w:val="Normal1"/>
        <w:tabs>
          <w:tab w:val="left" w:pos="720"/>
        </w:tabs>
        <w:spacing w:after="120" w:line="320" w:lineRule="atLeast"/>
        <w:ind w:left="-810" w:hanging="566"/>
        <w:jc w:val="center"/>
      </w:pPr>
      <w:r w:rsidRPr="009F199B">
        <w:t>___</w:t>
      </w:r>
      <w:r>
        <w:rPr>
          <w:b/>
        </w:rPr>
        <w:t>____________________</w:t>
      </w:r>
    </w:p>
    <w:sectPr w:rsidR="001D3316" w:rsidSect="00252EDF">
      <w:headerReference w:type="default" r:id="rId8"/>
      <w:pgSz w:w="11907" w:h="16840" w:code="9"/>
      <w:pgMar w:top="1418" w:right="1418" w:bottom="1276"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CC031" w14:textId="77777777" w:rsidR="00BB30EB" w:rsidRDefault="00BB30EB">
      <w:pPr>
        <w:spacing w:before="0"/>
      </w:pPr>
      <w:r>
        <w:separator/>
      </w:r>
    </w:p>
  </w:endnote>
  <w:endnote w:type="continuationSeparator" w:id="0">
    <w:p w14:paraId="20E6ACC4" w14:textId="77777777" w:rsidR="00BB30EB" w:rsidRDefault="00BB30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C8502" w14:textId="77777777" w:rsidR="00BB30EB" w:rsidRDefault="00BB30EB">
      <w:pPr>
        <w:spacing w:before="0"/>
      </w:pPr>
      <w:r>
        <w:separator/>
      </w:r>
    </w:p>
  </w:footnote>
  <w:footnote w:type="continuationSeparator" w:id="0">
    <w:p w14:paraId="1D574C32" w14:textId="77777777" w:rsidR="00BB30EB" w:rsidRDefault="00BB30E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2DA3D" w14:textId="77777777" w:rsidR="00BB30EB" w:rsidRDefault="00BB30EB">
    <w:pPr>
      <w:pStyle w:val="Normal1"/>
      <w:spacing w:before="0"/>
      <w:jc w:val="center"/>
    </w:pPr>
    <w:r>
      <w:fldChar w:fldCharType="begin"/>
    </w:r>
    <w:r>
      <w:instrText>PAGE</w:instrText>
    </w:r>
    <w:r>
      <w:fldChar w:fldCharType="separate"/>
    </w:r>
    <w:r w:rsidR="00252EDF">
      <w:rPr>
        <w:noProof/>
      </w:rPr>
      <w:t>2</w:t>
    </w:r>
    <w:r>
      <w:fldChar w:fldCharType="end"/>
    </w:r>
  </w:p>
  <w:p w14:paraId="55BB1AF1" w14:textId="77777777" w:rsidR="00BB30EB" w:rsidRDefault="00BB30EB">
    <w:pPr>
      <w:pStyle w:val="Normal1"/>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D627C"/>
    <w:multiLevelType w:val="multilevel"/>
    <w:tmpl w:val="FB7436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17C018D"/>
    <w:multiLevelType w:val="hybridMultilevel"/>
    <w:tmpl w:val="75FC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004B2"/>
    <w:multiLevelType w:val="hybridMultilevel"/>
    <w:tmpl w:val="7A4C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76F08"/>
    <w:multiLevelType w:val="hybridMultilevel"/>
    <w:tmpl w:val="9D66D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11B42"/>
    <w:multiLevelType w:val="hybridMultilevel"/>
    <w:tmpl w:val="B8B80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A4F13"/>
    <w:multiLevelType w:val="multilevel"/>
    <w:tmpl w:val="BD26122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C281CB7"/>
    <w:multiLevelType w:val="hybridMultilevel"/>
    <w:tmpl w:val="8196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16E92"/>
    <w:multiLevelType w:val="hybridMultilevel"/>
    <w:tmpl w:val="5308CAB0"/>
    <w:lvl w:ilvl="0" w:tplc="2FB0CFD2">
      <w:start w:val="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35140"/>
    <w:multiLevelType w:val="multilevel"/>
    <w:tmpl w:val="8CDC7094"/>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5936BB7"/>
    <w:multiLevelType w:val="hybridMultilevel"/>
    <w:tmpl w:val="1A6C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A15B7"/>
    <w:multiLevelType w:val="hybridMultilevel"/>
    <w:tmpl w:val="A4A4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2169C"/>
    <w:multiLevelType w:val="hybridMultilevel"/>
    <w:tmpl w:val="2FB6CE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C7170"/>
    <w:multiLevelType w:val="hybridMultilevel"/>
    <w:tmpl w:val="6E3A2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207E1"/>
    <w:multiLevelType w:val="hybridMultilevel"/>
    <w:tmpl w:val="F6B4FA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550AD1"/>
    <w:multiLevelType w:val="hybridMultilevel"/>
    <w:tmpl w:val="2B7C8EFE"/>
    <w:lvl w:ilvl="0" w:tplc="2FB0CFD2">
      <w:start w:val="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0"/>
  </w:num>
  <w:num w:numId="5">
    <w:abstractNumId w:val="1"/>
  </w:num>
  <w:num w:numId="6">
    <w:abstractNumId w:val="5"/>
  </w:num>
  <w:num w:numId="7">
    <w:abstractNumId w:val="11"/>
  </w:num>
  <w:num w:numId="8">
    <w:abstractNumId w:val="4"/>
  </w:num>
  <w:num w:numId="9">
    <w:abstractNumId w:val="13"/>
  </w:num>
  <w:num w:numId="10">
    <w:abstractNumId w:val="3"/>
  </w:num>
  <w:num w:numId="11">
    <w:abstractNumId w:val="12"/>
  </w:num>
  <w:num w:numId="12">
    <w:abstractNumId w:val="15"/>
  </w:num>
  <w:num w:numId="13">
    <w:abstractNumId w:val="8"/>
  </w:num>
  <w:num w:numId="14">
    <w:abstractNumId w:val="7"/>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16"/>
    <w:rsid w:val="000847A5"/>
    <w:rsid w:val="000B002B"/>
    <w:rsid w:val="000B398D"/>
    <w:rsid w:val="000D5CED"/>
    <w:rsid w:val="000E655F"/>
    <w:rsid w:val="000E7519"/>
    <w:rsid w:val="000E7B77"/>
    <w:rsid w:val="00110CFB"/>
    <w:rsid w:val="001720C8"/>
    <w:rsid w:val="001D3316"/>
    <w:rsid w:val="001F5B4B"/>
    <w:rsid w:val="00252EDF"/>
    <w:rsid w:val="002A6920"/>
    <w:rsid w:val="002B5CED"/>
    <w:rsid w:val="002D1470"/>
    <w:rsid w:val="002D3A64"/>
    <w:rsid w:val="002E0D54"/>
    <w:rsid w:val="002E34DA"/>
    <w:rsid w:val="0034017E"/>
    <w:rsid w:val="003C7CD5"/>
    <w:rsid w:val="0040525A"/>
    <w:rsid w:val="004144D1"/>
    <w:rsid w:val="00567E9B"/>
    <w:rsid w:val="005E077C"/>
    <w:rsid w:val="00632D42"/>
    <w:rsid w:val="00665980"/>
    <w:rsid w:val="006A679C"/>
    <w:rsid w:val="006E4C5B"/>
    <w:rsid w:val="007044D3"/>
    <w:rsid w:val="0077146F"/>
    <w:rsid w:val="007E2B65"/>
    <w:rsid w:val="00951DA6"/>
    <w:rsid w:val="00951F4A"/>
    <w:rsid w:val="009F199B"/>
    <w:rsid w:val="00A231D9"/>
    <w:rsid w:val="00B00558"/>
    <w:rsid w:val="00B15652"/>
    <w:rsid w:val="00BB0178"/>
    <w:rsid w:val="00BB30EB"/>
    <w:rsid w:val="00BF2CE0"/>
    <w:rsid w:val="00C11ABF"/>
    <w:rsid w:val="00C80FC6"/>
    <w:rsid w:val="00C83B11"/>
    <w:rsid w:val="00CF3D7E"/>
    <w:rsid w:val="00D20EAB"/>
    <w:rsid w:val="00D35096"/>
    <w:rsid w:val="00DD123F"/>
    <w:rsid w:val="00E53B4B"/>
    <w:rsid w:val="00EC3F5B"/>
    <w:rsid w:val="00FD7DD1"/>
    <w:rsid w:val="00FE13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A1803"/>
  <w15:docId w15:val="{CA7E2A5A-B53C-44A4-A88F-506CEA50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GB" w:eastAsia="en-US" w:bidi="ar-SA"/>
      </w:rPr>
    </w:rPrDefault>
    <w:pPrDefault>
      <w:pPr>
        <w:tabs>
          <w:tab w:val="left" w:pos="567"/>
          <w:tab w:val="left" w:pos="1134"/>
          <w:tab w:val="left" w:pos="1701"/>
          <w:tab w:val="left" w:pos="2268"/>
          <w:tab w:val="left" w:pos="2835"/>
        </w:tabs>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ind w:left="567" w:hanging="567"/>
      <w:outlineLvl w:val="0"/>
    </w:pPr>
    <w:rPr>
      <w:b/>
      <w:sz w:val="28"/>
      <w:szCs w:val="28"/>
    </w:rPr>
  </w:style>
  <w:style w:type="paragraph" w:styleId="Heading2">
    <w:name w:val="heading 2"/>
    <w:basedOn w:val="Normal1"/>
    <w:next w:val="Normal1"/>
    <w:pPr>
      <w:keepNext/>
      <w:keepLines/>
      <w:spacing w:before="320"/>
      <w:ind w:left="567" w:hanging="567"/>
      <w:outlineLvl w:val="1"/>
    </w:pPr>
    <w:rPr>
      <w:b/>
    </w:rPr>
  </w:style>
  <w:style w:type="paragraph" w:styleId="Heading3">
    <w:name w:val="heading 3"/>
    <w:basedOn w:val="Normal1"/>
    <w:next w:val="Normal1"/>
    <w:pPr>
      <w:keepNext/>
      <w:keepLines/>
      <w:spacing w:before="200"/>
      <w:ind w:left="567" w:hanging="567"/>
      <w:outlineLvl w:val="2"/>
    </w:pPr>
    <w:rPr>
      <w:b/>
    </w:rPr>
  </w:style>
  <w:style w:type="paragraph" w:styleId="Heading4">
    <w:name w:val="heading 4"/>
    <w:basedOn w:val="Normal1"/>
    <w:next w:val="Normal1"/>
    <w:pPr>
      <w:keepNext/>
      <w:keepLines/>
      <w:spacing w:before="200"/>
      <w:ind w:left="1134" w:hanging="1134"/>
      <w:outlineLvl w:val="3"/>
    </w:pPr>
    <w:rPr>
      <w:b/>
    </w:rPr>
  </w:style>
  <w:style w:type="paragraph" w:styleId="Heading5">
    <w:name w:val="heading 5"/>
    <w:basedOn w:val="Normal1"/>
    <w:next w:val="Normal1"/>
    <w:pPr>
      <w:keepNext/>
      <w:keepLines/>
      <w:spacing w:before="200"/>
      <w:ind w:left="1134" w:hanging="1134"/>
      <w:outlineLvl w:val="4"/>
    </w:pPr>
    <w:rPr>
      <w:b/>
    </w:rPr>
  </w:style>
  <w:style w:type="paragraph" w:styleId="Heading6">
    <w:name w:val="heading 6"/>
    <w:basedOn w:val="Normal1"/>
    <w:next w:val="Normal1"/>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F199B"/>
    <w:rPr>
      <w:color w:val="0000FF" w:themeColor="hyperlink"/>
      <w:u w:val="single"/>
    </w:rPr>
  </w:style>
  <w:style w:type="paragraph" w:styleId="NoSpacing">
    <w:name w:val="No Spacing"/>
    <w:uiPriority w:val="1"/>
    <w:qFormat/>
    <w:rsid w:val="009F199B"/>
    <w:pPr>
      <w:spacing w:before="0"/>
    </w:pPr>
  </w:style>
  <w:style w:type="paragraph" w:styleId="BalloonText">
    <w:name w:val="Balloon Text"/>
    <w:basedOn w:val="Normal"/>
    <w:link w:val="BalloonTextChar"/>
    <w:uiPriority w:val="99"/>
    <w:semiHidden/>
    <w:unhideWhenUsed/>
    <w:rsid w:val="0034017E"/>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1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34017E"/>
    <w:rPr>
      <w:sz w:val="18"/>
      <w:szCs w:val="18"/>
    </w:rPr>
  </w:style>
  <w:style w:type="paragraph" w:styleId="CommentText">
    <w:name w:val="annotation text"/>
    <w:basedOn w:val="Normal"/>
    <w:link w:val="CommentTextChar"/>
    <w:uiPriority w:val="99"/>
    <w:semiHidden/>
    <w:unhideWhenUsed/>
    <w:rsid w:val="0034017E"/>
  </w:style>
  <w:style w:type="character" w:customStyle="1" w:styleId="CommentTextChar">
    <w:name w:val="Comment Text Char"/>
    <w:basedOn w:val="DefaultParagraphFont"/>
    <w:link w:val="CommentText"/>
    <w:uiPriority w:val="99"/>
    <w:semiHidden/>
    <w:rsid w:val="0034017E"/>
  </w:style>
  <w:style w:type="paragraph" w:styleId="CommentSubject">
    <w:name w:val="annotation subject"/>
    <w:basedOn w:val="CommentText"/>
    <w:next w:val="CommentText"/>
    <w:link w:val="CommentSubjectChar"/>
    <w:uiPriority w:val="99"/>
    <w:semiHidden/>
    <w:unhideWhenUsed/>
    <w:rsid w:val="0034017E"/>
    <w:rPr>
      <w:b/>
      <w:bCs/>
      <w:sz w:val="20"/>
      <w:szCs w:val="20"/>
    </w:rPr>
  </w:style>
  <w:style w:type="character" w:customStyle="1" w:styleId="CommentSubjectChar">
    <w:name w:val="Comment Subject Char"/>
    <w:basedOn w:val="CommentTextChar"/>
    <w:link w:val="CommentSubject"/>
    <w:uiPriority w:val="99"/>
    <w:semiHidden/>
    <w:rsid w:val="00340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 Patricia</dc:creator>
  <cp:lastModifiedBy>Janin</cp:lastModifiedBy>
  <cp:revision>3</cp:revision>
  <dcterms:created xsi:type="dcterms:W3CDTF">2017-01-25T16:45:00Z</dcterms:created>
  <dcterms:modified xsi:type="dcterms:W3CDTF">2017-01-25T16:46:00Z</dcterms:modified>
</cp:coreProperties>
</file>