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FC70EE" w:rsidTr="00821479">
        <w:trPr>
          <w:cantSplit/>
        </w:trPr>
        <w:tc>
          <w:tcPr>
            <w:tcW w:w="6911" w:type="dxa"/>
          </w:tcPr>
          <w:p w:rsidR="00821479" w:rsidRPr="00FC70EE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FC70EE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870" w:type="dxa"/>
          </w:tcPr>
          <w:p w:rsidR="00821479" w:rsidRPr="00FC70EE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FC70EE">
              <w:rPr>
                <w:noProof/>
                <w:lang w:val="en-US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1254B2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FC70EE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FC70EE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FC70EE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1254B2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FC70EE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FC70EE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FC70EE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FC70EE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FC70EE" w:rsidRDefault="00821479" w:rsidP="00E2775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FC70EE">
              <w:rPr>
                <w:b/>
                <w:bCs/>
                <w:szCs w:val="22"/>
                <w:lang w:val="ru-RU"/>
              </w:rPr>
              <w:t>Документ EG-ITRs 1/</w:t>
            </w:r>
            <w:r w:rsidR="00E27750" w:rsidRPr="00FC70EE">
              <w:rPr>
                <w:b/>
                <w:bCs/>
                <w:szCs w:val="22"/>
                <w:lang w:val="ru-RU"/>
              </w:rPr>
              <w:t>7</w:t>
            </w:r>
            <w:r w:rsidRPr="00FC70E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FC70EE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FC70EE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FC70EE" w:rsidRDefault="00E27750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C70EE">
              <w:rPr>
                <w:b/>
                <w:bCs/>
                <w:szCs w:val="22"/>
                <w:lang w:val="ru-RU"/>
              </w:rPr>
              <w:t>10</w:t>
            </w:r>
            <w:r w:rsidR="00821479" w:rsidRPr="00FC70EE">
              <w:rPr>
                <w:b/>
                <w:bCs/>
                <w:szCs w:val="22"/>
                <w:lang w:val="ru-RU"/>
              </w:rPr>
              <w:t xml:space="preserve"> января 2017 года</w:t>
            </w:r>
          </w:p>
        </w:tc>
      </w:tr>
      <w:tr w:rsidR="00821479" w:rsidRPr="00FC70EE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FC70EE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FC70EE" w:rsidRDefault="00821479" w:rsidP="00E2775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C70EE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E27750" w:rsidRPr="00FC70EE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821479" w:rsidRPr="001254B2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FC70EE" w:rsidRDefault="00E27750" w:rsidP="00DC1BB8">
            <w:pPr>
              <w:pStyle w:val="Source"/>
              <w:rPr>
                <w:lang w:val="ru-RU"/>
              </w:rPr>
            </w:pPr>
            <w:r w:rsidRPr="00FC70EE">
              <w:rPr>
                <w:lang w:val="ru-RU"/>
              </w:rPr>
              <w:t>Региональное содружество в области связи</w:t>
            </w:r>
          </w:p>
        </w:tc>
      </w:tr>
      <w:tr w:rsidR="00821479" w:rsidRPr="001254B2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FC70EE" w:rsidRDefault="00E27750" w:rsidP="00DC1BB8">
            <w:pPr>
              <w:pStyle w:val="Title1"/>
              <w:rPr>
                <w:lang w:val="ru-RU"/>
              </w:rPr>
            </w:pPr>
            <w:r w:rsidRPr="00FC70EE">
              <w:rPr>
                <w:lang w:val="ru-RU"/>
              </w:rPr>
              <w:t>Об актуализации документов Генерального Секретариата по вопросам подготовки к Всемирной конференции по международной электросвязи 2012 года и подготовки новых документов по правовым и процедурным аспектам рассмотрения и пересмотра Регламента международной электросвязи, а также порядке присоединения к нему</w:t>
            </w:r>
          </w:p>
        </w:tc>
      </w:tr>
      <w:tr w:rsidR="00821479" w:rsidRPr="001254B2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FC70EE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E27750" w:rsidRPr="00FC70EE" w:rsidRDefault="00E27750" w:rsidP="00E27750">
      <w:pPr>
        <w:pStyle w:val="Headingb"/>
        <w:rPr>
          <w:lang w:val="ru-RU"/>
        </w:rPr>
      </w:pPr>
      <w:r w:rsidRPr="00FC70EE">
        <w:rPr>
          <w:lang w:val="ru-RU"/>
        </w:rPr>
        <w:t>Введение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>Регламент международной электросвязи (РМЭ) является одним из основных документов Союза – Административных регламентов, который регулирует использование электросвязи и обязателен для всех Государств-Членов (У/29 и У/31). РМЭ дополняет Устав и Конвенцию МСЭ в интересах достижения целей МСЭ в части содействия развития электросвязи, ее эффективного функционирования и развития.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 xml:space="preserve">Всемирная конференция по международной электросвязи (ВКМЭ) может частично или, в исключительных случаях, полностью пересмотреть РМЭ и может рассмотреть любой другой вопрос всемирного характера, входящий в ее компетенцию и относящийся к ее повестке дня (У/146). 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>Регламент международной электросвязи (РМЭ) 1988 года был принят Всемирной административной конференцией по телеграфии и телефонии, которая проходила в Мельбурне (Австралия) в 1988 году. На ней было предложено обновить ранее действовавший набор правил, регулирующих услуги по телеграфии и телефонии, который был разработан в 1973 году.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 xml:space="preserve">РМЭ 1988 года не пересматривался частично или полностью на протяжении 24 лет до 2012 года, в связи с чем, Государства-Члены инициировали процесс его пересмотра, который продолжался с 1998 года по 2012 год. В указанный период была проделана большая работа, изучено множество поступивших материалов, а также проведены правовые экспертизы последствий, связанных с пересмотром и принятием нового РМЭ. 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>По завершении этого процесса ВКМЭ 2012 года (Дубай, ОАЭ) пересмотрела РМЭ 1988 года. В этой связи РМЭ 1988 года утратит силу своего действия с 31 декабря 2017 года.</w:t>
      </w:r>
    </w:p>
    <w:p w:rsidR="00E27750" w:rsidRPr="00FC70EE" w:rsidRDefault="00E27750" w:rsidP="00E27750">
      <w:pPr>
        <w:pStyle w:val="Headingb"/>
        <w:rPr>
          <w:lang w:val="ru-RU"/>
        </w:rPr>
      </w:pPr>
      <w:r w:rsidRPr="00FC70EE">
        <w:rPr>
          <w:lang w:val="ru-RU"/>
        </w:rPr>
        <w:t>Обсуждение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>По мнению многих Государств-Членов, представляющих в основном развивающиеся страны</w:t>
      </w:r>
      <w:r w:rsidRPr="00FC70EE">
        <w:rPr>
          <w:rStyle w:val="FootnoteReference"/>
          <w:lang w:val="ru-RU"/>
        </w:rPr>
        <w:footnoteReference w:id="1"/>
      </w:r>
      <w:r w:rsidRPr="00FC70EE">
        <w:rPr>
          <w:lang w:val="ru-RU"/>
        </w:rPr>
        <w:t xml:space="preserve">, ВКМЭ 2012 года в силу объективных причин и в связи с тем, что РМЭ не пересматривался на протяжении 24 лет, не успела в достаточной степени обсудить и прийти к компромиссу по всем актуальным </w:t>
      </w:r>
      <w:r w:rsidRPr="00FC70EE">
        <w:rPr>
          <w:lang w:val="ru-RU"/>
        </w:rPr>
        <w:lastRenderedPageBreak/>
        <w:t xml:space="preserve">вопросам и учесть необходимые современные тенденции в электросвязи/ИКТ в новом РМЭ 2012 года. 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 xml:space="preserve">Учитывая высокую заинтересованность Государств-Членов, в особенности из развивающихся стран в актуализации РМЭ 2012 года ПК 2014 года (Пусан, Республика Корея), рассмотрев поступившие вклады Государств-Членов, а также итоги работы ВКМЭ-12, приняла Резолюцию 146 о периодическом рассмотрении и пересмотре РМЭ, в которой решила, что периодический пересмотр РМЭ должен проводиться, как правило, раз в восемь лет и процесс рассмотрения РМЭ 2012 года должен начаться в 2017 году. В соответствии с указанной Резолюцией Генеральному секретарю поручалось созвать Группу экспертов по Регламенту международной электросвязи (ГЭ-РМЭ), открытую для Государств-Членов и Членов Секторов МСЭ, с кругом ведения и методами работы, которые устанавливает Совет МСЭ, с целью рассмотрения РМЭ 2012 года. 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 xml:space="preserve">Совет МСЭ на своей сессии 2016 года принял Резолюцию 1379 в соответствии с которой, была создана ГЭ-РМЭ и определен ее мандат и методы работы. 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 xml:space="preserve">На указанную сессию Совета ряд Государств-Членов в рамках рассмотрения вопроса о пересмотре РМЭ 2012 года представили вклады, в которых отмечалась необходимость иметь информацию о правовых и иных аспектах, связанных с процессом пересмотра РМЭ, его статуса и последствий как для Союза, так и для Государств-Членов, Членов Секторов и потребителей услуг международной электросвязи во всем мире. Вместе с тем ряд Государств-Членов и представители Генерального секретариата отметили, что данные вопросы внимательно и всесторонне рассматривались в ходе всего продолжительного процесса рассмотрения и пересмотра РМЭ 1988 года в различных образованных группах в период с 1998 по 2012 годы. </w:t>
      </w:r>
    </w:p>
    <w:p w:rsidR="00E27750" w:rsidRPr="00FC70EE" w:rsidRDefault="00E27750" w:rsidP="00E27750">
      <w:pPr>
        <w:rPr>
          <w:lang w:val="ru-RU"/>
        </w:rPr>
      </w:pPr>
      <w:r w:rsidRPr="00FC70EE">
        <w:rPr>
          <w:lang w:val="ru-RU"/>
        </w:rPr>
        <w:t>В частности в отчетах этих групп, вкладах Государств-Членов и Членов Секторов, а также документах Генерального секретариата содержится информация по затрагиваемым вопросам.</w:t>
      </w:r>
    </w:p>
    <w:p w:rsidR="00E27750" w:rsidRPr="00FC70EE" w:rsidRDefault="00E27750" w:rsidP="00E27750">
      <w:pPr>
        <w:pStyle w:val="Headingb"/>
        <w:rPr>
          <w:lang w:val="ru-RU"/>
        </w:rPr>
      </w:pPr>
      <w:r w:rsidRPr="00FC70EE">
        <w:rPr>
          <w:lang w:val="ru-RU"/>
        </w:rPr>
        <w:t>Предложения</w:t>
      </w:r>
    </w:p>
    <w:p w:rsidR="00E27750" w:rsidRPr="00FC70EE" w:rsidRDefault="00E27750" w:rsidP="00FC70EE">
      <w:pPr>
        <w:rPr>
          <w:lang w:val="ru-RU"/>
        </w:rPr>
      </w:pPr>
      <w:r w:rsidRPr="00FC70EE">
        <w:rPr>
          <w:lang w:val="ru-RU"/>
        </w:rPr>
        <w:t xml:space="preserve">Учитывая изложенное, а также отмечая имеющееся в распоряжении большое количество материалов, подготовленных Генеральным секретариатом МСЭ в </w:t>
      </w:r>
      <w:r w:rsidR="00FC70EE">
        <w:rPr>
          <w:lang w:val="ru-RU"/>
        </w:rPr>
        <w:t>процессе подготовки к ВКМЭ 2012</w:t>
      </w:r>
      <w:r w:rsidR="00FC70EE">
        <w:rPr>
          <w:lang w:val="en-US"/>
        </w:rPr>
        <w:t> </w:t>
      </w:r>
      <w:r w:rsidRPr="00FC70EE">
        <w:rPr>
          <w:lang w:val="ru-RU"/>
        </w:rPr>
        <w:t>года, предлагается:</w:t>
      </w:r>
    </w:p>
    <w:p w:rsidR="00E27750" w:rsidRPr="00FC70EE" w:rsidRDefault="00E27750" w:rsidP="00E27750">
      <w:pPr>
        <w:pStyle w:val="enumlev1"/>
        <w:rPr>
          <w:lang w:val="ru-RU"/>
        </w:rPr>
      </w:pPr>
      <w:r w:rsidRPr="00FC70EE">
        <w:rPr>
          <w:lang w:val="ru-RU"/>
        </w:rPr>
        <w:t>1)</w:t>
      </w:r>
      <w:r w:rsidRPr="00FC70EE">
        <w:rPr>
          <w:lang w:val="ru-RU"/>
        </w:rPr>
        <w:tab/>
        <w:t>Обратиться к Генеральному секретариату с просьбой провести анализ всех, подготовленных им в период с 1998 по 2012 годы, документов, затрагивающих правовые и иные аспекты, связанные с РМЭ и его пересмотром;</w:t>
      </w:r>
    </w:p>
    <w:p w:rsidR="00E27750" w:rsidRPr="00FC70EE" w:rsidRDefault="00E27750" w:rsidP="00E27750">
      <w:pPr>
        <w:pStyle w:val="enumlev1"/>
        <w:rPr>
          <w:lang w:val="ru-RU"/>
        </w:rPr>
      </w:pPr>
      <w:r w:rsidRPr="00FC70EE">
        <w:rPr>
          <w:lang w:val="ru-RU"/>
        </w:rPr>
        <w:t>2)</w:t>
      </w:r>
      <w:r w:rsidRPr="00FC70EE">
        <w:rPr>
          <w:lang w:val="ru-RU"/>
        </w:rPr>
        <w:tab/>
        <w:t>Среди указанных в пункте 1 материалах в первую очередь провести мониторинг имеющихся нормативных правовых документов, справочной информации и аналитических данных, актуализировать их статус по состоянию на 2017 год и осуществить их анализ, в частности, включая, но не ограничиваясь, работой по следующим документам: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a)</w:t>
      </w:r>
      <w:r w:rsidRPr="00FC70EE">
        <w:rPr>
          <w:lang w:val="ru-RU"/>
        </w:rPr>
        <w:tab/>
      </w:r>
      <w:hyperlink r:id="rId8" w:tgtFrame="_blank" w:history="1">
        <w:r w:rsidRPr="00FC70EE">
          <w:rPr>
            <w:rStyle w:val="Hyperlink"/>
            <w:bCs/>
            <w:lang w:val="ru-RU"/>
          </w:rPr>
          <w:t>CWG-WCIT12/TD/4</w:t>
        </w:r>
      </w:hyperlink>
      <w:r w:rsidRPr="00FC70EE">
        <w:rPr>
          <w:bCs/>
          <w:lang w:val="ru-RU"/>
        </w:rPr>
        <w:t xml:space="preserve"> – Венская конвенция о праве международных договоров 1969 года. </w:t>
      </w:r>
      <w:r w:rsidRPr="00FC70EE">
        <w:rPr>
          <w:lang w:val="ru-RU"/>
        </w:rPr>
        <w:t>В документе приводится для информации текст Венской конвенции о праве международных договоров 1969 года. В Статье 26 и в последующих статьях рассматриваются вопросы соблюдения, применения и толкования договоров.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b)</w:t>
      </w:r>
      <w:r w:rsidRPr="00FC70EE">
        <w:rPr>
          <w:lang w:val="ru-RU"/>
        </w:rPr>
        <w:tab/>
      </w:r>
      <w:hyperlink r:id="rId9" w:tgtFrame="_blank" w:history="1">
        <w:r w:rsidRPr="00FC70EE">
          <w:rPr>
            <w:rStyle w:val="Hyperlink"/>
            <w:bCs/>
            <w:lang w:val="ru-RU"/>
          </w:rPr>
          <w:t>CWG-WCIT12/TD/5</w:t>
        </w:r>
      </w:hyperlink>
      <w:r w:rsidR="00FC70EE">
        <w:rPr>
          <w:bCs/>
          <w:lang w:val="ru-RU"/>
        </w:rPr>
        <w:t xml:space="preserve"> </w:t>
      </w:r>
      <w:r w:rsidR="00FC70EE" w:rsidRPr="001254B2">
        <w:rPr>
          <w:bCs/>
          <w:lang w:val="ru-RU"/>
        </w:rPr>
        <w:t>−</w:t>
      </w:r>
      <w:r w:rsidRPr="00FC70EE">
        <w:rPr>
          <w:bCs/>
          <w:lang w:val="ru-RU"/>
        </w:rPr>
        <w:t xml:space="preserve"> Справочная информация правового характера. </w:t>
      </w:r>
      <w:r w:rsidRPr="00FC70EE">
        <w:rPr>
          <w:lang w:val="ru-RU"/>
        </w:rPr>
        <w:t xml:space="preserve">Во время предыдущих дискуссий периодически возникал вопрос о том, "каковыми будут правовые последствия или формулировки этого договора?". Цель настоящего документа состоит в том, чтобы сформулировать некоторые соображения, которые необходимо учитывать при ответе на эти вопросы. 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c)</w:t>
      </w:r>
      <w:r w:rsidRPr="00FC70EE">
        <w:rPr>
          <w:lang w:val="ru-RU"/>
        </w:rPr>
        <w:tab/>
      </w:r>
      <w:hyperlink r:id="rId10" w:tgtFrame="_blank" w:history="1">
        <w:r w:rsidRPr="00FC70EE">
          <w:rPr>
            <w:rStyle w:val="Hyperlink"/>
            <w:bCs/>
            <w:lang w:val="ru-RU"/>
          </w:rPr>
          <w:t>CWG-WCIT12/TD/16</w:t>
        </w:r>
      </w:hyperlink>
      <w:r w:rsidRPr="00FC70EE">
        <w:rPr>
          <w:lang w:val="ru-RU"/>
        </w:rPr>
        <w:t xml:space="preserve"> </w:t>
      </w:r>
      <w:r w:rsidRPr="00FC70EE">
        <w:rPr>
          <w:bCs/>
          <w:lang w:val="ru-RU"/>
        </w:rPr>
        <w:t xml:space="preserve">– Односторонние акты международных организаций как выражение их нормативных полномочий. Пояснения, связанные с </w:t>
      </w:r>
      <w:r w:rsidRPr="00FC70EE">
        <w:rPr>
          <w:lang w:val="ru-RU"/>
        </w:rPr>
        <w:t xml:space="preserve">"нормативными" полномочиями международных организаций, в данном случае – МСЭ, и последствиями от принятия ими решений в случаях, когда международные организации непосредственно формируют положения международного права, имеющие обязательную силу для их Государств-Членов. 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d)</w:t>
      </w:r>
      <w:r w:rsidRPr="00FC70EE">
        <w:rPr>
          <w:lang w:val="ru-RU"/>
        </w:rPr>
        <w:tab/>
      </w:r>
      <w:hyperlink r:id="rId11" w:tgtFrame="_blank" w:history="1">
        <w:r w:rsidRPr="00FC70EE">
          <w:rPr>
            <w:rStyle w:val="Hyperlink"/>
            <w:bCs/>
            <w:lang w:val="ru-RU"/>
          </w:rPr>
          <w:t>TD/30 (PLEN/ITR-EG)</w:t>
        </w:r>
      </w:hyperlink>
      <w:r w:rsidRPr="00FC70EE">
        <w:rPr>
          <w:lang w:val="ru-RU"/>
        </w:rPr>
        <w:t> – Пища для размышлений по поводу согласия на обязательность РМЭ. Справка рассматривает вопрос принятия Государством-Членом обязанности по выполнению РМЭ в соответствии с Уставом и Конвенцией МСЭ.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e)</w:t>
      </w:r>
      <w:r w:rsidRPr="00FC70EE">
        <w:rPr>
          <w:lang w:val="ru-RU"/>
        </w:rPr>
        <w:tab/>
      </w:r>
      <w:hyperlink r:id="rId12" w:history="1">
        <w:r w:rsidRPr="00FC70EE">
          <w:rPr>
            <w:rStyle w:val="Hyperlink"/>
            <w:bCs/>
            <w:lang w:val="ru-RU"/>
          </w:rPr>
          <w:t>CWG-WCIT12/INF-1</w:t>
        </w:r>
      </w:hyperlink>
      <w:r w:rsidRPr="00FC70EE">
        <w:rPr>
          <w:bCs/>
          <w:lang w:val="ru-RU"/>
        </w:rPr>
        <w:t> – Документы предшествующие РМЭ 1988 года.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f)</w:t>
      </w:r>
      <w:r w:rsidRPr="00FC70EE">
        <w:rPr>
          <w:lang w:val="ru-RU"/>
        </w:rPr>
        <w:tab/>
      </w:r>
      <w:hyperlink r:id="rId13" w:history="1">
        <w:r w:rsidRPr="00FC70EE">
          <w:rPr>
            <w:rStyle w:val="Hyperlink"/>
            <w:bCs/>
            <w:lang w:val="ru-RU"/>
          </w:rPr>
          <w:t>CWG-WCIT12/INF-2</w:t>
        </w:r>
      </w:hyperlink>
      <w:r w:rsidRPr="00FC70EE">
        <w:rPr>
          <w:bCs/>
          <w:lang w:val="ru-RU"/>
        </w:rPr>
        <w:t> – Статус Инструкций в РМЭ 1988 года.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g)</w:t>
      </w:r>
      <w:r w:rsidRPr="00FC70EE">
        <w:rPr>
          <w:lang w:val="ru-RU"/>
        </w:rPr>
        <w:tab/>
      </w:r>
      <w:hyperlink r:id="rId14" w:history="1">
        <w:r w:rsidRPr="00FC70EE">
          <w:rPr>
            <w:rStyle w:val="Hyperlink"/>
            <w:lang w:val="ru-RU"/>
          </w:rPr>
          <w:t>CWG-WCIT12/INF-3</w:t>
        </w:r>
      </w:hyperlink>
      <w:r w:rsidRPr="00FC70EE">
        <w:rPr>
          <w:bCs/>
          <w:lang w:val="ru-RU"/>
        </w:rPr>
        <w:t> – </w:t>
      </w:r>
      <w:r w:rsidRPr="00FC70EE">
        <w:rPr>
          <w:lang w:val="ru-RU"/>
        </w:rPr>
        <w:t>Резюме семинара МСЭ по вопросам налогообложения услуг электросвязи и связанных с ними продуктов.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h)</w:t>
      </w:r>
      <w:r w:rsidRPr="00FC70EE">
        <w:rPr>
          <w:lang w:val="ru-RU"/>
        </w:rPr>
        <w:tab/>
      </w:r>
      <w:hyperlink r:id="rId15" w:history="1">
        <w:r w:rsidRPr="00FC70EE">
          <w:rPr>
            <w:rStyle w:val="Hyperlink"/>
            <w:lang w:val="ru-RU"/>
          </w:rPr>
          <w:t>CWG-WCIT12/INF-4(Rev.1)</w:t>
        </w:r>
      </w:hyperlink>
      <w:r w:rsidRPr="00FC70EE">
        <w:rPr>
          <w:lang w:val="ru-RU"/>
        </w:rPr>
        <w:t> – Рекомендация Е.156 МСЭ-Т. Вопросы связанные с ненадлежащим использованием ресурсов нумерации.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i)</w:t>
      </w:r>
      <w:r w:rsidRPr="00FC70EE">
        <w:rPr>
          <w:lang w:val="ru-RU"/>
        </w:rPr>
        <w:tab/>
      </w:r>
      <w:hyperlink r:id="rId16" w:history="1">
        <w:r w:rsidRPr="00FC70EE">
          <w:rPr>
            <w:rStyle w:val="Hyperlink"/>
            <w:lang w:val="ru-RU"/>
          </w:rPr>
          <w:t>CWG-WCIT12/INF-5</w:t>
        </w:r>
      </w:hyperlink>
      <w:r w:rsidRPr="00FC70EE">
        <w:rPr>
          <w:lang w:val="ru-RU"/>
        </w:rPr>
        <w:t> – Обзор положений, касающихся качества обслуживания.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j)</w:t>
      </w:r>
      <w:r w:rsidRPr="00FC70EE">
        <w:rPr>
          <w:lang w:val="ru-RU"/>
        </w:rPr>
        <w:tab/>
      </w:r>
      <w:hyperlink r:id="rId17" w:history="1">
        <w:r w:rsidRPr="00FC70EE">
          <w:rPr>
            <w:rStyle w:val="Hyperlink"/>
            <w:lang w:val="ru-RU"/>
          </w:rPr>
          <w:t>CWG-WCIT12/INF-6</w:t>
        </w:r>
      </w:hyperlink>
      <w:r w:rsidRPr="00FC70EE">
        <w:rPr>
          <w:bCs/>
          <w:lang w:val="ru-RU"/>
        </w:rPr>
        <w:t> – Обзор о конвергенции.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k)</w:t>
      </w:r>
      <w:r w:rsidRPr="00FC70EE">
        <w:rPr>
          <w:lang w:val="ru-RU"/>
        </w:rPr>
        <w:tab/>
      </w:r>
      <w:hyperlink r:id="rId18" w:history="1">
        <w:r w:rsidRPr="00FC70EE">
          <w:rPr>
            <w:rStyle w:val="Hyperlink"/>
            <w:lang w:val="ru-RU"/>
          </w:rPr>
          <w:t>CWG-WCIT12/INF-7</w:t>
        </w:r>
      </w:hyperlink>
      <w:r w:rsidRPr="00FC70EE">
        <w:rPr>
          <w:lang w:val="ru-RU"/>
        </w:rPr>
        <w:t> – Безопасность при использовании ИКТ.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l)</w:t>
      </w:r>
      <w:r w:rsidRPr="00FC70EE">
        <w:rPr>
          <w:lang w:val="ru-RU"/>
        </w:rPr>
        <w:tab/>
      </w:r>
      <w:hyperlink r:id="rId19" w:history="1">
        <w:r w:rsidRPr="00FC70EE">
          <w:rPr>
            <w:rStyle w:val="Hyperlink"/>
            <w:lang w:val="ru-RU"/>
          </w:rPr>
          <w:t>CWG-WCIT12/INF-8</w:t>
        </w:r>
      </w:hyperlink>
      <w:r w:rsidRPr="00FC70EE">
        <w:rPr>
          <w:bCs/>
          <w:lang w:val="ru-RU"/>
        </w:rPr>
        <w:t xml:space="preserve"> – Обзор </w:t>
      </w:r>
      <w:r w:rsidRPr="00FC70EE">
        <w:rPr>
          <w:lang w:val="ru-RU"/>
        </w:rPr>
        <w:t>правоприменения, в том числе статуса Рекомендаций МСЭ-Т.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m)</w:t>
      </w:r>
      <w:r w:rsidRPr="00FC70EE">
        <w:rPr>
          <w:lang w:val="ru-RU"/>
        </w:rPr>
        <w:tab/>
      </w:r>
      <w:hyperlink r:id="rId20" w:history="1">
        <w:r w:rsidRPr="00FC70EE">
          <w:rPr>
            <w:rStyle w:val="Hyperlink"/>
            <w:lang w:val="ru-RU"/>
          </w:rPr>
          <w:t>CWG-WCIT12/INF-9</w:t>
        </w:r>
      </w:hyperlink>
      <w:r w:rsidRPr="00FC70EE">
        <w:rPr>
          <w:lang w:val="ru-RU"/>
        </w:rPr>
        <w:t> – Международные соглашения. Информационные документ о РМЭ и других международных договорах.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n)</w:t>
      </w:r>
      <w:r w:rsidRPr="00FC70EE">
        <w:rPr>
          <w:lang w:val="ru-RU"/>
        </w:rPr>
        <w:tab/>
      </w:r>
      <w:hyperlink r:id="rId21" w:history="1">
        <w:r w:rsidRPr="00FC70EE">
          <w:rPr>
            <w:rStyle w:val="Hyperlink"/>
            <w:lang w:val="ru-RU"/>
          </w:rPr>
          <w:t>CWG-WCIT12/INF-10</w:t>
        </w:r>
      </w:hyperlink>
      <w:r w:rsidRPr="00FC70EE">
        <w:rPr>
          <w:bCs/>
          <w:lang w:val="ru-RU"/>
        </w:rPr>
        <w:t> – Права человека на доступ к электросвязи.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o)</w:t>
      </w:r>
      <w:r w:rsidRPr="00FC70EE">
        <w:rPr>
          <w:lang w:val="ru-RU"/>
        </w:rPr>
        <w:tab/>
      </w:r>
      <w:hyperlink r:id="rId22" w:history="1">
        <w:r w:rsidRPr="00FC70EE">
          <w:rPr>
            <w:rStyle w:val="Hyperlink"/>
            <w:lang w:val="ru-RU"/>
          </w:rPr>
          <w:t>CWG-WCIT12/INF-11(Rev.1)</w:t>
        </w:r>
      </w:hyperlink>
      <w:r w:rsidRPr="00FC70EE">
        <w:rPr>
          <w:bCs/>
          <w:lang w:val="ru-RU"/>
        </w:rPr>
        <w:t> – Защита национальной критической инфраструктуры.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p)</w:t>
      </w:r>
      <w:r w:rsidRPr="00FC70EE">
        <w:rPr>
          <w:lang w:val="ru-RU"/>
        </w:rPr>
        <w:tab/>
      </w:r>
      <w:hyperlink r:id="rId23" w:history="1">
        <w:r w:rsidRPr="00FC70EE">
          <w:rPr>
            <w:rStyle w:val="Hyperlink"/>
            <w:lang w:val="ru-RU"/>
          </w:rPr>
          <w:t>CWG-WCIT12/INF-12</w:t>
        </w:r>
      </w:hyperlink>
      <w:r w:rsidRPr="00FC70EE">
        <w:rPr>
          <w:bCs/>
          <w:lang w:val="ru-RU"/>
        </w:rPr>
        <w:t xml:space="preserve"> – </w:t>
      </w:r>
      <w:r w:rsidRPr="00FC70EE">
        <w:rPr>
          <w:lang w:val="ru-RU"/>
        </w:rPr>
        <w:t>Обзор работы МСЭ по вопросам тарификации и взаиморасчетов, в том числе за услуги международной электросвязи в роуминге, международные Интернет-соединения, а также вопросы налогообложения.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q)</w:t>
      </w:r>
      <w:r w:rsidRPr="00FC70EE">
        <w:rPr>
          <w:lang w:val="ru-RU"/>
        </w:rPr>
        <w:tab/>
      </w:r>
      <w:hyperlink r:id="rId24" w:history="1">
        <w:r w:rsidRPr="00FC70EE">
          <w:rPr>
            <w:rStyle w:val="Hyperlink"/>
            <w:lang w:val="ru-RU"/>
          </w:rPr>
          <w:t>CWG-WCIT12/INF-13</w:t>
        </w:r>
      </w:hyperlink>
      <w:r w:rsidRPr="00FC70EE">
        <w:rPr>
          <w:bCs/>
          <w:lang w:val="ru-RU"/>
        </w:rPr>
        <w:t> – Взаимодействие и совместимость.</w:t>
      </w:r>
    </w:p>
    <w:p w:rsidR="00E27750" w:rsidRPr="00FC70EE" w:rsidRDefault="00E27750" w:rsidP="00E27750">
      <w:pPr>
        <w:pStyle w:val="enumlev2"/>
        <w:rPr>
          <w:lang w:val="ru-RU"/>
        </w:rPr>
      </w:pPr>
      <w:r w:rsidRPr="00FC70EE">
        <w:rPr>
          <w:lang w:val="ru-RU"/>
        </w:rPr>
        <w:t>r)</w:t>
      </w:r>
      <w:r w:rsidRPr="00FC70EE">
        <w:rPr>
          <w:lang w:val="ru-RU"/>
        </w:rPr>
        <w:tab/>
      </w:r>
      <w:hyperlink r:id="rId25" w:history="1">
        <w:r w:rsidRPr="00FC70EE">
          <w:rPr>
            <w:rStyle w:val="Hyperlink"/>
            <w:lang w:val="ru-RU"/>
          </w:rPr>
          <w:t>CWG-WCIT12/INF-15</w:t>
        </w:r>
      </w:hyperlink>
      <w:r w:rsidRPr="00FC70EE">
        <w:rPr>
          <w:lang w:val="ru-RU"/>
        </w:rPr>
        <w:t> – Итоговый доклад МСЭ о происхождении идентификации и альтернативные процедуры вызова.</w:t>
      </w:r>
    </w:p>
    <w:p w:rsidR="00E27750" w:rsidRPr="00FC70EE" w:rsidRDefault="00E27750" w:rsidP="00E27750">
      <w:pPr>
        <w:pStyle w:val="enumlev1"/>
        <w:rPr>
          <w:lang w:val="ru-RU"/>
        </w:rPr>
      </w:pPr>
      <w:r w:rsidRPr="00FC70EE">
        <w:rPr>
          <w:lang w:val="ru-RU"/>
        </w:rPr>
        <w:t>3)</w:t>
      </w:r>
      <w:r w:rsidRPr="00FC70EE">
        <w:rPr>
          <w:lang w:val="ru-RU"/>
        </w:rPr>
        <w:tab/>
        <w:t>На основе проведенной работы, а также поступивших от Государств-Членов на ГЭ-РМЭ вкладов подготовить материал по вопросам правоприменительной практики при решении вопросов, связанных с присоединением Государств-Членов к РМЭ 2012 года.</w:t>
      </w:r>
    </w:p>
    <w:p w:rsidR="00E27750" w:rsidRPr="00FC70EE" w:rsidRDefault="00E27750" w:rsidP="00E27750">
      <w:pPr>
        <w:pStyle w:val="enumlev1"/>
        <w:rPr>
          <w:lang w:val="ru-RU"/>
        </w:rPr>
      </w:pPr>
      <w:r w:rsidRPr="00FC70EE">
        <w:rPr>
          <w:lang w:val="ru-RU"/>
        </w:rPr>
        <w:t>4)</w:t>
      </w:r>
      <w:r w:rsidRPr="00FC70EE">
        <w:rPr>
          <w:lang w:val="ru-RU"/>
        </w:rPr>
        <w:tab/>
        <w:t>Свести все полученные материалы, указанные в пунктах выше, в том числе и из вкладов Государств-Членов и Членов Секторов, поступивших на рассмотрение ГЭ-РМЭ в 2017−2018 годах, в единый документ, который может быть использован для подготовки Заключительного отчета ГЭ-РМЭ для Совета 2018 года.</w:t>
      </w:r>
    </w:p>
    <w:p w:rsidR="009B0766" w:rsidRPr="00FC70EE" w:rsidRDefault="00821479" w:rsidP="00821479">
      <w:pPr>
        <w:spacing w:before="480"/>
        <w:jc w:val="center"/>
        <w:rPr>
          <w:lang w:val="ru-RU"/>
        </w:rPr>
      </w:pPr>
      <w:r w:rsidRPr="00FC70EE">
        <w:rPr>
          <w:lang w:val="ru-RU"/>
        </w:rPr>
        <w:t>______________</w:t>
      </w:r>
    </w:p>
    <w:sectPr w:rsidR="009B0766" w:rsidRPr="00FC70EE" w:rsidSect="00821479">
      <w:headerReference w:type="default" r:id="rId26"/>
      <w:footerReference w:type="default" r:id="rId27"/>
      <w:footerReference w:type="first" r:id="rId28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FC70EE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FC70EE">
      <w:rPr>
        <w:lang w:val="fr-CH"/>
      </w:rPr>
      <w:t>P:\RUS\SG\CONSEIL\EG-ITR-1\000\007R.docx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FC70EE">
      <w:rPr>
        <w:lang w:val="fr-CH"/>
      </w:rPr>
      <w:t>411804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54B2">
      <w:t>03.02.17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70EE">
      <w:t>31.01.17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FC70EE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FC70EE">
      <w:rPr>
        <w:lang w:val="fr-CH"/>
      </w:rPr>
      <w:t>P:\RUS\SG\CONSEIL\EG-ITR-1\000\007R.docx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FC70EE">
      <w:rPr>
        <w:lang w:val="fr-CH"/>
      </w:rPr>
      <w:t>411804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54B2">
      <w:t>03.02.17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70EE">
      <w:t>31.01.17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  <w:footnote w:id="1">
    <w:p w:rsidR="00E27750" w:rsidRPr="00FC70EE" w:rsidRDefault="00E27750" w:rsidP="00E27750">
      <w:pPr>
        <w:pStyle w:val="FootnoteText"/>
        <w:rPr>
          <w:lang w:val="ru-RU"/>
        </w:rPr>
      </w:pPr>
      <w:r w:rsidRPr="00FC70EE">
        <w:rPr>
          <w:rStyle w:val="FootnoteReference"/>
          <w:lang w:val="ru-RU"/>
        </w:rPr>
        <w:footnoteRef/>
      </w:r>
      <w:r w:rsidRPr="00FC70EE">
        <w:rPr>
          <w:lang w:val="ru-RU"/>
        </w:rPr>
        <w:t xml:space="preserve"> </w:t>
      </w:r>
      <w:r w:rsidRPr="00FC70EE"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 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254B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50BE"/>
    <w:multiLevelType w:val="hybridMultilevel"/>
    <w:tmpl w:val="E7DA4196"/>
    <w:lvl w:ilvl="0" w:tplc="D45A1E1A">
      <w:start w:val="1"/>
      <w:numFmt w:val="decimal"/>
      <w:lvlText w:val="%1."/>
      <w:lvlJc w:val="left"/>
      <w:pPr>
        <w:ind w:left="8866" w:hanging="360"/>
      </w:pPr>
      <w:rPr>
        <w:rFonts w:cs="Times New Roman" w:hint="default"/>
      </w:rPr>
    </w:lvl>
    <w:lvl w:ilvl="1" w:tplc="784A4790">
      <w:start w:val="1"/>
      <w:numFmt w:val="lowerLetter"/>
      <w:lvlText w:val="%2)"/>
      <w:lvlJc w:val="left"/>
      <w:pPr>
        <w:ind w:left="2464" w:hanging="1035"/>
      </w:pPr>
      <w:rPr>
        <w:rFonts w:cs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C5373"/>
    <w:multiLevelType w:val="hybridMultilevel"/>
    <w:tmpl w:val="5D0AC25A"/>
    <w:lvl w:ilvl="0" w:tplc="9C749CBC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i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795F1116"/>
    <w:multiLevelType w:val="hybridMultilevel"/>
    <w:tmpl w:val="1D86DCB2"/>
    <w:lvl w:ilvl="0" w:tplc="A3AEF54C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0C53"/>
    <w:rsid w:val="000E568E"/>
    <w:rsid w:val="001254B2"/>
    <w:rsid w:val="0014734F"/>
    <w:rsid w:val="0015710D"/>
    <w:rsid w:val="00163A32"/>
    <w:rsid w:val="00192B41"/>
    <w:rsid w:val="001B7B09"/>
    <w:rsid w:val="001E6719"/>
    <w:rsid w:val="0020681C"/>
    <w:rsid w:val="00211AAD"/>
    <w:rsid w:val="00225368"/>
    <w:rsid w:val="00227FF0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11DA7"/>
    <w:rsid w:val="0045686C"/>
    <w:rsid w:val="004740B2"/>
    <w:rsid w:val="004918C4"/>
    <w:rsid w:val="004A45B5"/>
    <w:rsid w:val="004D0129"/>
    <w:rsid w:val="005A64D5"/>
    <w:rsid w:val="005F54EB"/>
    <w:rsid w:val="00601994"/>
    <w:rsid w:val="006077E5"/>
    <w:rsid w:val="00626678"/>
    <w:rsid w:val="0068458A"/>
    <w:rsid w:val="006E082D"/>
    <w:rsid w:val="006E2D42"/>
    <w:rsid w:val="006F13E8"/>
    <w:rsid w:val="00703676"/>
    <w:rsid w:val="00707304"/>
    <w:rsid w:val="00732269"/>
    <w:rsid w:val="00767211"/>
    <w:rsid w:val="00785ABD"/>
    <w:rsid w:val="00792EF4"/>
    <w:rsid w:val="007A2DD4"/>
    <w:rsid w:val="007D38B5"/>
    <w:rsid w:val="007E7EA0"/>
    <w:rsid w:val="00807255"/>
    <w:rsid w:val="0081023E"/>
    <w:rsid w:val="008173AA"/>
    <w:rsid w:val="00821479"/>
    <w:rsid w:val="00840173"/>
    <w:rsid w:val="00840A14"/>
    <w:rsid w:val="008D2D7B"/>
    <w:rsid w:val="008E0737"/>
    <w:rsid w:val="008F2220"/>
    <w:rsid w:val="008F7C2C"/>
    <w:rsid w:val="0090751B"/>
    <w:rsid w:val="00924053"/>
    <w:rsid w:val="00940E96"/>
    <w:rsid w:val="0097342A"/>
    <w:rsid w:val="009B0766"/>
    <w:rsid w:val="009B0BAE"/>
    <w:rsid w:val="009C1C89"/>
    <w:rsid w:val="009D7A25"/>
    <w:rsid w:val="009D7E9E"/>
    <w:rsid w:val="00A536CA"/>
    <w:rsid w:val="00A71773"/>
    <w:rsid w:val="00AE2C85"/>
    <w:rsid w:val="00AF56EE"/>
    <w:rsid w:val="00B12A37"/>
    <w:rsid w:val="00B63EF2"/>
    <w:rsid w:val="00BC0D39"/>
    <w:rsid w:val="00BC7BC0"/>
    <w:rsid w:val="00BD57B7"/>
    <w:rsid w:val="00BE63E2"/>
    <w:rsid w:val="00C61CEC"/>
    <w:rsid w:val="00CD2009"/>
    <w:rsid w:val="00CF629C"/>
    <w:rsid w:val="00D1411E"/>
    <w:rsid w:val="00D36D92"/>
    <w:rsid w:val="00D92EEA"/>
    <w:rsid w:val="00DA5D4E"/>
    <w:rsid w:val="00DC1BB8"/>
    <w:rsid w:val="00DE14AF"/>
    <w:rsid w:val="00E176BA"/>
    <w:rsid w:val="00E27750"/>
    <w:rsid w:val="00E423EC"/>
    <w:rsid w:val="00E908DF"/>
    <w:rsid w:val="00EC6BC5"/>
    <w:rsid w:val="00F20BE1"/>
    <w:rsid w:val="00F32EA6"/>
    <w:rsid w:val="00F35898"/>
    <w:rsid w:val="00F5225B"/>
    <w:rsid w:val="00F5742C"/>
    <w:rsid w:val="00FC70EE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T09-CWG.WCIT12-100125-TD-PLEN-0004/en" TargetMode="External"/><Relationship Id="rId13" Type="http://schemas.openxmlformats.org/officeDocument/2006/relationships/hyperlink" Target="http://www.itu.int/md/T09-CWG.WCIT12-INF-0002/en" TargetMode="External"/><Relationship Id="rId18" Type="http://schemas.openxmlformats.org/officeDocument/2006/relationships/hyperlink" Target="http://www.itu.int/md/T09-CWG.WCIT12-INF-0007/e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itu.int/md/T09-CWG.WCIT12-INF-0010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itu.int/md/T09-CWG.WCIT12-INF-0001/en" TargetMode="External"/><Relationship Id="rId17" Type="http://schemas.openxmlformats.org/officeDocument/2006/relationships/hyperlink" Target="http://www.itu.int/md/T09-CWG.WCIT12-INF-0006/en" TargetMode="External"/><Relationship Id="rId25" Type="http://schemas.openxmlformats.org/officeDocument/2006/relationships/hyperlink" Target="http://www.itu.int/md/T09-CWG.WCIT12-INF-0015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T09-CWG.WCIT12-INF-0005/en" TargetMode="External"/><Relationship Id="rId20" Type="http://schemas.openxmlformats.org/officeDocument/2006/relationships/hyperlink" Target="http://www.itu.int/md/T09-CWG.WCIT12-INF-0009/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T09-ITR.EG-090602-TD-PLEN-0030/en" TargetMode="External"/><Relationship Id="rId24" Type="http://schemas.openxmlformats.org/officeDocument/2006/relationships/hyperlink" Target="http://www.itu.int/md/T09-CWG.WCIT12-INF-001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T09-CWG.WCIT12-INF-0004/en" TargetMode="External"/><Relationship Id="rId23" Type="http://schemas.openxmlformats.org/officeDocument/2006/relationships/hyperlink" Target="http://www.itu.int/md/T09-CWG.WCIT12-INF-0012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md/T09-CWG.WCIT12-100412-TD-PLEN-0016/en" TargetMode="External"/><Relationship Id="rId19" Type="http://schemas.openxmlformats.org/officeDocument/2006/relationships/hyperlink" Target="http://www.itu.int/md/T09-CWG.WCIT12-INF-000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T09-CWG.WCIT12-100125-TD-PLEN-0005/en" TargetMode="External"/><Relationship Id="rId14" Type="http://schemas.openxmlformats.org/officeDocument/2006/relationships/hyperlink" Target="http://www.itu.int/md/T09-CWG.WCIT12-INF-0003/en" TargetMode="External"/><Relationship Id="rId22" Type="http://schemas.openxmlformats.org/officeDocument/2006/relationships/hyperlink" Target="http://www.itu.int/md/T09-CWG.WCIT12-INF-0011/e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</TotalTime>
  <Pages>3</Pages>
  <Words>1033</Words>
  <Characters>8266</Characters>
  <Application>Microsoft Office Word</Application>
  <DocSecurity>4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9281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2017-01-31T10:04:00Z</cp:lastPrinted>
  <dcterms:created xsi:type="dcterms:W3CDTF">2017-02-03T10:24:00Z</dcterms:created>
  <dcterms:modified xsi:type="dcterms:W3CDTF">2017-02-03T10:24:00Z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