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6F3D57" w:rsidRPr="0005571D">
        <w:trPr>
          <w:cantSplit/>
        </w:trPr>
        <w:tc>
          <w:tcPr>
            <w:tcW w:w="6912" w:type="dxa"/>
          </w:tcPr>
          <w:p w:rsidR="006F3D57" w:rsidRPr="0005571D" w:rsidRDefault="006F3D57" w:rsidP="006F3D57">
            <w:pPr>
              <w:spacing w:before="360"/>
              <w:rPr>
                <w:sz w:val="30"/>
                <w:szCs w:val="30"/>
              </w:rPr>
            </w:pPr>
            <w:r w:rsidRPr="0005571D">
              <w:rPr>
                <w:b/>
                <w:bCs/>
                <w:sz w:val="30"/>
                <w:szCs w:val="30"/>
              </w:rPr>
              <w:t>G</w:t>
            </w:r>
            <w:r w:rsidR="00A16166" w:rsidRPr="0005571D">
              <w:rPr>
                <w:b/>
                <w:bCs/>
                <w:sz w:val="30"/>
                <w:szCs w:val="30"/>
              </w:rPr>
              <w:t xml:space="preserve">roupe d'experts sur le </w:t>
            </w:r>
            <w:r w:rsidR="00067113" w:rsidRPr="0005571D">
              <w:rPr>
                <w:b/>
                <w:bCs/>
                <w:sz w:val="30"/>
                <w:szCs w:val="30"/>
              </w:rPr>
              <w:t>R</w:t>
            </w:r>
            <w:r w:rsidR="00A16166" w:rsidRPr="0005571D">
              <w:rPr>
                <w:b/>
                <w:bCs/>
                <w:sz w:val="30"/>
                <w:szCs w:val="30"/>
              </w:rPr>
              <w:t>èglement des télécommunications internationales (EG-RTI)</w:t>
            </w:r>
            <w:r w:rsidRPr="0005571D">
              <w:rPr>
                <w:b/>
                <w:bCs/>
                <w:sz w:val="30"/>
                <w:szCs w:val="30"/>
              </w:rPr>
              <w:br/>
            </w:r>
          </w:p>
        </w:tc>
        <w:tc>
          <w:tcPr>
            <w:tcW w:w="3261" w:type="dxa"/>
          </w:tcPr>
          <w:p w:rsidR="006F3D57" w:rsidRPr="0005571D" w:rsidRDefault="006F3D57" w:rsidP="006F3D57">
            <w:pPr>
              <w:spacing w:before="0"/>
              <w:jc w:val="right"/>
            </w:pPr>
            <w:bookmarkStart w:id="0" w:name="ditulogo"/>
            <w:bookmarkEnd w:id="0"/>
            <w:r w:rsidRPr="0005571D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D57" w:rsidRPr="0005571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6F3D57" w:rsidRPr="0005571D" w:rsidRDefault="006F3D57" w:rsidP="00996DED">
            <w:pPr>
              <w:spacing w:before="0"/>
              <w:rPr>
                <w:b/>
                <w:bCs/>
                <w:sz w:val="26"/>
                <w:szCs w:val="26"/>
              </w:rPr>
            </w:pPr>
            <w:r w:rsidRPr="0005571D">
              <w:rPr>
                <w:b/>
                <w:bCs/>
                <w:sz w:val="26"/>
                <w:szCs w:val="26"/>
              </w:rPr>
              <w:t>Première réunion –</w:t>
            </w:r>
            <w:r w:rsidR="00A16166" w:rsidRPr="0005571D">
              <w:rPr>
                <w:b/>
                <w:bCs/>
                <w:sz w:val="26"/>
                <w:szCs w:val="26"/>
              </w:rPr>
              <w:t xml:space="preserve"> </w:t>
            </w:r>
            <w:r w:rsidRPr="0005571D">
              <w:rPr>
                <w:b/>
                <w:bCs/>
                <w:szCs w:val="24"/>
              </w:rPr>
              <w:t>Genève, 9</w:t>
            </w:r>
            <w:r w:rsidR="00996DED">
              <w:rPr>
                <w:b/>
                <w:bCs/>
                <w:szCs w:val="24"/>
              </w:rPr>
              <w:t>-10</w:t>
            </w:r>
            <w:r w:rsidRPr="0005571D">
              <w:rPr>
                <w:b/>
                <w:bCs/>
                <w:szCs w:val="24"/>
              </w:rPr>
              <w:t xml:space="preserve"> février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b/>
                <w:bCs/>
              </w:rPr>
            </w:pPr>
          </w:p>
        </w:tc>
      </w:tr>
      <w:tr w:rsidR="006F3D57" w:rsidRPr="0005571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6F3D57" w:rsidRPr="0005571D" w:rsidRDefault="006F3D57" w:rsidP="00DF74DD">
            <w:pPr>
              <w:spacing w:before="0"/>
              <w:rPr>
                <w:b/>
                <w:bCs/>
              </w:rPr>
            </w:pPr>
          </w:p>
        </w:tc>
      </w:tr>
      <w:tr w:rsidR="006F3D57" w:rsidRPr="0005571D">
        <w:trPr>
          <w:cantSplit/>
          <w:trHeight w:val="20"/>
        </w:trPr>
        <w:tc>
          <w:tcPr>
            <w:tcW w:w="6912" w:type="dxa"/>
            <w:vMerge w:val="restart"/>
          </w:tcPr>
          <w:p w:rsidR="006F3D57" w:rsidRPr="0005571D" w:rsidRDefault="006F3D57" w:rsidP="00DF74DD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1" w:name="dnum" w:colFirst="1" w:colLast="1"/>
            <w:bookmarkStart w:id="2" w:name="dmeeting" w:colFirst="0" w:colLast="0"/>
          </w:p>
        </w:tc>
        <w:tc>
          <w:tcPr>
            <w:tcW w:w="3261" w:type="dxa"/>
          </w:tcPr>
          <w:p w:rsidR="006F3D57" w:rsidRPr="0005571D" w:rsidRDefault="006F3D57" w:rsidP="00731997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>Document</w:t>
            </w:r>
            <w:r w:rsidR="00CE0E7F" w:rsidRPr="0005571D">
              <w:rPr>
                <w:rFonts w:eastAsia="Calibri" w:cs="Calibri"/>
                <w:b/>
                <w:color w:val="000000"/>
                <w:szCs w:val="24"/>
              </w:rPr>
              <w:t xml:space="preserve"> EG-</w:t>
            </w:r>
            <w:proofErr w:type="spellStart"/>
            <w:r w:rsidR="00CE0E7F" w:rsidRPr="0005571D">
              <w:rPr>
                <w:rFonts w:eastAsia="Calibri" w:cs="Calibri"/>
                <w:b/>
                <w:color w:val="000000"/>
                <w:szCs w:val="24"/>
              </w:rPr>
              <w:t>ITRs</w:t>
            </w:r>
            <w:proofErr w:type="spellEnd"/>
            <w:r w:rsidR="00CE0E7F" w:rsidRPr="0005571D">
              <w:rPr>
                <w:rFonts w:eastAsia="Calibri" w:cs="Calibri"/>
                <w:b/>
                <w:color w:val="000000"/>
                <w:szCs w:val="24"/>
              </w:rPr>
              <w:t xml:space="preserve"> 1/</w:t>
            </w:r>
            <w:r w:rsidR="00731997">
              <w:rPr>
                <w:rFonts w:eastAsia="Calibri" w:cs="Calibri"/>
                <w:b/>
                <w:color w:val="000000"/>
                <w:szCs w:val="24"/>
              </w:rPr>
              <w:t>7</w:t>
            </w:r>
            <w:r w:rsidRPr="0005571D">
              <w:rPr>
                <w:b/>
                <w:bCs/>
              </w:rPr>
              <w:t>-F</w:t>
            </w:r>
          </w:p>
        </w:tc>
      </w:tr>
      <w:tr w:rsidR="006F3D57" w:rsidRPr="0005571D">
        <w:trPr>
          <w:cantSplit/>
          <w:trHeight w:val="20"/>
        </w:trPr>
        <w:tc>
          <w:tcPr>
            <w:tcW w:w="6912" w:type="dxa"/>
            <w:vMerge/>
          </w:tcPr>
          <w:p w:rsidR="006F3D57" w:rsidRPr="0005571D" w:rsidRDefault="006F3D57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261" w:type="dxa"/>
          </w:tcPr>
          <w:p w:rsidR="006F3D57" w:rsidRPr="0005571D" w:rsidRDefault="00C810F9" w:rsidP="006F3D5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F3D57" w:rsidRPr="0005571D">
              <w:rPr>
                <w:b/>
                <w:bCs/>
              </w:rPr>
              <w:t xml:space="preserve"> janvier 2017</w:t>
            </w:r>
          </w:p>
        </w:tc>
      </w:tr>
      <w:tr w:rsidR="006F3D57" w:rsidRPr="0005571D">
        <w:trPr>
          <w:cantSplit/>
          <w:trHeight w:val="20"/>
        </w:trPr>
        <w:tc>
          <w:tcPr>
            <w:tcW w:w="6912" w:type="dxa"/>
            <w:vMerge/>
          </w:tcPr>
          <w:p w:rsidR="006F3D57" w:rsidRPr="0005571D" w:rsidRDefault="006F3D57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6F3D57" w:rsidRPr="0005571D" w:rsidRDefault="006F3D57" w:rsidP="00C810F9">
            <w:pPr>
              <w:spacing w:before="0"/>
              <w:rPr>
                <w:b/>
                <w:bCs/>
              </w:rPr>
            </w:pPr>
            <w:r w:rsidRPr="0005571D">
              <w:rPr>
                <w:b/>
                <w:bCs/>
              </w:rPr>
              <w:t xml:space="preserve">Original: </w:t>
            </w:r>
            <w:r w:rsidR="00C810F9">
              <w:rPr>
                <w:b/>
                <w:bCs/>
              </w:rPr>
              <w:t>russ</w:t>
            </w:r>
            <w:r w:rsidR="00CE0E7F" w:rsidRPr="0005571D">
              <w:rPr>
                <w:b/>
                <w:bCs/>
              </w:rPr>
              <w:t>e</w:t>
            </w:r>
          </w:p>
        </w:tc>
      </w:tr>
      <w:tr w:rsidR="006F3D57" w:rsidRPr="0005571D">
        <w:trPr>
          <w:cantSplit/>
        </w:trPr>
        <w:tc>
          <w:tcPr>
            <w:tcW w:w="10173" w:type="dxa"/>
            <w:gridSpan w:val="2"/>
          </w:tcPr>
          <w:p w:rsidR="006F3D57" w:rsidRPr="0005571D" w:rsidRDefault="006F3D57" w:rsidP="00C810F9">
            <w:pPr>
              <w:pStyle w:val="Source"/>
            </w:pPr>
            <w:bookmarkStart w:id="5" w:name="dsource" w:colFirst="0" w:colLast="0"/>
            <w:bookmarkEnd w:id="4"/>
            <w:r w:rsidRPr="0005571D">
              <w:rPr>
                <w:bCs/>
                <w:szCs w:val="28"/>
              </w:rPr>
              <w:t xml:space="preserve">Contribution de la </w:t>
            </w:r>
            <w:r w:rsidR="00C810F9" w:rsidRPr="00233A23">
              <w:rPr>
                <w:rFonts w:asciiTheme="minorHAnsi" w:hAnsiTheme="minorHAnsi"/>
                <w:sz w:val="26"/>
                <w:szCs w:val="26"/>
                <w:lang w:val="fr-CH"/>
              </w:rPr>
              <w:t>Communauté régionale des communications (RCC)</w:t>
            </w:r>
          </w:p>
        </w:tc>
      </w:tr>
      <w:tr w:rsidR="006F3D57" w:rsidRPr="0005571D">
        <w:trPr>
          <w:cantSplit/>
        </w:trPr>
        <w:tc>
          <w:tcPr>
            <w:tcW w:w="10173" w:type="dxa"/>
            <w:gridSpan w:val="2"/>
          </w:tcPr>
          <w:p w:rsidR="006F3D57" w:rsidRPr="00731997" w:rsidRDefault="00731997" w:rsidP="008740D5">
            <w:pPr>
              <w:pStyle w:val="Title1"/>
            </w:pPr>
            <w:bookmarkStart w:id="6" w:name="dtitle1" w:colFirst="0" w:colLast="0"/>
            <w:bookmarkEnd w:id="5"/>
            <w:r w:rsidRPr="00731997">
              <w:t>Mise à jour des documents du Secrétariat général relatif</w:t>
            </w:r>
            <w:r w:rsidR="008740D5">
              <w:t>s</w:t>
            </w:r>
            <w:r w:rsidRPr="00731997">
              <w:t xml:space="preserve"> à la préparation de la Conférence mondiale des télécommunications internationales de 2012 et élaboration de nouveaux documents </w:t>
            </w:r>
            <w:r w:rsidR="008740D5">
              <w:br/>
            </w:r>
            <w:r w:rsidRPr="00731997">
              <w:t>sur les asp</w:t>
            </w:r>
            <w:r w:rsidR="008740D5">
              <w:t>ects juridiques et de procédure</w:t>
            </w:r>
            <w:r w:rsidRPr="00731997">
              <w:t xml:space="preserve"> de l'examen et de la </w:t>
            </w:r>
            <w:r w:rsidR="008740D5">
              <w:br/>
            </w:r>
            <w:r w:rsidRPr="00731997">
              <w:t xml:space="preserve">révision du Règlement des télécommunications internationales </w:t>
            </w:r>
            <w:r w:rsidR="008740D5">
              <w:br/>
            </w:r>
            <w:r w:rsidRPr="00731997">
              <w:t>(RTI)</w:t>
            </w:r>
            <w:r w:rsidR="008740D5">
              <w:t>,</w:t>
            </w:r>
            <w:r w:rsidRPr="00731997">
              <w:t xml:space="preserve"> </w:t>
            </w:r>
            <w:r w:rsidR="008740D5">
              <w:t>ET</w:t>
            </w:r>
            <w:r w:rsidRPr="00731997">
              <w:t xml:space="preserve"> procédures d'adhésion à ce Règlement</w:t>
            </w:r>
          </w:p>
        </w:tc>
      </w:tr>
    </w:tbl>
    <w:bookmarkEnd w:id="6"/>
    <w:p w:rsidR="006F3D57" w:rsidRPr="00C810F9" w:rsidRDefault="00C810F9" w:rsidP="00C810F9">
      <w:pPr>
        <w:pStyle w:val="Headingb"/>
        <w:spacing w:before="240"/>
      </w:pPr>
      <w:r w:rsidRPr="00C810F9">
        <w:t>Introduction</w:t>
      </w:r>
    </w:p>
    <w:p w:rsidR="00731997" w:rsidRPr="00D94983" w:rsidRDefault="00731997" w:rsidP="008740D5">
      <w:r w:rsidRPr="00A33B44">
        <w:rPr>
          <w:szCs w:val="24"/>
        </w:rPr>
        <w:t xml:space="preserve">Le </w:t>
      </w:r>
      <w:hyperlink r:id="rId7" w:history="1">
        <w:r w:rsidRPr="00731997">
          <w:t>Règlement des télécommunications internationales (RTI)</w:t>
        </w:r>
      </w:hyperlink>
      <w:r w:rsidRPr="00731997">
        <w:t xml:space="preserve"> </w:t>
      </w:r>
      <w:r>
        <w:t xml:space="preserve">est l'un des instruments de l'Union, </w:t>
      </w:r>
      <w:r w:rsidR="00B42C0A">
        <w:t xml:space="preserve">qui </w:t>
      </w:r>
      <w:r>
        <w:t xml:space="preserve">fait partie des règlements administratifs qui réglementent l'utilisation des </w:t>
      </w:r>
      <w:r>
        <w:rPr>
          <w:lang w:val="fr-CH"/>
        </w:rPr>
        <w:t xml:space="preserve">télécommunications et lient tous les </w:t>
      </w:r>
      <w:proofErr w:type="spellStart"/>
      <w:r w:rsidRPr="00D94983">
        <w:t>Etats</w:t>
      </w:r>
      <w:proofErr w:type="spellEnd"/>
      <w:r w:rsidRPr="00D94983">
        <w:t xml:space="preserve"> Membres</w:t>
      </w:r>
      <w:r>
        <w:t xml:space="preserve"> (numéros 29 et 31 de la </w:t>
      </w:r>
      <w:r>
        <w:rPr>
          <w:szCs w:val="24"/>
        </w:rPr>
        <w:t>Constitution</w:t>
      </w:r>
      <w:r>
        <w:t>). Le RTI complète la Constitution et la Convention, dans le but d'atteindre les objectifs de l'Union en favorisant le développement des télécommunications et leur exploitation la plus efficace.</w:t>
      </w:r>
    </w:p>
    <w:p w:rsidR="00731997" w:rsidRDefault="00731997" w:rsidP="00731997">
      <w:r w:rsidRPr="00D94983">
        <w:t xml:space="preserve">Une </w:t>
      </w:r>
      <w:r>
        <w:t>c</w:t>
      </w:r>
      <w:r w:rsidRPr="00D94983">
        <w:t>onférence mondiale des télécommunications internationales (CMTI) peut procéder à une révision partielle, ou exceptionnellement totale, du R</w:t>
      </w:r>
      <w:r>
        <w:t>TI</w:t>
      </w:r>
      <w:r w:rsidRPr="00D94983">
        <w:t xml:space="preserve"> et traiter de tout</w:t>
      </w:r>
      <w:r>
        <w:t>e</w:t>
      </w:r>
      <w:r w:rsidRPr="00D94983">
        <w:t xml:space="preserve"> autre question </w:t>
      </w:r>
      <w:r>
        <w:t>de caractère mondial relevant de sa compétence ou se rapportant à son ordre du jour</w:t>
      </w:r>
      <w:r w:rsidRPr="00D94983">
        <w:t xml:space="preserve"> (</w:t>
      </w:r>
      <w:r>
        <w:t>numéro </w:t>
      </w:r>
      <w:r w:rsidRPr="00D94983">
        <w:t>146</w:t>
      </w:r>
      <w:r>
        <w:t xml:space="preserve"> de la Constitution</w:t>
      </w:r>
      <w:r w:rsidRPr="00D94983">
        <w:t>).</w:t>
      </w:r>
    </w:p>
    <w:p w:rsidR="00C810F9" w:rsidRDefault="00731997" w:rsidP="008740D5">
      <w:pPr>
        <w:rPr>
          <w:lang w:val="fr-CH"/>
        </w:rPr>
      </w:pPr>
      <w:r>
        <w:t>L</w:t>
      </w:r>
      <w:r w:rsidR="008740D5">
        <w:t>'actuelle</w:t>
      </w:r>
      <w:r>
        <w:t xml:space="preserve"> version (1988) du Règlement des télécommunications internationales a été adoptée par la Conférence administrative mondiale télégraphique et téléphonique qui </w:t>
      </w:r>
      <w:r w:rsidR="008740D5">
        <w:t>s'est tenue</w:t>
      </w:r>
      <w:r>
        <w:t xml:space="preserve"> à Melbourne (Australie) en 1988. Son objectif était de mettre à jour </w:t>
      </w:r>
      <w:r w:rsidRPr="0061580D">
        <w:t>les dispositions réglementaires régissant les services télégraphique et téléphonique qui avaient été élaborées en 1973.</w:t>
      </w:r>
    </w:p>
    <w:p w:rsidR="00731997" w:rsidRDefault="00731997" w:rsidP="008740D5">
      <w:r>
        <w:t xml:space="preserve">Pendant 24 ans, soit jusqu'en 2012, le RTI n'a fait l'objet d'aucune révision partielle ou totale. Les </w:t>
      </w:r>
      <w:proofErr w:type="spellStart"/>
      <w:r w:rsidR="008740D5">
        <w:t>E</w:t>
      </w:r>
      <w:r>
        <w:t>tats</w:t>
      </w:r>
      <w:proofErr w:type="spellEnd"/>
      <w:r>
        <w:t xml:space="preserve"> Membres ont lancé un processus de révision</w:t>
      </w:r>
      <w:r w:rsidR="008740D5">
        <w:t>,</w:t>
      </w:r>
      <w:r>
        <w:t xml:space="preserve"> qui </w:t>
      </w:r>
      <w:r w:rsidR="008740D5">
        <w:t>a duré</w:t>
      </w:r>
      <w:r>
        <w:t xml:space="preserve"> de 1998 à 2012. Pendant cette période, un travail considérable a été accompli, de nombreux documents ont été soumis et étudiés et des examens juridiques ont été menés pour </w:t>
      </w:r>
      <w:r w:rsidR="008740D5">
        <w:t>évalu</w:t>
      </w:r>
      <w:r>
        <w:t>er les conséquences de la révision du RTI et de l'adoption d'un nouveau Règlement.</w:t>
      </w:r>
    </w:p>
    <w:p w:rsidR="00731997" w:rsidRDefault="00742183" w:rsidP="008740D5">
      <w:r>
        <w:t>A</w:t>
      </w:r>
      <w:r w:rsidR="00731997">
        <w:t xml:space="preserve"> l'issue de ce processus, la CMTI-12 (Dubaï, </w:t>
      </w:r>
      <w:proofErr w:type="spellStart"/>
      <w:r>
        <w:t>E</w:t>
      </w:r>
      <w:r w:rsidR="00731997">
        <w:t>mirats</w:t>
      </w:r>
      <w:proofErr w:type="spellEnd"/>
      <w:r w:rsidR="00731997">
        <w:t xml:space="preserve"> arabes unis) </w:t>
      </w:r>
      <w:r w:rsidR="008740D5">
        <w:t>a</w:t>
      </w:r>
      <w:r w:rsidR="00731997">
        <w:t xml:space="preserve"> révis</w:t>
      </w:r>
      <w:r w:rsidR="008740D5">
        <w:t>é</w:t>
      </w:r>
      <w:r w:rsidR="00731997">
        <w:t xml:space="preserve"> le RTI de 1988, qui cessera ainsi d'être en vigueur à compter du 31 décembre 2017.</w:t>
      </w:r>
    </w:p>
    <w:p w:rsidR="00731997" w:rsidRPr="0005571D" w:rsidRDefault="00731997" w:rsidP="00731997">
      <w:pPr>
        <w:pStyle w:val="Headingb"/>
      </w:pPr>
      <w:r>
        <w:lastRenderedPageBreak/>
        <w:t>Discuss</w:t>
      </w:r>
      <w:r w:rsidRPr="0005571D">
        <w:t>ion</w:t>
      </w:r>
    </w:p>
    <w:p w:rsidR="00731997" w:rsidRDefault="00731997" w:rsidP="008740D5">
      <w:pPr>
        <w:rPr>
          <w:lang w:val="fr-CH"/>
        </w:rPr>
      </w:pPr>
      <w:r>
        <w:rPr>
          <w:lang w:val="fr-CH"/>
        </w:rPr>
        <w:t xml:space="preserve">De l'avis de nombreux </w:t>
      </w:r>
      <w:proofErr w:type="spellStart"/>
      <w:r w:rsidR="0018693B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Membres, pour la plupart des pays en développement</w:t>
      </w:r>
      <w:r>
        <w:rPr>
          <w:rStyle w:val="FootnoteReference"/>
          <w:lang w:val="fr-CH"/>
        </w:rPr>
        <w:footnoteReference w:id="1"/>
      </w:r>
      <w:r w:rsidR="008740D5">
        <w:rPr>
          <w:lang w:val="fr-CH"/>
        </w:rPr>
        <w:t xml:space="preserve">, </w:t>
      </w:r>
      <w:r>
        <w:rPr>
          <w:lang w:val="fr-CH"/>
        </w:rPr>
        <w:t>la CMTI-12, pour des raisons objectives et du fait que le RTI n'avait pas été révisé depuis 24 ans, n'a pas été en mesure de tenir des discussions suffisamment approfondies</w:t>
      </w:r>
      <w:r w:rsidR="008740D5">
        <w:rPr>
          <w:lang w:val="fr-CH"/>
        </w:rPr>
        <w:t xml:space="preserve"> et</w:t>
      </w:r>
      <w:r>
        <w:rPr>
          <w:lang w:val="fr-CH"/>
        </w:rPr>
        <w:t xml:space="preserve"> de trouver un compromis sur toutes les questions </w:t>
      </w:r>
      <w:r w:rsidR="008740D5">
        <w:rPr>
          <w:lang w:val="fr-CH"/>
        </w:rPr>
        <w:t>qui se posent, ni</w:t>
      </w:r>
      <w:r>
        <w:rPr>
          <w:lang w:val="fr-CH"/>
        </w:rPr>
        <w:t xml:space="preserve"> de tenir compte, dans le nouveau RTI de 2012, des principales tendances que l'on observe actuellement dans le domaine des télécommunications/TIC.</w:t>
      </w:r>
    </w:p>
    <w:p w:rsidR="00731997" w:rsidRDefault="00731997" w:rsidP="003C438E">
      <w:pPr>
        <w:rPr>
          <w:lang w:val="fr-CH"/>
        </w:rPr>
      </w:pPr>
      <w:proofErr w:type="spellStart"/>
      <w:r>
        <w:rPr>
          <w:lang w:val="fr-CH"/>
        </w:rPr>
        <w:t>Etant</w:t>
      </w:r>
      <w:proofErr w:type="spellEnd"/>
      <w:r>
        <w:rPr>
          <w:lang w:val="fr-CH"/>
        </w:rPr>
        <w:t xml:space="preserve"> donné le très grand intérêt manifesté par les </w:t>
      </w:r>
      <w:proofErr w:type="spellStart"/>
      <w:r w:rsidR="0018693B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Membres, en particulier par les pays en développement, en ce qui concerne la mise à jour du RTI de 2012, et compte tenu des contributions soumises par les </w:t>
      </w:r>
      <w:proofErr w:type="spellStart"/>
      <w:r w:rsidR="0018693B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 </w:t>
      </w:r>
      <w:r w:rsidR="008740D5">
        <w:rPr>
          <w:lang w:val="fr-CH"/>
        </w:rPr>
        <w:t>ainsi que</w:t>
      </w:r>
      <w:r>
        <w:rPr>
          <w:lang w:val="fr-CH"/>
        </w:rPr>
        <w:t xml:space="preserve"> des résultats des travaux de la CMTI-12, la </w:t>
      </w:r>
      <w:hyperlink r:id="rId8" w:history="1">
        <w:r w:rsidRPr="0018693B">
          <w:t>Conférence de plénipotentiaires de 2014</w:t>
        </w:r>
      </w:hyperlink>
      <w:r>
        <w:rPr>
          <w:lang w:val="fr-CH"/>
        </w:rPr>
        <w:t xml:space="preserve"> (Busan, </w:t>
      </w:r>
      <w:r w:rsidR="008740D5">
        <w:rPr>
          <w:lang w:val="fr-CH"/>
        </w:rPr>
        <w:t>R</w:t>
      </w:r>
      <w:r>
        <w:rPr>
          <w:lang w:val="fr-CH"/>
        </w:rPr>
        <w:t>épublique de Corée)</w:t>
      </w:r>
      <w:r w:rsidR="008740D5">
        <w:rPr>
          <w:lang w:val="fr-CH"/>
        </w:rPr>
        <w:t xml:space="preserve"> </w:t>
      </w:r>
      <w:r>
        <w:rPr>
          <w:lang w:val="fr-CH"/>
        </w:rPr>
        <w:t>a adopté sa Résolution 146 (</w:t>
      </w:r>
      <w:proofErr w:type="spellStart"/>
      <w:r>
        <w:rPr>
          <w:lang w:val="fr-CH"/>
        </w:rPr>
        <w:t>Rév</w:t>
      </w:r>
      <w:proofErr w:type="spellEnd"/>
      <w:r>
        <w:rPr>
          <w:lang w:val="fr-CH"/>
        </w:rPr>
        <w:t xml:space="preserve">. Busan, 2014), </w:t>
      </w:r>
      <w:r w:rsidR="00C10823">
        <w:rPr>
          <w:lang w:val="fr-CH"/>
        </w:rPr>
        <w:t>"E</w:t>
      </w:r>
      <w:r>
        <w:rPr>
          <w:lang w:val="fr-CH"/>
        </w:rPr>
        <w:t xml:space="preserve">xamen et révision périodiques du </w:t>
      </w:r>
      <w:r w:rsidR="00C10823">
        <w:rPr>
          <w:lang w:val="fr-CH"/>
        </w:rPr>
        <w:t>Règlement des télécommunications internationales"</w:t>
      </w:r>
      <w:r>
        <w:rPr>
          <w:lang w:val="fr-CH"/>
        </w:rPr>
        <w:t xml:space="preserve">, par laquelle elle a décidé </w:t>
      </w:r>
      <w:r w:rsidRPr="00325D76">
        <w:rPr>
          <w:lang w:val="fr-CH"/>
        </w:rPr>
        <w:t xml:space="preserve">qu'un examen périodique du </w:t>
      </w:r>
      <w:r w:rsidR="00C10823">
        <w:rPr>
          <w:lang w:val="fr-CH"/>
        </w:rPr>
        <w:t>Règlement des télécommunications internationales</w:t>
      </w:r>
      <w:r w:rsidRPr="00325D76">
        <w:rPr>
          <w:lang w:val="fr-CH"/>
        </w:rPr>
        <w:t xml:space="preserve"> sera</w:t>
      </w:r>
      <w:r>
        <w:rPr>
          <w:lang w:val="fr-CH"/>
        </w:rPr>
        <w:t>it</w:t>
      </w:r>
      <w:r w:rsidRPr="00325D76">
        <w:rPr>
          <w:lang w:val="fr-CH"/>
        </w:rPr>
        <w:t xml:space="preserve"> normalement mené à bien tous les huit ans</w:t>
      </w:r>
      <w:r>
        <w:rPr>
          <w:lang w:val="fr-CH"/>
        </w:rPr>
        <w:t xml:space="preserve"> et </w:t>
      </w:r>
      <w:r w:rsidRPr="00730FBD">
        <w:rPr>
          <w:lang w:val="fr-CH"/>
        </w:rPr>
        <w:t xml:space="preserve">que le processus d'examen du </w:t>
      </w:r>
      <w:r w:rsidR="003C438E">
        <w:rPr>
          <w:lang w:val="fr-CH"/>
        </w:rPr>
        <w:t>Règlement des télécommunications internationales</w:t>
      </w:r>
      <w:r w:rsidRPr="00730FBD">
        <w:rPr>
          <w:lang w:val="fr-CH"/>
        </w:rPr>
        <w:t xml:space="preserve"> commencera</w:t>
      </w:r>
      <w:r>
        <w:rPr>
          <w:lang w:val="fr-CH"/>
        </w:rPr>
        <w:t>it</w:t>
      </w:r>
      <w:r w:rsidRPr="00730FBD">
        <w:rPr>
          <w:lang w:val="fr-CH"/>
        </w:rPr>
        <w:t xml:space="preserve"> en 2017</w:t>
      </w:r>
      <w:r>
        <w:rPr>
          <w:lang w:val="fr-CH"/>
        </w:rPr>
        <w:t xml:space="preserve">. Aux termes de cette Résolution, le Secrétaire général </w:t>
      </w:r>
      <w:r w:rsidR="003C438E">
        <w:rPr>
          <w:lang w:val="fr-CH"/>
        </w:rPr>
        <w:t xml:space="preserve">est chargé </w:t>
      </w:r>
      <w:r w:rsidRPr="00B36C71">
        <w:rPr>
          <w:lang w:val="fr-CH"/>
        </w:rPr>
        <w:t>de convoquer un Groupe d'experts sur le Règlement des</w:t>
      </w:r>
      <w:r>
        <w:rPr>
          <w:lang w:val="fr-CH"/>
        </w:rPr>
        <w:t xml:space="preserve"> </w:t>
      </w:r>
      <w:r w:rsidRPr="00B36C71">
        <w:rPr>
          <w:lang w:val="fr-CH"/>
        </w:rPr>
        <w:t>télécommunications internationales (</w:t>
      </w:r>
      <w:r>
        <w:rPr>
          <w:lang w:val="fr-CH"/>
        </w:rPr>
        <w:t>EG-</w:t>
      </w:r>
      <w:r w:rsidRPr="00B36C71">
        <w:rPr>
          <w:lang w:val="fr-CH"/>
        </w:rPr>
        <w:t xml:space="preserve">RTI), ouvert à la participation des </w:t>
      </w:r>
      <w:proofErr w:type="spellStart"/>
      <w:r w:rsidRPr="00B36C71">
        <w:rPr>
          <w:lang w:val="fr-CH"/>
        </w:rPr>
        <w:t>Etats</w:t>
      </w:r>
      <w:proofErr w:type="spellEnd"/>
      <w:r w:rsidRPr="00B36C71">
        <w:rPr>
          <w:lang w:val="fr-CH"/>
        </w:rPr>
        <w:t xml:space="preserve"> Membres et des Membres de</w:t>
      </w:r>
      <w:r>
        <w:rPr>
          <w:lang w:val="fr-CH"/>
        </w:rPr>
        <w:t xml:space="preserve"> </w:t>
      </w:r>
      <w:r w:rsidRPr="00B36C71">
        <w:rPr>
          <w:lang w:val="fr-CH"/>
        </w:rPr>
        <w:t xml:space="preserve">Secteur de l'UIT, dont le mandat et les méthodes de travail ont </w:t>
      </w:r>
      <w:r>
        <w:rPr>
          <w:lang w:val="fr-CH"/>
        </w:rPr>
        <w:t xml:space="preserve">été </w:t>
      </w:r>
      <w:r w:rsidRPr="00B36C71">
        <w:rPr>
          <w:lang w:val="fr-CH"/>
        </w:rPr>
        <w:t>définis</w:t>
      </w:r>
      <w:r>
        <w:rPr>
          <w:lang w:val="fr-CH"/>
        </w:rPr>
        <w:t xml:space="preserve"> </w:t>
      </w:r>
      <w:r w:rsidRPr="00B36C71">
        <w:rPr>
          <w:lang w:val="fr-CH"/>
        </w:rPr>
        <w:t xml:space="preserve">par le Conseil de l'UIT, </w:t>
      </w:r>
      <w:r w:rsidR="003C438E">
        <w:rPr>
          <w:lang w:val="fr-CH"/>
        </w:rPr>
        <w:t>chargé d'</w:t>
      </w:r>
      <w:r w:rsidRPr="00B36C71">
        <w:rPr>
          <w:lang w:val="fr-CH"/>
        </w:rPr>
        <w:t xml:space="preserve">examiner </w:t>
      </w:r>
      <w:r>
        <w:rPr>
          <w:lang w:val="fr-CH"/>
        </w:rPr>
        <w:t>le RTI de 2012.</w:t>
      </w:r>
    </w:p>
    <w:p w:rsidR="00731997" w:rsidRDefault="00731997" w:rsidP="00B42C0A">
      <w:pPr>
        <w:rPr>
          <w:lang w:val="fr-CH"/>
        </w:rPr>
      </w:pPr>
      <w:proofErr w:type="spellStart"/>
      <w:r>
        <w:rPr>
          <w:lang w:val="fr-CH"/>
        </w:rPr>
        <w:t>A</w:t>
      </w:r>
      <w:proofErr w:type="spellEnd"/>
      <w:r>
        <w:rPr>
          <w:lang w:val="fr-CH"/>
        </w:rPr>
        <w:t xml:space="preserve"> sa </w:t>
      </w:r>
      <w:hyperlink r:id="rId9" w:history="1">
        <w:r w:rsidRPr="00731997">
          <w:t>session de 2016</w:t>
        </w:r>
      </w:hyperlink>
      <w:r w:rsidRPr="00731997">
        <w:t>, l</w:t>
      </w:r>
      <w:r>
        <w:rPr>
          <w:lang w:val="fr-CH"/>
        </w:rPr>
        <w:t>e Conseil de l'UIT a adopté sa Résolution 1379 portant création du Groupe</w:t>
      </w:r>
      <w:r w:rsidR="00B42C0A">
        <w:rPr>
          <w:lang w:val="fr-CH"/>
        </w:rPr>
        <w:t> </w:t>
      </w:r>
      <w:r>
        <w:rPr>
          <w:lang w:val="fr-CH"/>
        </w:rPr>
        <w:t>EG</w:t>
      </w:r>
      <w:r>
        <w:rPr>
          <w:lang w:val="fr-CH"/>
        </w:rPr>
        <w:noBreakHyphen/>
        <w:t>RTI et définissant son mandat ainsi que ses méthodes de travail.</w:t>
      </w:r>
    </w:p>
    <w:p w:rsidR="00731997" w:rsidRDefault="00731997" w:rsidP="003C438E">
      <w:pPr>
        <w:rPr>
          <w:lang w:val="fr-CH"/>
        </w:rPr>
      </w:pPr>
      <w:r>
        <w:rPr>
          <w:lang w:val="fr-CH"/>
        </w:rPr>
        <w:t xml:space="preserve">A cette même session du Conseil, plusieurs </w:t>
      </w:r>
      <w:proofErr w:type="spellStart"/>
      <w:r>
        <w:rPr>
          <w:lang w:val="fr-CH"/>
        </w:rPr>
        <w:t>Etats</w:t>
      </w:r>
      <w:proofErr w:type="spellEnd"/>
      <w:r>
        <w:rPr>
          <w:lang w:val="fr-CH"/>
        </w:rPr>
        <w:t xml:space="preserve"> Membres ont soumis de</w:t>
      </w:r>
      <w:r w:rsidR="003C438E">
        <w:rPr>
          <w:lang w:val="fr-CH"/>
        </w:rPr>
        <w:t>s</w:t>
      </w:r>
      <w:r>
        <w:rPr>
          <w:lang w:val="fr-CH"/>
        </w:rPr>
        <w:t xml:space="preserve"> contributions sur la question de la révision du RTI de 2012, </w:t>
      </w:r>
      <w:r w:rsidR="003C438E">
        <w:rPr>
          <w:lang w:val="fr-CH"/>
        </w:rPr>
        <w:t xml:space="preserve">dans lesquelles il était indiqué </w:t>
      </w:r>
      <w:r>
        <w:rPr>
          <w:lang w:val="fr-CH"/>
        </w:rPr>
        <w:t xml:space="preserve">qu'il </w:t>
      </w:r>
      <w:r w:rsidR="003C438E">
        <w:rPr>
          <w:lang w:val="fr-CH"/>
        </w:rPr>
        <w:t>étai</w:t>
      </w:r>
      <w:r>
        <w:rPr>
          <w:lang w:val="fr-CH"/>
        </w:rPr>
        <w:t xml:space="preserve">t nécessaire de disposer d'informations sur les aspects juridiques ou autres du processus de révision du RTI, son statut et les conséquences probables pour l'Union </w:t>
      </w:r>
      <w:r w:rsidR="003C438E">
        <w:rPr>
          <w:lang w:val="fr-CH"/>
        </w:rPr>
        <w:t>ainsi que</w:t>
      </w:r>
      <w:r>
        <w:rPr>
          <w:lang w:val="fr-CH"/>
        </w:rPr>
        <w:t xml:space="preserve"> pour les </w:t>
      </w:r>
      <w:proofErr w:type="spellStart"/>
      <w:r w:rsidR="0018693B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Membres, les Membres de Secteur et les utilisateurs des services internationaux de télécommunication partout dans le monde. Toutefois, plusieurs </w:t>
      </w:r>
      <w:proofErr w:type="spellStart"/>
      <w:r w:rsidR="0018693B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 et représentants du Secrétariat général on</w:t>
      </w:r>
      <w:r w:rsidR="003C438E">
        <w:rPr>
          <w:lang w:val="fr-CH"/>
        </w:rPr>
        <w:t>t</w:t>
      </w:r>
      <w:r>
        <w:rPr>
          <w:lang w:val="fr-CH"/>
        </w:rPr>
        <w:t xml:space="preserve"> fait observer que ces questions avaient été étudiées en détail lors du long processus de révision du RTI de 1988 </w:t>
      </w:r>
      <w:r w:rsidR="003C438E">
        <w:rPr>
          <w:lang w:val="fr-CH"/>
        </w:rPr>
        <w:t>par</w:t>
      </w:r>
      <w:r>
        <w:rPr>
          <w:lang w:val="fr-CH"/>
        </w:rPr>
        <w:t xml:space="preserve"> divers groupes créés entre 1998 et 2012.</w:t>
      </w:r>
    </w:p>
    <w:p w:rsidR="00731997" w:rsidRDefault="00731997" w:rsidP="0018693B">
      <w:r>
        <w:rPr>
          <w:lang w:val="fr-CH"/>
        </w:rPr>
        <w:t xml:space="preserve">Les rapports de ces groupes, les contributions des </w:t>
      </w:r>
      <w:proofErr w:type="spellStart"/>
      <w:r w:rsidR="0018693B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 et Membres de Secteur ainsi que les documents élaborés par le Secrétariat général contiennent des informations sur les questions examinées.</w:t>
      </w:r>
    </w:p>
    <w:p w:rsidR="006F3D57" w:rsidRPr="0005571D" w:rsidRDefault="00C810F9" w:rsidP="00996DED">
      <w:pPr>
        <w:pStyle w:val="Headingb"/>
      </w:pPr>
      <w:r>
        <w:t>P</w:t>
      </w:r>
      <w:r w:rsidR="006F3D57" w:rsidRPr="0005571D">
        <w:t>roposition</w:t>
      </w:r>
    </w:p>
    <w:p w:rsidR="00571EEA" w:rsidRDefault="00731997" w:rsidP="003C438E">
      <w:pPr>
        <w:rPr>
          <w:lang w:val="fr-CH"/>
        </w:rPr>
      </w:pPr>
      <w:r>
        <w:rPr>
          <w:lang w:val="fr-CH"/>
        </w:rPr>
        <w:t>Compte tenu de ce qui précède et vu l</w:t>
      </w:r>
      <w:r w:rsidR="003C438E">
        <w:rPr>
          <w:lang w:val="fr-CH"/>
        </w:rPr>
        <w:t>a</w:t>
      </w:r>
      <w:r>
        <w:rPr>
          <w:lang w:val="fr-CH"/>
        </w:rPr>
        <w:t xml:space="preserve"> documentation </w:t>
      </w:r>
      <w:r w:rsidR="003C438E">
        <w:rPr>
          <w:lang w:val="fr-CH"/>
        </w:rPr>
        <w:t xml:space="preserve">considérable </w:t>
      </w:r>
      <w:r>
        <w:rPr>
          <w:lang w:val="fr-CH"/>
        </w:rPr>
        <w:t>disponible</w:t>
      </w:r>
      <w:r w:rsidR="003C438E">
        <w:rPr>
          <w:lang w:val="fr-CH"/>
        </w:rPr>
        <w:t>,</w:t>
      </w:r>
      <w:r>
        <w:rPr>
          <w:lang w:val="fr-CH"/>
        </w:rPr>
        <w:t xml:space="preserve"> élaborée par le Secrétariat général de l'UIT dans le cadre de la préparation de la CMTI-12, nous </w:t>
      </w:r>
      <w:r w:rsidR="003C438E">
        <w:rPr>
          <w:lang w:val="fr-CH"/>
        </w:rPr>
        <w:t>proposons ce qui suit</w:t>
      </w:r>
      <w:r>
        <w:rPr>
          <w:lang w:val="fr-CH"/>
        </w:rPr>
        <w:t>:</w:t>
      </w:r>
    </w:p>
    <w:p w:rsidR="00C810F9" w:rsidRPr="0005571D" w:rsidRDefault="00731997" w:rsidP="003C438E">
      <w:pPr>
        <w:pStyle w:val="enumlev1"/>
      </w:pPr>
      <w:r>
        <w:rPr>
          <w:lang w:val="fr-CH"/>
        </w:rPr>
        <w:t>1</w:t>
      </w:r>
      <w:r w:rsidR="00C810F9">
        <w:rPr>
          <w:lang w:val="fr-CH"/>
        </w:rPr>
        <w:t>)</w:t>
      </w:r>
      <w:r w:rsidR="00C810F9">
        <w:rPr>
          <w:lang w:val="fr-CH"/>
        </w:rPr>
        <w:tab/>
      </w:r>
      <w:r>
        <w:rPr>
          <w:lang w:val="fr-CH"/>
        </w:rPr>
        <w:t xml:space="preserve">Demander au Secrétariat général de </w:t>
      </w:r>
      <w:r w:rsidR="003C438E">
        <w:rPr>
          <w:lang w:val="fr-CH"/>
        </w:rPr>
        <w:t>procéder à un examen de</w:t>
      </w:r>
      <w:r>
        <w:rPr>
          <w:lang w:val="fr-CH"/>
        </w:rPr>
        <w:t xml:space="preserve"> tous les documents qu'il a élaborés entre 1998 et 2012 concernant les aspects juridiques et autres du RTI et de sa révision</w:t>
      </w:r>
      <w:r w:rsidR="00C810F9">
        <w:rPr>
          <w:lang w:val="fr-CH"/>
        </w:rPr>
        <w:t>.</w:t>
      </w:r>
    </w:p>
    <w:p w:rsidR="00A16166" w:rsidRDefault="00731997" w:rsidP="003C438E">
      <w:pPr>
        <w:pStyle w:val="enumlev1"/>
        <w:keepNext/>
        <w:keepLines/>
        <w:rPr>
          <w:lang w:val="fr-CH"/>
        </w:rPr>
      </w:pPr>
      <w:r>
        <w:rPr>
          <w:lang w:val="fr-CH"/>
        </w:rPr>
        <w:lastRenderedPageBreak/>
        <w:t>2</w:t>
      </w:r>
      <w:r w:rsidR="00C810F9">
        <w:rPr>
          <w:lang w:val="fr-CH"/>
        </w:rPr>
        <w:t>)</w:t>
      </w:r>
      <w:r w:rsidR="00C810F9">
        <w:rPr>
          <w:lang w:val="fr-CH"/>
        </w:rPr>
        <w:tab/>
      </w:r>
      <w:r>
        <w:rPr>
          <w:lang w:val="fr-CH"/>
        </w:rPr>
        <w:t>Parmi les documents visés au point 1</w:t>
      </w:r>
      <w:r w:rsidR="00B42C0A">
        <w:rPr>
          <w:lang w:val="fr-CH"/>
        </w:rPr>
        <w:t>)</w:t>
      </w:r>
      <w:bookmarkStart w:id="7" w:name="_GoBack"/>
      <w:bookmarkEnd w:id="7"/>
      <w:r>
        <w:rPr>
          <w:lang w:val="fr-CH"/>
        </w:rPr>
        <w:t xml:space="preserve"> ci-dessus, commence</w:t>
      </w:r>
      <w:r w:rsidR="003C438E">
        <w:rPr>
          <w:lang w:val="fr-CH"/>
        </w:rPr>
        <w:t>r</w:t>
      </w:r>
      <w:r>
        <w:rPr>
          <w:lang w:val="fr-CH"/>
        </w:rPr>
        <w:t xml:space="preserve"> par examiner les documents juridi</w:t>
      </w:r>
      <w:r w:rsidR="003C438E">
        <w:rPr>
          <w:lang w:val="fr-CH"/>
        </w:rPr>
        <w:t>ques et réglementaires existant</w:t>
      </w:r>
      <w:r>
        <w:rPr>
          <w:lang w:val="fr-CH"/>
        </w:rPr>
        <w:t>s, les informations générales et les données analytiques, les mettre à jour en fonction du contexte actuel (2017) et procéder à une analys</w:t>
      </w:r>
      <w:r w:rsidR="003C438E">
        <w:rPr>
          <w:lang w:val="fr-CH"/>
        </w:rPr>
        <w:t>e qui tiendra compte, notamment</w:t>
      </w:r>
      <w:r>
        <w:rPr>
          <w:lang w:val="fr-CH"/>
        </w:rPr>
        <w:t xml:space="preserve"> des documents suivants:</w:t>
      </w:r>
    </w:p>
    <w:p w:rsidR="00731997" w:rsidRPr="00742183" w:rsidRDefault="00731997" w:rsidP="0018693B">
      <w:pPr>
        <w:pStyle w:val="enumlev2"/>
        <w:rPr>
          <w:rFonts w:asciiTheme="minorHAnsi" w:hAnsiTheme="minorHAnsi"/>
          <w:lang w:val="fr-CH"/>
        </w:rPr>
      </w:pPr>
      <w:r w:rsidRPr="00742183">
        <w:rPr>
          <w:rFonts w:asciiTheme="minorHAnsi" w:hAnsiTheme="minorHAnsi"/>
          <w:lang w:val="fr-CH"/>
        </w:rPr>
        <w:t>a)</w:t>
      </w:r>
      <w:r w:rsidRPr="00742183">
        <w:rPr>
          <w:rFonts w:asciiTheme="minorHAnsi" w:hAnsiTheme="minorHAnsi"/>
          <w:lang w:val="fr-CH"/>
        </w:rPr>
        <w:tab/>
      </w:r>
      <w:hyperlink r:id="rId10" w:tgtFrame="_blank" w:history="1">
        <w:r w:rsidRPr="00742183">
          <w:rPr>
            <w:rStyle w:val="Hyperlink"/>
            <w:rFonts w:asciiTheme="minorHAnsi" w:eastAsiaTheme="majorEastAsia" w:hAnsiTheme="minorHAnsi" w:cstheme="majorBidi"/>
            <w:bCs/>
            <w:szCs w:val="24"/>
            <w:lang w:val="fr-CH"/>
          </w:rPr>
          <w:t>CWG-WCIT12/TD-4</w:t>
        </w:r>
      </w:hyperlink>
      <w:r w:rsidRPr="00742183">
        <w:rPr>
          <w:rFonts w:asciiTheme="minorHAnsi" w:hAnsiTheme="minorHAnsi"/>
          <w:lang w:val="fr-CH"/>
        </w:rPr>
        <w:t xml:space="preserve"> – </w:t>
      </w:r>
      <w:r w:rsidR="003C438E">
        <w:rPr>
          <w:rFonts w:asciiTheme="minorHAnsi" w:hAnsiTheme="minorHAnsi"/>
          <w:lang w:val="fr-CH"/>
        </w:rPr>
        <w:t xml:space="preserve">Convention de Vienne de 1969 sur le droit des traités. </w:t>
      </w:r>
      <w:r w:rsidR="00742183">
        <w:rPr>
          <w:lang w:val="fr-CH"/>
        </w:rPr>
        <w:t xml:space="preserve">Ce document </w:t>
      </w:r>
      <w:r w:rsidR="00742183" w:rsidRPr="006F2D72">
        <w:t>reprodui</w:t>
      </w:r>
      <w:r w:rsidR="003C438E">
        <w:t>sai</w:t>
      </w:r>
      <w:r w:rsidR="00742183" w:rsidRPr="006F2D72">
        <w:t>t, pour information, le texte de la Convention de Vienne sur le droit des traités. Les articles 26 et suivants concernent le respect, l’application et l’interprétation des traités</w:t>
      </w:r>
      <w:r w:rsidR="0018693B">
        <w:rPr>
          <w:rFonts w:asciiTheme="minorHAnsi" w:hAnsiTheme="minorHAnsi"/>
          <w:lang w:val="fr-CH"/>
        </w:rPr>
        <w:t>.</w:t>
      </w:r>
    </w:p>
    <w:p w:rsidR="00731997" w:rsidRPr="00742183" w:rsidRDefault="00731997" w:rsidP="003C438E">
      <w:pPr>
        <w:pStyle w:val="enumlev2"/>
        <w:rPr>
          <w:rFonts w:asciiTheme="minorHAnsi" w:hAnsiTheme="minorHAnsi"/>
          <w:lang w:val="fr-CH"/>
        </w:rPr>
      </w:pPr>
      <w:r w:rsidRPr="00742183">
        <w:rPr>
          <w:rFonts w:asciiTheme="minorHAnsi" w:hAnsiTheme="minorHAnsi"/>
          <w:lang w:val="fr-CH"/>
        </w:rPr>
        <w:t>b)</w:t>
      </w:r>
      <w:r w:rsidRPr="00742183">
        <w:rPr>
          <w:rFonts w:asciiTheme="minorHAnsi" w:hAnsiTheme="minorHAnsi"/>
          <w:lang w:val="fr-CH"/>
        </w:rPr>
        <w:tab/>
      </w:r>
      <w:hyperlink r:id="rId11" w:tgtFrame="_blank" w:history="1">
        <w:r w:rsidRPr="00742183">
          <w:rPr>
            <w:rStyle w:val="Hyperlink"/>
            <w:rFonts w:asciiTheme="minorHAnsi" w:eastAsiaTheme="majorEastAsia" w:hAnsiTheme="minorHAnsi" w:cstheme="majorBidi"/>
            <w:bCs/>
            <w:szCs w:val="24"/>
            <w:lang w:val="fr-CH"/>
          </w:rPr>
          <w:t>CWG-WCIT12/TD-5</w:t>
        </w:r>
      </w:hyperlink>
      <w:r w:rsidRPr="00742183">
        <w:rPr>
          <w:rFonts w:asciiTheme="minorHAnsi" w:hAnsiTheme="minorHAnsi"/>
          <w:lang w:val="fr-CH"/>
        </w:rPr>
        <w:t xml:space="preserve"> – </w:t>
      </w:r>
      <w:r w:rsidR="00742183">
        <w:rPr>
          <w:lang w:val="fr-CH"/>
        </w:rPr>
        <w:t>Rappel</w:t>
      </w:r>
      <w:r w:rsidR="003C438E">
        <w:rPr>
          <w:lang w:val="fr-CH"/>
        </w:rPr>
        <w:t>s</w:t>
      </w:r>
      <w:r w:rsidR="00742183">
        <w:rPr>
          <w:lang w:val="fr-CH"/>
        </w:rPr>
        <w:t xml:space="preserve"> de nature juridique.</w:t>
      </w:r>
      <w:r w:rsidR="00742183" w:rsidRPr="00995026">
        <w:rPr>
          <w:rFonts w:ascii="Times New Roman" w:hAnsi="Times New Roman"/>
          <w:szCs w:val="24"/>
        </w:rPr>
        <w:t xml:space="preserve"> </w:t>
      </w:r>
      <w:r w:rsidR="00742183" w:rsidRPr="00995026">
        <w:t>Au cours des discussions des dernières réunions du Groupe d'experts chargé d'examiner le Règlement des télécommunications internationales, l'une des questions récurrentes était la suivante: "quelles sont les conséquences juridiques de l'utilisation de tels ou tels termes dans le traité?".</w:t>
      </w:r>
      <w:r w:rsidR="00742183">
        <w:t xml:space="preserve"> </w:t>
      </w:r>
      <w:r w:rsidR="00742183" w:rsidRPr="00995026">
        <w:t xml:space="preserve">L'objet </w:t>
      </w:r>
      <w:r w:rsidR="00742183">
        <w:t>de ce</w:t>
      </w:r>
      <w:r w:rsidR="00742183" w:rsidRPr="00995026">
        <w:t xml:space="preserve"> document est de présenter certains aspects à prendre en considération pour répondre à ce type de </w:t>
      </w:r>
      <w:proofErr w:type="spellStart"/>
      <w:r w:rsidR="00742183" w:rsidRPr="00995026">
        <w:t>questi</w:t>
      </w:r>
      <w:proofErr w:type="spellEnd"/>
      <w:r w:rsidR="0018693B">
        <w:rPr>
          <w:rFonts w:asciiTheme="minorHAnsi" w:hAnsiTheme="minorHAnsi"/>
          <w:lang w:val="fr-CH"/>
        </w:rPr>
        <w:t>on</w:t>
      </w:r>
      <w:r w:rsidRPr="00742183">
        <w:rPr>
          <w:rFonts w:asciiTheme="minorHAnsi" w:hAnsiTheme="minorHAnsi"/>
          <w:lang w:val="fr-CH"/>
        </w:rPr>
        <w:t>.</w:t>
      </w:r>
    </w:p>
    <w:p w:rsidR="00731997" w:rsidRPr="00742183" w:rsidRDefault="00731997" w:rsidP="003C438E">
      <w:pPr>
        <w:pStyle w:val="enumlev2"/>
        <w:rPr>
          <w:rFonts w:asciiTheme="minorHAnsi" w:hAnsiTheme="minorHAnsi"/>
          <w:lang w:val="fr-CH"/>
        </w:rPr>
      </w:pPr>
      <w:r w:rsidRPr="00742183">
        <w:rPr>
          <w:rFonts w:asciiTheme="minorHAnsi" w:hAnsiTheme="minorHAnsi"/>
          <w:lang w:val="fr-CH"/>
        </w:rPr>
        <w:t>c)</w:t>
      </w:r>
      <w:r w:rsidRPr="00742183">
        <w:rPr>
          <w:rFonts w:asciiTheme="minorHAnsi" w:hAnsiTheme="minorHAnsi"/>
          <w:lang w:val="fr-CH"/>
        </w:rPr>
        <w:tab/>
      </w:r>
      <w:hyperlink r:id="rId12" w:tgtFrame="_blank" w:history="1">
        <w:r w:rsidRPr="00742183">
          <w:rPr>
            <w:rStyle w:val="Hyperlink"/>
            <w:rFonts w:asciiTheme="minorHAnsi" w:eastAsiaTheme="majorEastAsia" w:hAnsiTheme="minorHAnsi" w:cstheme="majorBidi"/>
            <w:bCs/>
            <w:szCs w:val="24"/>
            <w:lang w:val="fr-CH"/>
          </w:rPr>
          <w:t>CWG-WCIT12/TD-16</w:t>
        </w:r>
      </w:hyperlink>
      <w:r w:rsidRPr="00742183">
        <w:rPr>
          <w:rFonts w:asciiTheme="minorHAnsi" w:hAnsiTheme="minorHAnsi"/>
          <w:lang w:val="fr-CH"/>
        </w:rPr>
        <w:t xml:space="preserve"> – </w:t>
      </w:r>
      <w:r w:rsidR="00742183" w:rsidRPr="006E0B30">
        <w:rPr>
          <w:lang w:val="fr-CH"/>
        </w:rPr>
        <w:t>Les actes unilatéraux des organisations internationales, expression du pouvoir normatif de ces dernières</w:t>
      </w:r>
      <w:r w:rsidR="00742183">
        <w:rPr>
          <w:lang w:val="fr-CH"/>
        </w:rPr>
        <w:t>. Explication</w:t>
      </w:r>
      <w:r w:rsidR="003C438E">
        <w:rPr>
          <w:lang w:val="fr-CH"/>
        </w:rPr>
        <w:t>s</w:t>
      </w:r>
      <w:r w:rsidR="00742183">
        <w:rPr>
          <w:lang w:val="fr-CH"/>
        </w:rPr>
        <w:t xml:space="preserve"> concernant le pouvoir normatif des organisations internationales, en l'espèce de l'UIT, et les conséquences des décisions </w:t>
      </w:r>
      <w:r w:rsidR="003C438E">
        <w:rPr>
          <w:lang w:val="fr-CH"/>
        </w:rPr>
        <w:t xml:space="preserve">qu'elles </w:t>
      </w:r>
      <w:r w:rsidR="00742183">
        <w:rPr>
          <w:lang w:val="fr-CH"/>
        </w:rPr>
        <w:t>adopt</w:t>
      </w:r>
      <w:r w:rsidR="003C438E">
        <w:rPr>
          <w:lang w:val="fr-CH"/>
        </w:rPr>
        <w:t>ent</w:t>
      </w:r>
      <w:r w:rsidR="00742183">
        <w:rPr>
          <w:lang w:val="fr-CH"/>
        </w:rPr>
        <w:t xml:space="preserve"> lorsqu'elles établissent directement des dispositions de droit international qui lie</w:t>
      </w:r>
      <w:r w:rsidR="003C438E">
        <w:rPr>
          <w:lang w:val="fr-CH"/>
        </w:rPr>
        <w:t>nt</w:t>
      </w:r>
      <w:r w:rsidR="00742183">
        <w:rPr>
          <w:lang w:val="fr-CH"/>
        </w:rPr>
        <w:t xml:space="preserve"> les </w:t>
      </w:r>
      <w:proofErr w:type="spellStart"/>
      <w:r w:rsidR="00742183">
        <w:rPr>
          <w:lang w:val="fr-CH"/>
        </w:rPr>
        <w:t>Etats</w:t>
      </w:r>
      <w:proofErr w:type="spellEnd"/>
      <w:r w:rsidR="00742183">
        <w:rPr>
          <w:lang w:val="fr-CH"/>
        </w:rPr>
        <w:t xml:space="preserve"> Membres</w:t>
      </w:r>
      <w:r w:rsidRPr="00742183">
        <w:rPr>
          <w:rFonts w:asciiTheme="minorHAnsi" w:hAnsiTheme="minorHAnsi"/>
          <w:lang w:val="fr-CH"/>
        </w:rPr>
        <w:t>.</w:t>
      </w:r>
    </w:p>
    <w:p w:rsidR="00731997" w:rsidRPr="00742183" w:rsidRDefault="00731997" w:rsidP="0018693B">
      <w:pPr>
        <w:pStyle w:val="enumlev2"/>
        <w:rPr>
          <w:rFonts w:asciiTheme="minorHAnsi" w:hAnsiTheme="minorHAnsi"/>
          <w:lang w:val="fr-CH"/>
        </w:rPr>
      </w:pPr>
      <w:r w:rsidRPr="00742183">
        <w:rPr>
          <w:rFonts w:asciiTheme="minorHAnsi" w:hAnsiTheme="minorHAnsi"/>
          <w:lang w:val="fr-CH"/>
        </w:rPr>
        <w:t>d)</w:t>
      </w:r>
      <w:r w:rsidRPr="00742183">
        <w:rPr>
          <w:rFonts w:asciiTheme="minorHAnsi" w:hAnsiTheme="minorHAnsi"/>
          <w:lang w:val="fr-CH"/>
        </w:rPr>
        <w:tab/>
      </w:r>
      <w:hyperlink r:id="rId13" w:tgtFrame="_blank" w:history="1">
        <w:r w:rsidRPr="00742183">
          <w:rPr>
            <w:rStyle w:val="Hyperlink"/>
            <w:rFonts w:asciiTheme="minorHAnsi" w:eastAsiaTheme="majorEastAsia" w:hAnsiTheme="minorHAnsi" w:cstheme="majorBidi"/>
            <w:bCs/>
            <w:szCs w:val="24"/>
            <w:lang w:val="fr-CH"/>
          </w:rPr>
          <w:t>TD 30 (PLEN/ITR-EG)</w:t>
        </w:r>
      </w:hyperlink>
      <w:r w:rsidRPr="00742183">
        <w:rPr>
          <w:rFonts w:asciiTheme="minorHAnsi" w:hAnsiTheme="minorHAnsi"/>
          <w:lang w:val="fr-CH"/>
        </w:rPr>
        <w:t> – </w:t>
      </w:r>
      <w:r w:rsidR="00742183">
        <w:rPr>
          <w:lang w:val="fr-CH"/>
        </w:rPr>
        <w:t xml:space="preserve">Réflexions concernant le consentement à être lié par le RTI. Traite de la question de l'acceptation par un </w:t>
      </w:r>
      <w:proofErr w:type="spellStart"/>
      <w:r w:rsidR="0018693B">
        <w:rPr>
          <w:lang w:val="fr-CH"/>
        </w:rPr>
        <w:t>E</w:t>
      </w:r>
      <w:r w:rsidR="00742183">
        <w:rPr>
          <w:lang w:val="fr-CH"/>
        </w:rPr>
        <w:t>tat</w:t>
      </w:r>
      <w:proofErr w:type="spellEnd"/>
      <w:r w:rsidR="00742183">
        <w:rPr>
          <w:lang w:val="fr-CH"/>
        </w:rPr>
        <w:t xml:space="preserve"> Membre de l'obligation d'appliquer le RTI conformément à la Constitution et à la Convention de l'UIT</w:t>
      </w:r>
      <w:r w:rsidRPr="00742183">
        <w:rPr>
          <w:rFonts w:asciiTheme="minorHAnsi" w:hAnsiTheme="minorHAnsi"/>
          <w:lang w:val="fr-CH"/>
        </w:rPr>
        <w:t>.</w:t>
      </w:r>
    </w:p>
    <w:p w:rsidR="00731997" w:rsidRPr="00742183" w:rsidRDefault="00731997" w:rsidP="00742183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e)</w:t>
      </w:r>
      <w:r w:rsidRPr="00742183">
        <w:rPr>
          <w:rFonts w:asciiTheme="minorHAnsi" w:hAnsiTheme="minorHAnsi"/>
          <w:lang w:val="fr-CH"/>
        </w:rPr>
        <w:tab/>
      </w:r>
      <w:hyperlink r:id="rId14" w:history="1">
        <w:r w:rsidRPr="00742183">
          <w:rPr>
            <w:rStyle w:val="Hyperlink"/>
            <w:rFonts w:asciiTheme="minorHAnsi" w:hAnsiTheme="minorHAnsi" w:cstheme="majorBidi"/>
            <w:bCs/>
            <w:szCs w:val="24"/>
            <w:lang w:val="fr-CH"/>
          </w:rPr>
          <w:t>CWG-WCIT12/INF-1</w:t>
        </w:r>
      </w:hyperlink>
      <w:r w:rsidRPr="00742183">
        <w:rPr>
          <w:rFonts w:asciiTheme="minorHAnsi" w:hAnsiTheme="minorHAnsi" w:cstheme="majorBidi"/>
          <w:bCs/>
          <w:szCs w:val="24"/>
          <w:lang w:val="fr-CH"/>
        </w:rPr>
        <w:t> – </w:t>
      </w:r>
      <w:r w:rsidR="00742183">
        <w:rPr>
          <w:lang w:val="fr-CH"/>
        </w:rPr>
        <w:t xml:space="preserve">Texte ayant précédé l'actuel RTI </w:t>
      </w:r>
      <w:r w:rsidRPr="00742183">
        <w:rPr>
          <w:rFonts w:asciiTheme="minorHAnsi" w:hAnsiTheme="minorHAnsi" w:cstheme="majorBidi"/>
          <w:szCs w:val="24"/>
          <w:lang w:val="fr-CH"/>
        </w:rPr>
        <w:t>(1988)</w:t>
      </w:r>
      <w:r w:rsidRPr="00742183">
        <w:rPr>
          <w:rFonts w:asciiTheme="minorHAnsi" w:hAnsiTheme="minorHAnsi" w:cstheme="majorBidi"/>
          <w:bCs/>
          <w:szCs w:val="24"/>
          <w:lang w:val="fr-CH"/>
        </w:rPr>
        <w:t>.</w:t>
      </w:r>
    </w:p>
    <w:p w:rsidR="00731997" w:rsidRPr="00742183" w:rsidRDefault="00731997" w:rsidP="00742183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f)</w:t>
      </w:r>
      <w:r w:rsidRPr="00742183">
        <w:rPr>
          <w:rFonts w:asciiTheme="minorHAnsi" w:hAnsiTheme="minorHAnsi"/>
          <w:lang w:val="fr-CH"/>
        </w:rPr>
        <w:tab/>
      </w:r>
      <w:hyperlink r:id="rId15" w:history="1">
        <w:r w:rsidRPr="00742183">
          <w:rPr>
            <w:rStyle w:val="Hyperlink"/>
            <w:rFonts w:asciiTheme="minorHAnsi" w:hAnsiTheme="minorHAnsi" w:cstheme="majorBidi"/>
            <w:bCs/>
            <w:szCs w:val="24"/>
            <w:lang w:val="fr-CH"/>
          </w:rPr>
          <w:t>CWG-WCIT12/INF-2</w:t>
        </w:r>
      </w:hyperlink>
      <w:r w:rsidRPr="00742183">
        <w:rPr>
          <w:rFonts w:asciiTheme="minorHAnsi" w:hAnsiTheme="minorHAnsi" w:cstheme="majorBidi"/>
          <w:bCs/>
          <w:szCs w:val="24"/>
          <w:lang w:val="fr-CH"/>
        </w:rPr>
        <w:t> – </w:t>
      </w:r>
      <w:r w:rsidR="00742183" w:rsidRPr="005E3B17">
        <w:rPr>
          <w:lang w:val="fr-CH"/>
        </w:rPr>
        <w:t>Statut des Instructions</w:t>
      </w:r>
      <w:r w:rsidR="00742183">
        <w:rPr>
          <w:lang w:val="fr-CH"/>
        </w:rPr>
        <w:t xml:space="preserve"> dans le RTI de </w:t>
      </w:r>
      <w:r w:rsidRPr="00742183">
        <w:rPr>
          <w:rFonts w:asciiTheme="minorHAnsi" w:hAnsiTheme="minorHAnsi" w:cstheme="majorBidi"/>
          <w:bCs/>
          <w:szCs w:val="24"/>
          <w:lang w:val="fr-CH"/>
        </w:rPr>
        <w:t>1988.</w:t>
      </w:r>
    </w:p>
    <w:p w:rsidR="00731997" w:rsidRPr="00742183" w:rsidRDefault="00731997" w:rsidP="00742183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g)</w:t>
      </w:r>
      <w:r w:rsidRPr="00742183">
        <w:rPr>
          <w:rFonts w:asciiTheme="minorHAnsi" w:hAnsiTheme="minorHAnsi"/>
          <w:lang w:val="fr-CH"/>
        </w:rPr>
        <w:tab/>
      </w:r>
      <w:hyperlink r:id="rId16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CWG-WCIT12/INF-3</w:t>
        </w:r>
      </w:hyperlink>
      <w:r w:rsidRPr="00742183">
        <w:rPr>
          <w:rFonts w:asciiTheme="minorHAnsi" w:hAnsiTheme="minorHAnsi" w:cstheme="majorBidi"/>
          <w:bCs/>
          <w:szCs w:val="24"/>
          <w:lang w:val="fr-CH"/>
        </w:rPr>
        <w:t> – </w:t>
      </w:r>
      <w:r w:rsidR="00742183" w:rsidRPr="001C1B98">
        <w:rPr>
          <w:lang w:val="fr-CH"/>
        </w:rPr>
        <w:t>Compte rendu de l'atelier UIT sur la taxation des services de télécommunication et des produits associés</w:t>
      </w:r>
      <w:r w:rsidRPr="00742183">
        <w:rPr>
          <w:rFonts w:asciiTheme="minorHAnsi" w:hAnsiTheme="minorHAnsi" w:cstheme="majorBidi"/>
          <w:szCs w:val="24"/>
          <w:lang w:val="fr-CH"/>
        </w:rPr>
        <w:t>.</w:t>
      </w:r>
    </w:p>
    <w:p w:rsidR="00731997" w:rsidRPr="00742183" w:rsidRDefault="00731997" w:rsidP="00F04D8D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h)</w:t>
      </w:r>
      <w:r w:rsidRPr="00742183">
        <w:rPr>
          <w:rFonts w:asciiTheme="minorHAnsi" w:hAnsiTheme="minorHAnsi"/>
          <w:lang w:val="fr-CH"/>
        </w:rPr>
        <w:tab/>
      </w:r>
      <w:hyperlink r:id="rId17" w:history="1">
        <w:r w:rsidRPr="00742183">
          <w:rPr>
            <w:rStyle w:val="Hyperlink"/>
            <w:rFonts w:asciiTheme="minorHAnsi" w:eastAsiaTheme="minorEastAsia" w:hAnsiTheme="minorHAnsi" w:cstheme="majorBidi"/>
            <w:szCs w:val="24"/>
            <w:lang w:val="fr-CH"/>
          </w:rPr>
          <w:t>CWG-WCIT12/INF-4</w:t>
        </w:r>
        <w:r w:rsidR="003C438E">
          <w:rPr>
            <w:rStyle w:val="Hyperlink"/>
            <w:rFonts w:asciiTheme="minorHAnsi" w:eastAsiaTheme="minorEastAsia" w:hAnsiTheme="minorHAnsi" w:cstheme="majorBidi"/>
            <w:szCs w:val="24"/>
            <w:lang w:val="fr-CH"/>
          </w:rPr>
          <w:t>(</w:t>
        </w:r>
        <w:r w:rsidRPr="00742183">
          <w:rPr>
            <w:rStyle w:val="Hyperlink"/>
            <w:rFonts w:asciiTheme="minorHAnsi" w:eastAsiaTheme="minorEastAsia" w:hAnsiTheme="minorHAnsi" w:cstheme="majorBidi"/>
            <w:szCs w:val="24"/>
            <w:lang w:val="fr-CH"/>
          </w:rPr>
          <w:t>R</w:t>
        </w:r>
        <w:r w:rsidR="003C438E">
          <w:rPr>
            <w:rStyle w:val="Hyperlink"/>
            <w:rFonts w:asciiTheme="minorHAnsi" w:eastAsiaTheme="minorEastAsia" w:hAnsiTheme="minorHAnsi" w:cstheme="majorBidi"/>
            <w:szCs w:val="24"/>
            <w:lang w:val="fr-CH"/>
          </w:rPr>
          <w:t>é</w:t>
        </w:r>
        <w:r w:rsidRPr="00742183">
          <w:rPr>
            <w:rStyle w:val="Hyperlink"/>
            <w:rFonts w:asciiTheme="minorHAnsi" w:eastAsiaTheme="minorEastAsia" w:hAnsiTheme="minorHAnsi" w:cstheme="majorBidi"/>
            <w:szCs w:val="24"/>
            <w:lang w:val="fr-CH"/>
          </w:rPr>
          <w:t>v.1</w:t>
        </w:r>
      </w:hyperlink>
      <w:r w:rsidR="003C438E">
        <w:rPr>
          <w:rStyle w:val="Hyperlink"/>
          <w:rFonts w:asciiTheme="minorHAnsi" w:eastAsiaTheme="minorEastAsia" w:hAnsiTheme="minorHAnsi" w:cstheme="majorBidi"/>
          <w:szCs w:val="24"/>
          <w:lang w:val="fr-CH"/>
        </w:rPr>
        <w:t>)</w:t>
      </w:r>
      <w:r w:rsidRPr="00742183">
        <w:rPr>
          <w:rFonts w:asciiTheme="minorHAnsi" w:hAnsiTheme="minorHAnsi" w:cstheme="majorBidi"/>
          <w:bCs/>
          <w:szCs w:val="24"/>
          <w:lang w:val="fr-CH"/>
        </w:rPr>
        <w:t> – </w:t>
      </w:r>
      <w:r w:rsidR="00742183">
        <w:rPr>
          <w:lang w:val="fr-CH"/>
        </w:rPr>
        <w:t xml:space="preserve">Supplément 2 à la Recommandation UIT-T E.156 </w:t>
      </w:r>
      <w:r w:rsidR="00742183" w:rsidRPr="00742183">
        <w:rPr>
          <w:lang w:val="fr-CH"/>
        </w:rPr>
        <w:t>–</w:t>
      </w:r>
      <w:r w:rsidR="00742183">
        <w:rPr>
          <w:lang w:val="fr-CH"/>
        </w:rPr>
        <w:t xml:space="preserve"> Questions relatives à l'utilisation abusive des ressources de numérotage</w:t>
      </w:r>
      <w:r w:rsidRPr="00742183">
        <w:rPr>
          <w:rFonts w:asciiTheme="minorHAnsi" w:hAnsiTheme="minorHAnsi" w:cstheme="majorBidi"/>
          <w:bCs/>
          <w:szCs w:val="24"/>
          <w:lang w:val="fr-CH"/>
        </w:rPr>
        <w:t>.</w:t>
      </w:r>
    </w:p>
    <w:p w:rsidR="00731997" w:rsidRPr="00742183" w:rsidRDefault="00731997" w:rsidP="00742183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i)</w:t>
      </w:r>
      <w:r w:rsidRPr="00742183">
        <w:rPr>
          <w:rFonts w:asciiTheme="minorHAnsi" w:hAnsiTheme="minorHAnsi"/>
          <w:lang w:val="fr-CH"/>
        </w:rPr>
        <w:tab/>
      </w:r>
      <w:hyperlink r:id="rId18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CWG-WCIT12/INF-5</w:t>
        </w:r>
      </w:hyperlink>
      <w:r w:rsidRPr="00742183">
        <w:rPr>
          <w:rFonts w:asciiTheme="minorHAnsi" w:hAnsiTheme="minorHAnsi" w:cstheme="majorBidi"/>
          <w:szCs w:val="24"/>
          <w:lang w:val="fr-CH"/>
        </w:rPr>
        <w:t> – </w:t>
      </w:r>
      <w:r w:rsidR="00742183">
        <w:rPr>
          <w:lang w:val="fr-CH"/>
        </w:rPr>
        <w:t>Aperçu de la qualité de service</w:t>
      </w:r>
      <w:r w:rsidRPr="00742183">
        <w:rPr>
          <w:rFonts w:asciiTheme="minorHAnsi" w:hAnsiTheme="minorHAnsi" w:cstheme="majorBidi"/>
          <w:szCs w:val="24"/>
          <w:lang w:val="fr-CH"/>
        </w:rPr>
        <w:t>.</w:t>
      </w:r>
    </w:p>
    <w:p w:rsidR="00731997" w:rsidRPr="00742183" w:rsidRDefault="00731997" w:rsidP="00742183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j)</w:t>
      </w:r>
      <w:r w:rsidRPr="00742183">
        <w:rPr>
          <w:rFonts w:asciiTheme="minorHAnsi" w:hAnsiTheme="minorHAnsi"/>
          <w:lang w:val="fr-CH"/>
        </w:rPr>
        <w:tab/>
      </w:r>
      <w:hyperlink r:id="rId19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CWG-WCIT12/INF-6</w:t>
        </w:r>
      </w:hyperlink>
      <w:r w:rsidRPr="00742183">
        <w:rPr>
          <w:rFonts w:asciiTheme="minorHAnsi" w:hAnsiTheme="minorHAnsi" w:cstheme="majorBidi"/>
          <w:bCs/>
          <w:szCs w:val="24"/>
          <w:lang w:val="fr-CH"/>
        </w:rPr>
        <w:t> – </w:t>
      </w:r>
      <w:r w:rsidR="00742183">
        <w:rPr>
          <w:lang w:val="fr-CH"/>
        </w:rPr>
        <w:t>Aperçu de la convergence</w:t>
      </w:r>
      <w:r w:rsidRPr="00742183">
        <w:rPr>
          <w:rFonts w:asciiTheme="minorHAnsi" w:hAnsiTheme="minorHAnsi" w:cstheme="majorBidi"/>
          <w:bCs/>
          <w:szCs w:val="24"/>
          <w:lang w:val="fr-CH"/>
        </w:rPr>
        <w:t>.</w:t>
      </w:r>
    </w:p>
    <w:p w:rsidR="00731997" w:rsidRPr="00742183" w:rsidRDefault="00731997" w:rsidP="00742183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k)</w:t>
      </w:r>
      <w:r w:rsidRPr="00742183">
        <w:rPr>
          <w:rFonts w:asciiTheme="minorHAnsi" w:hAnsiTheme="minorHAnsi"/>
          <w:lang w:val="fr-CH"/>
        </w:rPr>
        <w:tab/>
      </w:r>
      <w:hyperlink r:id="rId20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CWG-WCIT12/INF-7</w:t>
        </w:r>
      </w:hyperlink>
      <w:r w:rsidRPr="00742183">
        <w:rPr>
          <w:rFonts w:asciiTheme="minorHAnsi" w:hAnsiTheme="minorHAnsi" w:cstheme="majorBidi"/>
          <w:szCs w:val="24"/>
          <w:lang w:val="fr-CH"/>
        </w:rPr>
        <w:t> – </w:t>
      </w:r>
      <w:r w:rsidR="00742183">
        <w:rPr>
          <w:lang w:val="fr-CH"/>
        </w:rPr>
        <w:t>Sécurité dans l'utilisation des TIC.</w:t>
      </w:r>
    </w:p>
    <w:p w:rsidR="00731997" w:rsidRPr="00742183" w:rsidRDefault="00731997" w:rsidP="00742183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l)</w:t>
      </w:r>
      <w:r w:rsidRPr="00742183">
        <w:rPr>
          <w:rFonts w:asciiTheme="minorHAnsi" w:hAnsiTheme="minorHAnsi"/>
          <w:lang w:val="fr-CH"/>
        </w:rPr>
        <w:tab/>
      </w:r>
      <w:hyperlink r:id="rId21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CWG-WCIT12/INF-8</w:t>
        </w:r>
      </w:hyperlink>
      <w:r w:rsidRPr="00742183">
        <w:rPr>
          <w:rFonts w:asciiTheme="minorHAnsi" w:hAnsiTheme="minorHAnsi" w:cstheme="majorBidi"/>
          <w:bCs/>
          <w:szCs w:val="24"/>
          <w:lang w:val="fr-CH"/>
        </w:rPr>
        <w:t> – </w:t>
      </w:r>
      <w:r w:rsidR="00742183">
        <w:rPr>
          <w:lang w:val="fr-CH"/>
        </w:rPr>
        <w:t>A</w:t>
      </w:r>
      <w:r w:rsidR="00742183" w:rsidRPr="00892243">
        <w:rPr>
          <w:lang w:val="fr-CH"/>
        </w:rPr>
        <w:t xml:space="preserve">perçu des questions de mise en </w:t>
      </w:r>
      <w:proofErr w:type="spellStart"/>
      <w:r w:rsidR="00742183" w:rsidRPr="00892243">
        <w:rPr>
          <w:lang w:val="fr-CH"/>
        </w:rPr>
        <w:t>oeuvre</w:t>
      </w:r>
      <w:proofErr w:type="spellEnd"/>
      <w:r w:rsidR="00742183" w:rsidRPr="00892243">
        <w:rPr>
          <w:lang w:val="fr-CH"/>
        </w:rPr>
        <w:t>, y compris s</w:t>
      </w:r>
      <w:r w:rsidR="00742183">
        <w:rPr>
          <w:lang w:val="fr-CH"/>
        </w:rPr>
        <w:t>tatut des Recommandations UIT-T</w:t>
      </w:r>
      <w:r w:rsidRPr="00742183">
        <w:rPr>
          <w:rFonts w:asciiTheme="minorHAnsi" w:hAnsiTheme="minorHAnsi" w:cstheme="majorBidi"/>
          <w:szCs w:val="24"/>
          <w:lang w:val="fr-CH"/>
        </w:rPr>
        <w:t>.</w:t>
      </w:r>
    </w:p>
    <w:p w:rsidR="00731997" w:rsidRPr="00742183" w:rsidRDefault="00731997" w:rsidP="003C438E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m)</w:t>
      </w:r>
      <w:r w:rsidRPr="00742183">
        <w:rPr>
          <w:rFonts w:asciiTheme="minorHAnsi" w:hAnsiTheme="minorHAnsi"/>
          <w:lang w:val="fr-CH"/>
        </w:rPr>
        <w:tab/>
      </w:r>
      <w:hyperlink r:id="rId22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CWG-WCIT12/INF-9</w:t>
        </w:r>
      </w:hyperlink>
      <w:r w:rsidRPr="00742183">
        <w:rPr>
          <w:rFonts w:asciiTheme="minorHAnsi" w:hAnsiTheme="minorHAnsi" w:cstheme="majorBidi"/>
          <w:szCs w:val="24"/>
          <w:lang w:val="fr-CH"/>
        </w:rPr>
        <w:t> – </w:t>
      </w:r>
      <w:r w:rsidR="00742183">
        <w:rPr>
          <w:lang w:val="fr-CH"/>
        </w:rPr>
        <w:t>Cadres internationaux. Document d'information sur le RTI et d'autres cadres internationaux</w:t>
      </w:r>
      <w:r w:rsidRPr="00742183">
        <w:rPr>
          <w:rFonts w:asciiTheme="minorHAnsi" w:hAnsiTheme="minorHAnsi" w:cstheme="majorBidi"/>
          <w:szCs w:val="24"/>
          <w:lang w:val="fr-CH"/>
        </w:rPr>
        <w:t>.</w:t>
      </w:r>
    </w:p>
    <w:p w:rsidR="00731997" w:rsidRPr="00742183" w:rsidRDefault="00731997" w:rsidP="003C438E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n)</w:t>
      </w:r>
      <w:r w:rsidRPr="00742183">
        <w:rPr>
          <w:rFonts w:asciiTheme="minorHAnsi" w:hAnsiTheme="minorHAnsi"/>
          <w:lang w:val="fr-CH"/>
        </w:rPr>
        <w:tab/>
      </w:r>
      <w:hyperlink r:id="rId23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CWG-WCIT12/INF-10</w:t>
        </w:r>
      </w:hyperlink>
      <w:r w:rsidRPr="00742183">
        <w:rPr>
          <w:rFonts w:asciiTheme="minorHAnsi" w:hAnsiTheme="minorHAnsi" w:cstheme="majorBidi"/>
          <w:bCs/>
          <w:szCs w:val="24"/>
          <w:lang w:val="fr-CH"/>
        </w:rPr>
        <w:t> – </w:t>
      </w:r>
      <w:r w:rsidR="003C438E">
        <w:rPr>
          <w:lang w:val="fr-CH"/>
        </w:rPr>
        <w:t>L'</w:t>
      </w:r>
      <w:r w:rsidR="00742183">
        <w:rPr>
          <w:lang w:val="fr-CH"/>
        </w:rPr>
        <w:t>accès aux communications</w:t>
      </w:r>
      <w:r w:rsidR="003C438E">
        <w:rPr>
          <w:lang w:val="fr-CH"/>
        </w:rPr>
        <w:t xml:space="preserve"> en tant que droit humain</w:t>
      </w:r>
      <w:r w:rsidRPr="00742183">
        <w:rPr>
          <w:rFonts w:asciiTheme="minorHAnsi" w:hAnsiTheme="minorHAnsi" w:cstheme="majorBidi"/>
          <w:bCs/>
          <w:szCs w:val="24"/>
          <w:lang w:val="fr-CH"/>
        </w:rPr>
        <w:t>.</w:t>
      </w:r>
    </w:p>
    <w:p w:rsidR="00731997" w:rsidRPr="00742183" w:rsidRDefault="00731997" w:rsidP="003C438E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o)</w:t>
      </w:r>
      <w:r w:rsidRPr="00742183">
        <w:rPr>
          <w:rFonts w:asciiTheme="minorHAnsi" w:hAnsiTheme="minorHAnsi"/>
          <w:lang w:val="fr-CH"/>
        </w:rPr>
        <w:tab/>
      </w:r>
      <w:hyperlink r:id="rId24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CWG-WCIT12/INF-11</w:t>
        </w:r>
        <w:r w:rsidR="003C438E">
          <w:rPr>
            <w:rStyle w:val="Hyperlink"/>
            <w:rFonts w:asciiTheme="minorHAnsi" w:hAnsiTheme="minorHAnsi" w:cstheme="majorBidi"/>
            <w:szCs w:val="24"/>
            <w:lang w:val="fr-CH"/>
          </w:rPr>
          <w:t>(</w:t>
        </w:r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R</w:t>
        </w:r>
        <w:r w:rsidR="003C438E">
          <w:rPr>
            <w:rStyle w:val="Hyperlink"/>
            <w:rFonts w:asciiTheme="minorHAnsi" w:hAnsiTheme="minorHAnsi" w:cstheme="majorBidi"/>
            <w:szCs w:val="24"/>
            <w:lang w:val="fr-CH"/>
          </w:rPr>
          <w:t>é</w:t>
        </w:r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v.1</w:t>
        </w:r>
      </w:hyperlink>
      <w:r w:rsidR="003C438E">
        <w:rPr>
          <w:rStyle w:val="Hyperlink"/>
          <w:rFonts w:asciiTheme="minorHAnsi" w:hAnsiTheme="minorHAnsi" w:cstheme="majorBidi"/>
          <w:szCs w:val="24"/>
          <w:lang w:val="fr-CH"/>
        </w:rPr>
        <w:t>)</w:t>
      </w:r>
      <w:r w:rsidRPr="00742183">
        <w:rPr>
          <w:rFonts w:asciiTheme="minorHAnsi" w:hAnsiTheme="minorHAnsi" w:cstheme="majorBidi"/>
          <w:bCs/>
          <w:szCs w:val="24"/>
          <w:lang w:val="fr-CH"/>
        </w:rPr>
        <w:t> – </w:t>
      </w:r>
      <w:r w:rsidR="00742183">
        <w:rPr>
          <w:lang w:val="fr-CH"/>
        </w:rPr>
        <w:t>Protection d</w:t>
      </w:r>
      <w:r w:rsidR="003C438E">
        <w:rPr>
          <w:lang w:val="fr-CH"/>
        </w:rPr>
        <w:t xml:space="preserve">es </w:t>
      </w:r>
      <w:r w:rsidR="00742183">
        <w:rPr>
          <w:lang w:val="fr-CH"/>
        </w:rPr>
        <w:t>infrastructure</w:t>
      </w:r>
      <w:r w:rsidR="003C438E">
        <w:rPr>
          <w:lang w:val="fr-CH"/>
        </w:rPr>
        <w:t>s</w:t>
      </w:r>
      <w:r w:rsidR="00742183">
        <w:rPr>
          <w:lang w:val="fr-CH"/>
        </w:rPr>
        <w:t xml:space="preserve"> nationale</w:t>
      </w:r>
      <w:r w:rsidR="003C438E">
        <w:rPr>
          <w:lang w:val="fr-CH"/>
        </w:rPr>
        <w:t>s</w:t>
      </w:r>
      <w:r w:rsidR="00742183">
        <w:rPr>
          <w:lang w:val="fr-CH"/>
        </w:rPr>
        <w:t xml:space="preserve"> essentielle</w:t>
      </w:r>
      <w:r w:rsidR="003C438E">
        <w:rPr>
          <w:lang w:val="fr-CH"/>
        </w:rPr>
        <w:t>s</w:t>
      </w:r>
      <w:r w:rsidRPr="00742183">
        <w:rPr>
          <w:rFonts w:asciiTheme="minorHAnsi" w:hAnsiTheme="minorHAnsi" w:cstheme="majorBidi"/>
          <w:bCs/>
          <w:szCs w:val="24"/>
          <w:lang w:val="fr-CH"/>
        </w:rPr>
        <w:t>.</w:t>
      </w:r>
    </w:p>
    <w:p w:rsidR="00731997" w:rsidRPr="00742183" w:rsidRDefault="00731997" w:rsidP="00742183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p)</w:t>
      </w:r>
      <w:r w:rsidRPr="00742183">
        <w:rPr>
          <w:rFonts w:asciiTheme="minorHAnsi" w:hAnsiTheme="minorHAnsi"/>
          <w:lang w:val="fr-CH"/>
        </w:rPr>
        <w:tab/>
      </w:r>
      <w:hyperlink r:id="rId25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CWG-WCIT12/INF-12</w:t>
        </w:r>
      </w:hyperlink>
      <w:r w:rsidRPr="00742183">
        <w:rPr>
          <w:rFonts w:asciiTheme="minorHAnsi" w:hAnsiTheme="minorHAnsi" w:cstheme="majorBidi"/>
          <w:bCs/>
          <w:szCs w:val="24"/>
          <w:lang w:val="fr-CH"/>
        </w:rPr>
        <w:t xml:space="preserve"> – </w:t>
      </w:r>
      <w:r w:rsidR="00742183">
        <w:rPr>
          <w:lang w:val="fr-CH"/>
        </w:rPr>
        <w:t>A</w:t>
      </w:r>
      <w:r w:rsidR="00742183" w:rsidRPr="00892243">
        <w:rPr>
          <w:lang w:val="fr-CH"/>
        </w:rPr>
        <w:t>perçu des travaux de l'UIT sur les questions de tarification et de comptabilité, y compris questions relatives à l'itinérance mobile internationale, à la connectivité Internet internationale et à la taxation</w:t>
      </w:r>
      <w:r w:rsidRPr="00742183">
        <w:rPr>
          <w:rFonts w:asciiTheme="minorHAnsi" w:hAnsiTheme="minorHAnsi" w:cstheme="majorBidi"/>
          <w:szCs w:val="24"/>
          <w:lang w:val="fr-CH"/>
        </w:rPr>
        <w:t>.</w:t>
      </w:r>
    </w:p>
    <w:p w:rsidR="00731997" w:rsidRPr="00742183" w:rsidRDefault="00731997" w:rsidP="00742183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t>q)</w:t>
      </w:r>
      <w:r w:rsidRPr="00742183">
        <w:rPr>
          <w:rFonts w:asciiTheme="minorHAnsi" w:hAnsiTheme="minorHAnsi"/>
          <w:lang w:val="fr-CH"/>
        </w:rPr>
        <w:tab/>
      </w:r>
      <w:hyperlink r:id="rId26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CWG-WCIT12/INF-13</w:t>
        </w:r>
      </w:hyperlink>
      <w:r w:rsidRPr="00742183">
        <w:rPr>
          <w:rFonts w:asciiTheme="minorHAnsi" w:hAnsiTheme="minorHAnsi" w:cstheme="majorBidi"/>
          <w:bCs/>
          <w:szCs w:val="24"/>
          <w:lang w:val="fr-CH"/>
        </w:rPr>
        <w:t> – </w:t>
      </w:r>
      <w:r w:rsidR="00742183">
        <w:rPr>
          <w:lang w:val="fr-CH"/>
        </w:rPr>
        <w:t>Interconnexion et interopérabilité</w:t>
      </w:r>
      <w:r w:rsidRPr="00742183">
        <w:rPr>
          <w:rFonts w:asciiTheme="minorHAnsi" w:hAnsiTheme="minorHAnsi" w:cstheme="majorBidi"/>
          <w:bCs/>
          <w:szCs w:val="24"/>
          <w:lang w:val="fr-CH"/>
        </w:rPr>
        <w:t>.</w:t>
      </w:r>
    </w:p>
    <w:p w:rsidR="00731997" w:rsidRPr="00742183" w:rsidRDefault="00731997" w:rsidP="003C438E">
      <w:pPr>
        <w:pStyle w:val="enumlev2"/>
        <w:rPr>
          <w:rFonts w:asciiTheme="minorHAnsi" w:hAnsiTheme="minorHAnsi" w:cstheme="majorBidi"/>
          <w:szCs w:val="24"/>
          <w:lang w:val="fr-CH"/>
        </w:rPr>
      </w:pPr>
      <w:r w:rsidRPr="00742183">
        <w:rPr>
          <w:rFonts w:asciiTheme="minorHAnsi" w:hAnsiTheme="minorHAnsi"/>
          <w:lang w:val="fr-CH"/>
        </w:rPr>
        <w:lastRenderedPageBreak/>
        <w:t>r)</w:t>
      </w:r>
      <w:r w:rsidRPr="00742183">
        <w:rPr>
          <w:rFonts w:asciiTheme="minorHAnsi" w:hAnsiTheme="minorHAnsi"/>
          <w:lang w:val="fr-CH"/>
        </w:rPr>
        <w:tab/>
      </w:r>
      <w:hyperlink r:id="rId27" w:history="1">
        <w:r w:rsidRPr="00742183">
          <w:rPr>
            <w:rStyle w:val="Hyperlink"/>
            <w:rFonts w:asciiTheme="minorHAnsi" w:hAnsiTheme="minorHAnsi" w:cstheme="majorBidi"/>
            <w:szCs w:val="24"/>
            <w:lang w:val="fr-CH"/>
          </w:rPr>
          <w:t>CWG-WCIT12/INF–15</w:t>
        </w:r>
      </w:hyperlink>
      <w:r w:rsidRPr="00742183">
        <w:rPr>
          <w:rFonts w:asciiTheme="minorHAnsi" w:hAnsiTheme="minorHAnsi" w:cstheme="majorBidi"/>
          <w:szCs w:val="24"/>
          <w:lang w:val="fr-CH"/>
        </w:rPr>
        <w:t> – </w:t>
      </w:r>
      <w:r w:rsidR="003C438E">
        <w:rPr>
          <w:lang w:val="fr-CH"/>
        </w:rPr>
        <w:t xml:space="preserve">Compte </w:t>
      </w:r>
      <w:r w:rsidR="00742183">
        <w:rPr>
          <w:lang w:val="fr-CH"/>
        </w:rPr>
        <w:t xml:space="preserve">rendu de l'atelier UIT sur l'identification de l'origine </w:t>
      </w:r>
      <w:r w:rsidR="003C438E">
        <w:rPr>
          <w:lang w:val="fr-CH"/>
        </w:rPr>
        <w:t xml:space="preserve">et </w:t>
      </w:r>
      <w:r w:rsidR="00742183">
        <w:rPr>
          <w:lang w:val="fr-CH"/>
        </w:rPr>
        <w:t xml:space="preserve">les procédures </w:t>
      </w:r>
      <w:r w:rsidR="003C438E">
        <w:rPr>
          <w:lang w:val="fr-CH"/>
        </w:rPr>
        <w:t>d'appel alternatives</w:t>
      </w:r>
      <w:r w:rsidRPr="00742183">
        <w:rPr>
          <w:rFonts w:asciiTheme="minorHAnsi" w:hAnsiTheme="minorHAnsi" w:cstheme="majorBidi"/>
          <w:szCs w:val="24"/>
          <w:lang w:val="fr-CH"/>
        </w:rPr>
        <w:t>.</w:t>
      </w:r>
    </w:p>
    <w:p w:rsidR="00731997" w:rsidRDefault="00731997" w:rsidP="003C438E">
      <w:pPr>
        <w:pStyle w:val="enumlev1"/>
        <w:rPr>
          <w:lang w:val="fr-CH"/>
        </w:rPr>
      </w:pPr>
      <w:r w:rsidRPr="00742183">
        <w:rPr>
          <w:lang w:val="fr-CH"/>
        </w:rPr>
        <w:t>3)</w:t>
      </w:r>
      <w:r w:rsidRPr="00742183">
        <w:rPr>
          <w:lang w:val="fr-CH"/>
        </w:rPr>
        <w:tab/>
      </w:r>
      <w:r w:rsidR="00742183">
        <w:rPr>
          <w:lang w:val="fr-CH"/>
        </w:rPr>
        <w:t xml:space="preserve">Sur la base du travail accompli et des contributions soumises par les </w:t>
      </w:r>
      <w:proofErr w:type="spellStart"/>
      <w:r w:rsidR="0018693B">
        <w:rPr>
          <w:lang w:val="fr-CH"/>
        </w:rPr>
        <w:t>E</w:t>
      </w:r>
      <w:r w:rsidR="00742183">
        <w:rPr>
          <w:lang w:val="fr-CH"/>
        </w:rPr>
        <w:t>tats</w:t>
      </w:r>
      <w:proofErr w:type="spellEnd"/>
      <w:r w:rsidR="00742183">
        <w:rPr>
          <w:lang w:val="fr-CH"/>
        </w:rPr>
        <w:t xml:space="preserve"> Membres au Groupe EG</w:t>
      </w:r>
      <w:r w:rsidR="0018693B">
        <w:rPr>
          <w:lang w:val="fr-CH"/>
        </w:rPr>
        <w:noBreakHyphen/>
      </w:r>
      <w:r w:rsidR="00742183">
        <w:rPr>
          <w:lang w:val="fr-CH"/>
        </w:rPr>
        <w:t xml:space="preserve">RTI, rédiger des textes </w:t>
      </w:r>
      <w:r w:rsidR="003C438E">
        <w:rPr>
          <w:lang w:val="fr-CH"/>
        </w:rPr>
        <w:t>sur</w:t>
      </w:r>
      <w:r w:rsidR="00742183">
        <w:rPr>
          <w:lang w:val="fr-CH"/>
        </w:rPr>
        <w:t xml:space="preserve"> des questions relatives à la mise en œuvre du droit pour résoudre des problèmes découlant de l'adhésion des </w:t>
      </w:r>
      <w:proofErr w:type="spellStart"/>
      <w:r w:rsidR="0018693B">
        <w:rPr>
          <w:lang w:val="fr-CH"/>
        </w:rPr>
        <w:t>E</w:t>
      </w:r>
      <w:r w:rsidR="00742183">
        <w:rPr>
          <w:lang w:val="fr-CH"/>
        </w:rPr>
        <w:t>tats</w:t>
      </w:r>
      <w:proofErr w:type="spellEnd"/>
      <w:r w:rsidR="00742183">
        <w:rPr>
          <w:lang w:val="fr-CH"/>
        </w:rPr>
        <w:t xml:space="preserve"> Membres au RTI de 2012</w:t>
      </w:r>
      <w:r w:rsidRPr="00742183">
        <w:rPr>
          <w:lang w:val="fr-CH"/>
        </w:rPr>
        <w:t>.</w:t>
      </w:r>
    </w:p>
    <w:p w:rsidR="00742183" w:rsidRPr="00742183" w:rsidRDefault="00742183" w:rsidP="003C438E">
      <w:pPr>
        <w:pStyle w:val="enumlev1"/>
        <w:rPr>
          <w:lang w:val="fr-CH"/>
        </w:rPr>
      </w:pPr>
      <w:r>
        <w:rPr>
          <w:lang w:val="fr-CH"/>
        </w:rPr>
        <w:t>4)</w:t>
      </w:r>
      <w:r>
        <w:rPr>
          <w:lang w:val="fr-CH"/>
        </w:rPr>
        <w:tab/>
        <w:t xml:space="preserve">Regrouper tous les </w:t>
      </w:r>
      <w:r w:rsidR="003C438E">
        <w:rPr>
          <w:lang w:val="fr-CH"/>
        </w:rPr>
        <w:t>textes</w:t>
      </w:r>
      <w:r>
        <w:rPr>
          <w:lang w:val="fr-CH"/>
        </w:rPr>
        <w:t xml:space="preserve"> reçus pour examen par le Groupe EG</w:t>
      </w:r>
      <w:r w:rsidR="0018693B">
        <w:rPr>
          <w:lang w:val="fr-CH"/>
        </w:rPr>
        <w:noBreakHyphen/>
      </w:r>
      <w:r>
        <w:rPr>
          <w:lang w:val="fr-CH"/>
        </w:rPr>
        <w:t>RTI pendant la période 2017</w:t>
      </w:r>
      <w:r w:rsidR="0018693B">
        <w:rPr>
          <w:lang w:val="fr-CH"/>
        </w:rPr>
        <w:noBreakHyphen/>
      </w:r>
      <w:r>
        <w:rPr>
          <w:lang w:val="fr-CH"/>
        </w:rPr>
        <w:t xml:space="preserve">2018, comme indiqué dans les points ci-dessus, y compris </w:t>
      </w:r>
      <w:r w:rsidR="003C438E">
        <w:rPr>
          <w:lang w:val="fr-CH"/>
        </w:rPr>
        <w:t xml:space="preserve">ceux </w:t>
      </w:r>
      <w:r>
        <w:rPr>
          <w:lang w:val="fr-CH"/>
        </w:rPr>
        <w:t xml:space="preserve">contenus dans les contributions des </w:t>
      </w:r>
      <w:proofErr w:type="spellStart"/>
      <w:r w:rsidR="0018693B">
        <w:rPr>
          <w:lang w:val="fr-CH"/>
        </w:rPr>
        <w:t>E</w:t>
      </w:r>
      <w:r>
        <w:rPr>
          <w:lang w:val="fr-CH"/>
        </w:rPr>
        <w:t>tats</w:t>
      </w:r>
      <w:proofErr w:type="spellEnd"/>
      <w:r>
        <w:rPr>
          <w:lang w:val="fr-CH"/>
        </w:rPr>
        <w:t xml:space="preserve"> Membres et Membres de Secteur, dans un document unique pouvant être utilisé </w:t>
      </w:r>
      <w:r w:rsidR="003C438E">
        <w:rPr>
          <w:lang w:val="fr-CH"/>
        </w:rPr>
        <w:t>pour</w:t>
      </w:r>
      <w:r>
        <w:rPr>
          <w:lang w:val="fr-CH"/>
        </w:rPr>
        <w:t xml:space="preserve"> l'élaboration d'un rapport final soumis par le Groupe EG</w:t>
      </w:r>
      <w:r w:rsidR="0018693B">
        <w:rPr>
          <w:lang w:val="fr-CH"/>
        </w:rPr>
        <w:noBreakHyphen/>
      </w:r>
      <w:r>
        <w:rPr>
          <w:lang w:val="fr-CH"/>
        </w:rPr>
        <w:t>RTI au Conseil à sa session de 2018.</w:t>
      </w:r>
    </w:p>
    <w:p w:rsidR="00C810F9" w:rsidRDefault="00C810F9" w:rsidP="00C810F9">
      <w:pPr>
        <w:rPr>
          <w:lang w:val="fr-CH"/>
        </w:rPr>
      </w:pPr>
    </w:p>
    <w:p w:rsidR="003C438E" w:rsidRPr="001D4C30" w:rsidRDefault="003C438E" w:rsidP="00C810F9">
      <w:pPr>
        <w:rPr>
          <w:lang w:val="fr-CH"/>
        </w:rPr>
      </w:pPr>
    </w:p>
    <w:p w:rsidR="00A16166" w:rsidRPr="0005571D" w:rsidRDefault="00A16166" w:rsidP="00A16166">
      <w:pPr>
        <w:jc w:val="center"/>
      </w:pPr>
      <w:r w:rsidRPr="0005571D">
        <w:t>______________</w:t>
      </w:r>
    </w:p>
    <w:sectPr w:rsidR="00A16166" w:rsidRPr="0005571D" w:rsidSect="005C3890">
      <w:headerReference w:type="even" r:id="rId28"/>
      <w:headerReference w:type="default" r:id="rId29"/>
      <w:footerReference w:type="even" r:id="rId30"/>
      <w:footerReference w:type="default" r:id="rId31"/>
      <w:footerReference w:type="first" r:id="rId3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D57" w:rsidRDefault="006F3D57">
      <w:r>
        <w:separator/>
      </w:r>
    </w:p>
  </w:endnote>
  <w:endnote w:type="continuationSeparator" w:id="0">
    <w:p w:rsidR="006F3D57" w:rsidRDefault="006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B42C0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50CE4">
      <w:t>P:\FRA\SG\CONSEIL\EG-ITR-1\000\007F.docx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01.02.17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50CE4">
      <w:t>01.02.17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18693B" w:rsidRDefault="00B42C0A" w:rsidP="0018693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50CE4">
      <w:t>P:\FRA\SG\CONSEIL\EG-ITR-1\000\007F.docx</w:t>
    </w:r>
    <w:r>
      <w:fldChar w:fldCharType="end"/>
    </w:r>
    <w:r w:rsidR="0018693B">
      <w:t xml:space="preserve"> (411804)</w:t>
    </w:r>
    <w:r w:rsidR="0018693B">
      <w:tab/>
    </w:r>
    <w:r w:rsidR="0018693B">
      <w:fldChar w:fldCharType="begin"/>
    </w:r>
    <w:r w:rsidR="0018693B">
      <w:instrText xml:space="preserve"> savedate \@ dd.MM.yy </w:instrText>
    </w:r>
    <w:r w:rsidR="0018693B">
      <w:fldChar w:fldCharType="separate"/>
    </w:r>
    <w:r>
      <w:t>01.02.17</w:t>
    </w:r>
    <w:r w:rsidR="0018693B">
      <w:fldChar w:fldCharType="end"/>
    </w:r>
    <w:r w:rsidR="0018693B">
      <w:tab/>
    </w:r>
    <w:r w:rsidR="0018693B">
      <w:fldChar w:fldCharType="begin"/>
    </w:r>
    <w:r w:rsidR="0018693B">
      <w:instrText xml:space="preserve"> printdate \@ dd.MM.yy </w:instrText>
    </w:r>
    <w:r w:rsidR="0018693B">
      <w:fldChar w:fldCharType="separate"/>
    </w:r>
    <w:r w:rsidR="00F50CE4">
      <w:t>01.02.17</w:t>
    </w:r>
    <w:r w:rsidR="0018693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B42C0A" w:rsidP="0018693B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F50CE4">
      <w:t>P:\FRA\SG\CONSEIL\EG-ITR-1\000\007F.docx</w:t>
    </w:r>
    <w:r>
      <w:fldChar w:fldCharType="end"/>
    </w:r>
    <w:r w:rsidR="00A16166">
      <w:t xml:space="preserve"> (411</w:t>
    </w:r>
    <w:r w:rsidR="0018693B">
      <w:t>804</w:t>
    </w:r>
    <w:r w:rsidR="00A16166">
      <w:t>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01.02.17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F50CE4">
      <w:t>01.02.17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D57" w:rsidRDefault="006F3D57">
      <w:r>
        <w:t>____________________</w:t>
      </w:r>
    </w:p>
  </w:footnote>
  <w:footnote w:type="continuationSeparator" w:id="0">
    <w:p w:rsidR="006F3D57" w:rsidRDefault="006F3D57">
      <w:r>
        <w:continuationSeparator/>
      </w:r>
    </w:p>
  </w:footnote>
  <w:footnote w:id="1">
    <w:p w:rsidR="00731997" w:rsidRPr="00E01C7A" w:rsidRDefault="00731997" w:rsidP="0073199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 w:rsidR="008740D5">
        <w:tab/>
      </w:r>
      <w:r w:rsidRPr="00E01C7A">
        <w:t xml:space="preserve">Par pays en développement, on entend aussi les pays les moins avancés, les petits </w:t>
      </w:r>
      <w:proofErr w:type="spellStart"/>
      <w:r w:rsidRPr="00E01C7A">
        <w:t>Etats</w:t>
      </w:r>
      <w:proofErr w:type="spellEnd"/>
      <w:r w:rsidRPr="00E01C7A">
        <w:t xml:space="preserve"> insulaires en développement, les pays en développement sans littoral et les pays dont l'économie est en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42C0A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7"/>
    <w:rsid w:val="0005571D"/>
    <w:rsid w:val="00067113"/>
    <w:rsid w:val="000D0D0A"/>
    <w:rsid w:val="00103163"/>
    <w:rsid w:val="00115D93"/>
    <w:rsid w:val="001247A8"/>
    <w:rsid w:val="001378C0"/>
    <w:rsid w:val="00144281"/>
    <w:rsid w:val="0018693B"/>
    <w:rsid w:val="0018694A"/>
    <w:rsid w:val="001A3287"/>
    <w:rsid w:val="001D4C30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55FF5"/>
    <w:rsid w:val="00361350"/>
    <w:rsid w:val="003C438E"/>
    <w:rsid w:val="004038CB"/>
    <w:rsid w:val="0040546F"/>
    <w:rsid w:val="0042404A"/>
    <w:rsid w:val="0044618F"/>
    <w:rsid w:val="0046769A"/>
    <w:rsid w:val="00475FB3"/>
    <w:rsid w:val="004C37A9"/>
    <w:rsid w:val="004F259E"/>
    <w:rsid w:val="00511F1D"/>
    <w:rsid w:val="00540615"/>
    <w:rsid w:val="00540A6D"/>
    <w:rsid w:val="00571EEA"/>
    <w:rsid w:val="005741E9"/>
    <w:rsid w:val="00575417"/>
    <w:rsid w:val="005768E1"/>
    <w:rsid w:val="005C3890"/>
    <w:rsid w:val="005F7BFE"/>
    <w:rsid w:val="00600017"/>
    <w:rsid w:val="006235CA"/>
    <w:rsid w:val="006643AB"/>
    <w:rsid w:val="006F3D57"/>
    <w:rsid w:val="006F4FEA"/>
    <w:rsid w:val="007210CD"/>
    <w:rsid w:val="00731997"/>
    <w:rsid w:val="00732045"/>
    <w:rsid w:val="007369DB"/>
    <w:rsid w:val="00742183"/>
    <w:rsid w:val="007956C2"/>
    <w:rsid w:val="007A187E"/>
    <w:rsid w:val="007C72C2"/>
    <w:rsid w:val="007D4436"/>
    <w:rsid w:val="007F257A"/>
    <w:rsid w:val="007F3665"/>
    <w:rsid w:val="00800037"/>
    <w:rsid w:val="00861D73"/>
    <w:rsid w:val="008740D5"/>
    <w:rsid w:val="008A4E87"/>
    <w:rsid w:val="008D596C"/>
    <w:rsid w:val="008D76E6"/>
    <w:rsid w:val="0092392D"/>
    <w:rsid w:val="0093234A"/>
    <w:rsid w:val="00996DED"/>
    <w:rsid w:val="009C307F"/>
    <w:rsid w:val="00A00D7A"/>
    <w:rsid w:val="00A16166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42C0A"/>
    <w:rsid w:val="00B61619"/>
    <w:rsid w:val="00BB4545"/>
    <w:rsid w:val="00BD23FD"/>
    <w:rsid w:val="00BD5873"/>
    <w:rsid w:val="00C04BE3"/>
    <w:rsid w:val="00C10823"/>
    <w:rsid w:val="00C25D29"/>
    <w:rsid w:val="00C27A7C"/>
    <w:rsid w:val="00C810F9"/>
    <w:rsid w:val="00CA08ED"/>
    <w:rsid w:val="00CE0E7F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04D8D"/>
    <w:rsid w:val="00F15B57"/>
    <w:rsid w:val="00F427DB"/>
    <w:rsid w:val="00F50CE4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9D5342A8-F7D3-449F-B655-33EEC57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uiPriority w:val="99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F3D5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10F9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T09-ITR.EG-090602-TD-PLEN-0030/en" TargetMode="External"/><Relationship Id="rId18" Type="http://schemas.openxmlformats.org/officeDocument/2006/relationships/hyperlink" Target="http://www.itu.int/md/T09-CWG.WCIT12-INF-0005/en" TargetMode="External"/><Relationship Id="rId26" Type="http://schemas.openxmlformats.org/officeDocument/2006/relationships/hyperlink" Target="http://www.itu.int/md/T09-CWG.WCIT12-INF-0013/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tu.int/md/T09-CWG.WCIT12-INF-0008/e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tu.int/pub/S-CONF-WCIT-2012/fr" TargetMode="External"/><Relationship Id="rId12" Type="http://schemas.openxmlformats.org/officeDocument/2006/relationships/hyperlink" Target="http://www.itu.int/md/T09-CWG.WCIT12-100412-TD-PLEN-0016/en" TargetMode="External"/><Relationship Id="rId17" Type="http://schemas.openxmlformats.org/officeDocument/2006/relationships/hyperlink" Target="http://www.itu.int/md/T09-CWG.WCIT12-INF-0004/en" TargetMode="External"/><Relationship Id="rId25" Type="http://schemas.openxmlformats.org/officeDocument/2006/relationships/hyperlink" Target="http://www.itu.int/md/T09-CWG.WCIT12-INF-0012/e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tu.int/md/T09-CWG.WCIT12-INF-0003/en" TargetMode="External"/><Relationship Id="rId20" Type="http://schemas.openxmlformats.org/officeDocument/2006/relationships/hyperlink" Target="http://www.itu.int/md/T09-CWG.WCIT12-INF-0007/en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tu.int/md/T09-CWG.WCIT12-100125-TD-PLEN-0005/en" TargetMode="External"/><Relationship Id="rId24" Type="http://schemas.openxmlformats.org/officeDocument/2006/relationships/hyperlink" Target="http://www.itu.int/md/T09-CWG.WCIT12-INF-0011/en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://www.itu.int/md/T09-CWG.WCIT12-INF-0002/en" TargetMode="External"/><Relationship Id="rId23" Type="http://schemas.openxmlformats.org/officeDocument/2006/relationships/hyperlink" Target="http://www.itu.int/md/T09-CWG.WCIT12-INF-0010/en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tu.int/md/T09-CWG.WCIT12-100125-TD-PLEN-0004/en" TargetMode="External"/><Relationship Id="rId19" Type="http://schemas.openxmlformats.org/officeDocument/2006/relationships/hyperlink" Target="http://www.itu.int/md/T09-CWG.WCIT12-INF-0006/en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itu.int/fr/council/2016/Pages/default.aspx" TargetMode="External"/><Relationship Id="rId14" Type="http://schemas.openxmlformats.org/officeDocument/2006/relationships/hyperlink" Target="http://www.itu.int/md/T09-CWG.WCIT12-INF-0001/en" TargetMode="External"/><Relationship Id="rId22" Type="http://schemas.openxmlformats.org/officeDocument/2006/relationships/hyperlink" Target="http://www.itu.int/md/T09-CWG.WCIT12-INF-0009/en" TargetMode="External"/><Relationship Id="rId27" Type="http://schemas.openxmlformats.org/officeDocument/2006/relationships/hyperlink" Target="http://www.itu.int/md/T09-CWG.WCIT12-INF-0015/en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itu.int/fr/plenipotentiary/2014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50</TotalTime>
  <Pages>4</Pages>
  <Words>1349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DU GROUPE D'EXPERTS SUR LE RÈGLEMENT DES TÉLÉCOMMUNICATIONS INTERNATIONALES (EG-RTI)</vt:lpstr>
    </vt:vector>
  </TitlesOfParts>
  <Manager>Secrétariat général - Pool</Manager>
  <Company>Union internationale des télécommunications (UIT)</Company>
  <LinksUpToDate>false</LinksUpToDate>
  <CharactersWithSpaces>10575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DU GROUPE D'EXPERTS SUR LE RÈGLEMENT DES TÉLÉCOMMUNICATIONS INTERNATIONALES (EG-RTI)</dc:title>
  <dc:subject>Conseil 2010</dc:subject>
  <dc:creator>Contribution de la Jordanie, de l'Arabie saoudite et des Emirats arabes unis</dc:creator>
  <cp:keywords>C2010, C10</cp:keywords>
  <dc:description>Document EG-ITRs 1/4-F  Pour: _x000d_Date du document: 25 janvier 2017_x000d_Enregistré par ITU51009313 à 09:41:06 le 27/01/2017</dc:description>
  <cp:lastModifiedBy>Saxod, Nathalie</cp:lastModifiedBy>
  <cp:revision>7</cp:revision>
  <cp:lastPrinted>2017-02-01T14:55:00Z</cp:lastPrinted>
  <dcterms:created xsi:type="dcterms:W3CDTF">2017-02-01T13:59:00Z</dcterms:created>
  <dcterms:modified xsi:type="dcterms:W3CDTF">2017-02-02T07:53:00Z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EG-ITRs 1/4-F</vt:lpwstr>
  </property>
  <property fmtid="{D5CDD505-2E9C-101B-9397-08002B2CF9AE}" pid="3" name="Docdate">
    <vt:lpwstr>25 janvier 2017</vt:lpwstr>
  </property>
  <property fmtid="{D5CDD505-2E9C-101B-9397-08002B2CF9AE}" pid="4" name="Docorlang">
    <vt:lpwstr>Original: arabe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Contribution de la Jordanie, de l'Arabie saoudite et des Emirats arabes unis</vt:lpwstr>
  </property>
</Properties>
</file>