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7428B">
        <w:trPr>
          <w:cantSplit/>
        </w:trPr>
        <w:tc>
          <w:tcPr>
            <w:tcW w:w="6911" w:type="dxa"/>
          </w:tcPr>
          <w:p w:rsidR="00700D1F" w:rsidRPr="0097428B" w:rsidRDefault="0097428B" w:rsidP="00B75ADB">
            <w:pPr>
              <w:spacing w:before="360"/>
              <w:rPr>
                <w:rFonts w:cs="Calibri"/>
                <w:b/>
                <w:bCs/>
                <w:sz w:val="28"/>
                <w:szCs w:val="28"/>
                <w:lang w:eastAsia="zh-CN"/>
              </w:rPr>
            </w:pPr>
            <w:r w:rsidRPr="0097428B">
              <w:rPr>
                <w:rFonts w:hint="eastAsia"/>
                <w:b/>
                <w:bCs/>
                <w:sz w:val="28"/>
                <w:szCs w:val="28"/>
                <w:lang w:eastAsia="zh-CN"/>
              </w:rPr>
              <w:t>《国际</w:t>
            </w:r>
            <w:r w:rsidRPr="0097428B">
              <w:rPr>
                <w:b/>
                <w:bCs/>
                <w:sz w:val="28"/>
                <w:szCs w:val="28"/>
                <w:lang w:eastAsia="zh-CN"/>
              </w:rPr>
              <w:t>电信规则</w:t>
            </w:r>
            <w:r w:rsidRPr="0097428B">
              <w:rPr>
                <w:rFonts w:hint="eastAsia"/>
                <w:b/>
                <w:bCs/>
                <w:sz w:val="28"/>
                <w:szCs w:val="28"/>
                <w:lang w:eastAsia="zh-CN"/>
              </w:rPr>
              <w:t>》</w:t>
            </w:r>
            <w:r w:rsidRPr="0097428B">
              <w:rPr>
                <w:b/>
                <w:bCs/>
                <w:sz w:val="28"/>
                <w:szCs w:val="28"/>
                <w:lang w:eastAsia="zh-CN"/>
              </w:rPr>
              <w:t>专家组（</w:t>
            </w:r>
            <w:r w:rsidRPr="0097428B">
              <w:rPr>
                <w:rFonts w:hint="eastAsia"/>
                <w:b/>
                <w:bCs/>
                <w:sz w:val="28"/>
                <w:szCs w:val="28"/>
                <w:lang w:eastAsia="zh-CN"/>
              </w:rPr>
              <w:t>EG</w:t>
            </w:r>
            <w:r w:rsidR="004B22F7">
              <w:rPr>
                <w:b/>
                <w:bCs/>
                <w:sz w:val="28"/>
                <w:szCs w:val="28"/>
                <w:lang w:eastAsia="zh-CN"/>
              </w:rPr>
              <w:t>-ITR</w:t>
            </w:r>
            <w:r w:rsidRPr="0097428B">
              <w:rPr>
                <w:b/>
                <w:bCs/>
                <w:sz w:val="28"/>
                <w:szCs w:val="28"/>
                <w:lang w:eastAsia="zh-CN"/>
              </w:rPr>
              <w:t>）</w:t>
            </w:r>
          </w:p>
        </w:tc>
        <w:tc>
          <w:tcPr>
            <w:tcW w:w="3120" w:type="dxa"/>
          </w:tcPr>
          <w:p w:rsidR="00700D1F" w:rsidRPr="0097428B" w:rsidRDefault="00403EB7" w:rsidP="00B75ADB">
            <w:pPr>
              <w:spacing w:before="0"/>
            </w:pPr>
            <w:bookmarkStart w:id="0" w:name="ditulogo"/>
            <w:bookmarkEnd w:id="0"/>
            <w:r w:rsidRPr="0097428B">
              <w:rPr>
                <w:b/>
                <w:bCs/>
                <w:noProof/>
                <w:lang w:val="en-US" w:eastAsia="zh-CN"/>
              </w:rPr>
              <w:drawing>
                <wp:inline distT="0" distB="0" distL="0" distR="0" wp14:anchorId="106DCC82" wp14:editId="5F4B4F45">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700D1F" w:rsidRPr="0097428B">
        <w:trPr>
          <w:cantSplit/>
        </w:trPr>
        <w:tc>
          <w:tcPr>
            <w:tcW w:w="6911" w:type="dxa"/>
            <w:tcBorders>
              <w:bottom w:val="single" w:sz="12" w:space="0" w:color="auto"/>
            </w:tcBorders>
          </w:tcPr>
          <w:p w:rsidR="00700D1F" w:rsidRPr="00445FE4" w:rsidRDefault="00655BA6" w:rsidP="00B75ADB">
            <w:pPr>
              <w:rPr>
                <w:rFonts w:cs="Calibri"/>
                <w:b/>
                <w:bCs/>
                <w:sz w:val="22"/>
                <w:szCs w:val="22"/>
                <w:lang w:eastAsia="zh-CN"/>
              </w:rPr>
            </w:pPr>
            <w:r w:rsidRPr="00445FE4">
              <w:rPr>
                <w:rFonts w:hint="eastAsia"/>
                <w:b/>
                <w:bCs/>
                <w:lang w:eastAsia="zh-CN"/>
              </w:rPr>
              <w:t>第</w:t>
            </w:r>
            <w:r w:rsidR="0097428B" w:rsidRPr="00445FE4">
              <w:rPr>
                <w:rFonts w:hint="eastAsia"/>
                <w:b/>
                <w:bCs/>
                <w:lang w:eastAsia="zh-CN"/>
              </w:rPr>
              <w:t>一</w:t>
            </w:r>
            <w:r w:rsidRPr="00445FE4">
              <w:rPr>
                <w:rFonts w:hint="eastAsia"/>
                <w:b/>
                <w:bCs/>
                <w:lang w:eastAsia="zh-CN"/>
              </w:rPr>
              <w:t>次会议</w:t>
            </w:r>
            <w:r w:rsidR="00445FE4" w:rsidRPr="00445FE4">
              <w:rPr>
                <w:rFonts w:hint="eastAsia"/>
                <w:b/>
                <w:bCs/>
                <w:lang w:eastAsia="zh-CN"/>
              </w:rPr>
              <w:t xml:space="preserve"> </w:t>
            </w:r>
            <w:r w:rsidRPr="00445FE4">
              <w:rPr>
                <w:b/>
                <w:bCs/>
                <w:lang w:eastAsia="zh-CN"/>
              </w:rPr>
              <w:t>–</w:t>
            </w:r>
            <w:r w:rsidR="00445FE4" w:rsidRPr="00445FE4">
              <w:rPr>
                <w:b/>
                <w:bCs/>
                <w:lang w:eastAsia="zh-CN"/>
              </w:rPr>
              <w:t xml:space="preserve"> </w:t>
            </w:r>
            <w:r w:rsidRPr="00445FE4">
              <w:rPr>
                <w:b/>
                <w:bCs/>
                <w:lang w:eastAsia="zh-CN"/>
              </w:rPr>
              <w:t>201</w:t>
            </w:r>
            <w:r w:rsidR="0097428B" w:rsidRPr="00445FE4">
              <w:rPr>
                <w:b/>
                <w:bCs/>
                <w:lang w:eastAsia="zh-CN"/>
              </w:rPr>
              <w:t>7</w:t>
            </w:r>
            <w:r w:rsidRPr="00445FE4">
              <w:rPr>
                <w:rFonts w:hint="eastAsia"/>
                <w:b/>
                <w:bCs/>
                <w:lang w:eastAsia="zh-CN"/>
              </w:rPr>
              <w:t>年</w:t>
            </w:r>
            <w:r w:rsidR="0097428B" w:rsidRPr="00445FE4">
              <w:rPr>
                <w:b/>
                <w:bCs/>
                <w:lang w:eastAsia="zh-CN"/>
              </w:rPr>
              <w:t>2</w:t>
            </w:r>
            <w:r w:rsidRPr="00445FE4">
              <w:rPr>
                <w:rFonts w:hint="eastAsia"/>
                <w:b/>
                <w:bCs/>
                <w:lang w:eastAsia="zh-CN"/>
              </w:rPr>
              <w:t>月</w:t>
            </w:r>
            <w:r w:rsidR="0097428B" w:rsidRPr="00445FE4">
              <w:rPr>
                <w:b/>
                <w:bCs/>
                <w:lang w:eastAsia="zh-CN"/>
              </w:rPr>
              <w:t>9</w:t>
            </w:r>
            <w:r w:rsidRPr="00445FE4">
              <w:rPr>
                <w:b/>
                <w:bCs/>
                <w:lang w:eastAsia="zh-CN"/>
              </w:rPr>
              <w:t>-</w:t>
            </w:r>
            <w:r w:rsidR="0097428B" w:rsidRPr="00445FE4">
              <w:rPr>
                <w:b/>
                <w:bCs/>
                <w:lang w:eastAsia="zh-CN"/>
              </w:rPr>
              <w:t>10</w:t>
            </w:r>
            <w:r w:rsidRPr="00445FE4">
              <w:rPr>
                <w:rFonts w:hint="eastAsia"/>
                <w:b/>
                <w:bCs/>
                <w:lang w:eastAsia="zh-CN"/>
              </w:rPr>
              <w:t>日</w:t>
            </w:r>
            <w:r w:rsidR="0097428B" w:rsidRPr="00445FE4">
              <w:rPr>
                <w:rFonts w:hint="eastAsia"/>
                <w:b/>
                <w:bCs/>
                <w:lang w:eastAsia="zh-CN"/>
              </w:rPr>
              <w:t>，</w:t>
            </w:r>
            <w:r w:rsidRPr="00445FE4">
              <w:rPr>
                <w:rFonts w:hint="eastAsia"/>
                <w:b/>
                <w:bCs/>
                <w:lang w:eastAsia="zh-CN"/>
              </w:rPr>
              <w:t>日内瓦</w:t>
            </w:r>
          </w:p>
        </w:tc>
        <w:tc>
          <w:tcPr>
            <w:tcW w:w="3120" w:type="dxa"/>
            <w:tcBorders>
              <w:bottom w:val="single" w:sz="12" w:space="0" w:color="auto"/>
            </w:tcBorders>
          </w:tcPr>
          <w:p w:rsidR="00700D1F" w:rsidRPr="0097428B" w:rsidRDefault="00700D1F" w:rsidP="00B75ADB">
            <w:pPr>
              <w:spacing w:before="0"/>
              <w:rPr>
                <w:szCs w:val="24"/>
                <w:lang w:eastAsia="zh-CN"/>
              </w:rPr>
            </w:pPr>
          </w:p>
        </w:tc>
      </w:tr>
      <w:tr w:rsidR="00700D1F" w:rsidRPr="0097428B">
        <w:trPr>
          <w:cantSplit/>
        </w:trPr>
        <w:tc>
          <w:tcPr>
            <w:tcW w:w="6911" w:type="dxa"/>
            <w:tcBorders>
              <w:top w:val="single" w:sz="12" w:space="0" w:color="auto"/>
            </w:tcBorders>
          </w:tcPr>
          <w:p w:rsidR="00700D1F" w:rsidRPr="0097428B" w:rsidRDefault="00700D1F" w:rsidP="00B75ADB">
            <w:pPr>
              <w:spacing w:before="0" w:after="48"/>
              <w:rPr>
                <w:b/>
                <w:smallCaps/>
                <w:szCs w:val="24"/>
                <w:lang w:eastAsia="zh-CN"/>
              </w:rPr>
            </w:pPr>
          </w:p>
        </w:tc>
        <w:tc>
          <w:tcPr>
            <w:tcW w:w="3120" w:type="dxa"/>
            <w:tcBorders>
              <w:top w:val="single" w:sz="12" w:space="0" w:color="auto"/>
            </w:tcBorders>
          </w:tcPr>
          <w:p w:rsidR="00700D1F" w:rsidRPr="0097428B" w:rsidRDefault="00700D1F" w:rsidP="00B75ADB">
            <w:pPr>
              <w:spacing w:before="0"/>
              <w:rPr>
                <w:szCs w:val="24"/>
                <w:lang w:eastAsia="zh-CN"/>
              </w:rPr>
            </w:pPr>
          </w:p>
        </w:tc>
      </w:tr>
      <w:tr w:rsidR="00700D1F" w:rsidRPr="0097428B">
        <w:trPr>
          <w:cantSplit/>
          <w:trHeight w:val="23"/>
        </w:trPr>
        <w:tc>
          <w:tcPr>
            <w:tcW w:w="6911" w:type="dxa"/>
            <w:vMerge w:val="restart"/>
          </w:tcPr>
          <w:p w:rsidR="00700D1F" w:rsidRPr="0097428B" w:rsidRDefault="00700D1F" w:rsidP="00B75ADB">
            <w:pPr>
              <w:tabs>
                <w:tab w:val="left" w:pos="851"/>
              </w:tabs>
              <w:rPr>
                <w:b/>
                <w:lang w:eastAsia="zh-CN"/>
              </w:rPr>
            </w:pPr>
            <w:bookmarkStart w:id="1" w:name="dmeeting" w:colFirst="0" w:colLast="0"/>
          </w:p>
        </w:tc>
        <w:tc>
          <w:tcPr>
            <w:tcW w:w="3120" w:type="dxa"/>
          </w:tcPr>
          <w:p w:rsidR="00700D1F" w:rsidRPr="0097428B" w:rsidRDefault="00700D1F" w:rsidP="00546A1E">
            <w:pPr>
              <w:tabs>
                <w:tab w:val="left" w:pos="851"/>
              </w:tabs>
              <w:spacing w:before="0"/>
              <w:rPr>
                <w:b/>
                <w:bCs/>
                <w:szCs w:val="24"/>
                <w:lang w:eastAsia="zh-CN"/>
              </w:rPr>
            </w:pPr>
            <w:r w:rsidRPr="0097428B">
              <w:rPr>
                <w:rFonts w:hint="eastAsia"/>
                <w:b/>
                <w:bCs/>
                <w:szCs w:val="24"/>
                <w:lang w:val="fr-CH" w:eastAsia="zh-CN"/>
              </w:rPr>
              <w:t>文件</w:t>
            </w:r>
            <w:r w:rsidR="0097428B" w:rsidRPr="0097428B">
              <w:rPr>
                <w:rFonts w:cs="Calibri"/>
                <w:b/>
                <w:color w:val="000000"/>
                <w:szCs w:val="24"/>
                <w:lang w:val="en-US"/>
              </w:rPr>
              <w:t xml:space="preserve"> EG-ITRs 1/</w:t>
            </w:r>
            <w:r w:rsidR="00546A1E">
              <w:rPr>
                <w:rFonts w:cs="Calibri" w:hint="eastAsia"/>
                <w:b/>
                <w:color w:val="000000"/>
                <w:szCs w:val="24"/>
                <w:lang w:val="en-US" w:eastAsia="zh-CN"/>
              </w:rPr>
              <w:t>7</w:t>
            </w:r>
            <w:r w:rsidRPr="0097428B">
              <w:rPr>
                <w:b/>
                <w:bCs/>
                <w:szCs w:val="24"/>
                <w:lang w:eastAsia="zh-CN"/>
              </w:rPr>
              <w:t>-C</w:t>
            </w:r>
          </w:p>
        </w:tc>
      </w:tr>
      <w:bookmarkEnd w:id="1"/>
      <w:tr w:rsidR="00700D1F" w:rsidRPr="0097428B">
        <w:trPr>
          <w:cantSplit/>
          <w:trHeight w:val="23"/>
        </w:trPr>
        <w:tc>
          <w:tcPr>
            <w:tcW w:w="6911" w:type="dxa"/>
            <w:vMerge/>
          </w:tcPr>
          <w:p w:rsidR="00700D1F" w:rsidRPr="0097428B" w:rsidRDefault="00700D1F" w:rsidP="00B75ADB">
            <w:pPr>
              <w:tabs>
                <w:tab w:val="left" w:pos="851"/>
              </w:tabs>
              <w:rPr>
                <w:b/>
                <w:lang w:eastAsia="zh-CN"/>
              </w:rPr>
            </w:pPr>
          </w:p>
        </w:tc>
        <w:tc>
          <w:tcPr>
            <w:tcW w:w="3120" w:type="dxa"/>
          </w:tcPr>
          <w:p w:rsidR="00700D1F" w:rsidRPr="0097428B" w:rsidRDefault="00700D1F" w:rsidP="00B75ADB">
            <w:pPr>
              <w:tabs>
                <w:tab w:val="left" w:pos="993"/>
              </w:tabs>
              <w:spacing w:before="0"/>
              <w:rPr>
                <w:rFonts w:cstheme="minorHAnsi"/>
                <w:b/>
                <w:bCs/>
                <w:szCs w:val="24"/>
                <w:lang w:eastAsia="zh-CN"/>
              </w:rPr>
            </w:pPr>
            <w:r w:rsidRPr="0097428B">
              <w:rPr>
                <w:b/>
                <w:bCs/>
                <w:szCs w:val="24"/>
                <w:lang w:eastAsia="zh-CN"/>
              </w:rPr>
              <w:t>20</w:t>
            </w:r>
            <w:r w:rsidR="00325C25" w:rsidRPr="0097428B">
              <w:rPr>
                <w:b/>
                <w:bCs/>
                <w:szCs w:val="24"/>
                <w:lang w:eastAsia="zh-CN"/>
              </w:rPr>
              <w:t>1</w:t>
            </w:r>
            <w:r w:rsidR="0097428B" w:rsidRPr="0097428B">
              <w:rPr>
                <w:b/>
                <w:bCs/>
                <w:szCs w:val="24"/>
                <w:lang w:eastAsia="zh-CN"/>
              </w:rPr>
              <w:t>7</w:t>
            </w:r>
            <w:r w:rsidRPr="0097428B">
              <w:rPr>
                <w:rFonts w:hint="eastAsia"/>
                <w:b/>
                <w:bCs/>
                <w:szCs w:val="24"/>
                <w:lang w:eastAsia="zh-CN"/>
              </w:rPr>
              <w:t>年</w:t>
            </w:r>
            <w:r w:rsidR="0097428B" w:rsidRPr="0097428B">
              <w:rPr>
                <w:rFonts w:cstheme="minorHAnsi"/>
                <w:b/>
                <w:bCs/>
                <w:szCs w:val="24"/>
                <w:lang w:eastAsia="zh-CN"/>
              </w:rPr>
              <w:t>1</w:t>
            </w:r>
            <w:r w:rsidRPr="0097428B">
              <w:rPr>
                <w:rFonts w:hint="eastAsia"/>
                <w:b/>
                <w:bCs/>
                <w:szCs w:val="24"/>
                <w:lang w:eastAsia="zh-CN"/>
              </w:rPr>
              <w:t>月</w:t>
            </w:r>
            <w:r w:rsidR="0097428B" w:rsidRPr="0097428B">
              <w:rPr>
                <w:rFonts w:cstheme="minorHAnsi"/>
                <w:b/>
                <w:bCs/>
                <w:szCs w:val="24"/>
                <w:lang w:eastAsia="zh-CN"/>
              </w:rPr>
              <w:t>10</w:t>
            </w:r>
            <w:r w:rsidRPr="0097428B">
              <w:rPr>
                <w:rFonts w:hint="eastAsia"/>
                <w:b/>
                <w:bCs/>
                <w:szCs w:val="24"/>
                <w:lang w:eastAsia="zh-CN"/>
              </w:rPr>
              <w:t>日</w:t>
            </w:r>
          </w:p>
        </w:tc>
      </w:tr>
      <w:tr w:rsidR="00700D1F" w:rsidRPr="0097428B">
        <w:trPr>
          <w:cantSplit/>
          <w:trHeight w:val="23"/>
        </w:trPr>
        <w:tc>
          <w:tcPr>
            <w:tcW w:w="6911" w:type="dxa"/>
            <w:vMerge/>
          </w:tcPr>
          <w:p w:rsidR="00700D1F" w:rsidRPr="0097428B" w:rsidRDefault="00700D1F" w:rsidP="00B75ADB">
            <w:pPr>
              <w:tabs>
                <w:tab w:val="left" w:pos="851"/>
              </w:tabs>
              <w:rPr>
                <w:b/>
                <w:lang w:eastAsia="zh-CN"/>
              </w:rPr>
            </w:pPr>
          </w:p>
        </w:tc>
        <w:tc>
          <w:tcPr>
            <w:tcW w:w="3120" w:type="dxa"/>
          </w:tcPr>
          <w:p w:rsidR="00700D1F" w:rsidRPr="0097428B" w:rsidRDefault="00700D1F" w:rsidP="00B75ADB">
            <w:pPr>
              <w:tabs>
                <w:tab w:val="left" w:pos="993"/>
              </w:tabs>
              <w:spacing w:before="0"/>
              <w:rPr>
                <w:b/>
                <w:bCs/>
                <w:szCs w:val="24"/>
                <w:lang w:eastAsia="zh-CN"/>
              </w:rPr>
            </w:pPr>
            <w:r w:rsidRPr="0097428B">
              <w:rPr>
                <w:rFonts w:hint="eastAsia"/>
                <w:b/>
                <w:bCs/>
                <w:szCs w:val="24"/>
                <w:lang w:eastAsia="zh-CN"/>
              </w:rPr>
              <w:t>原文：</w:t>
            </w:r>
            <w:r w:rsidR="00B4078B">
              <w:rPr>
                <w:rFonts w:hint="eastAsia"/>
                <w:b/>
                <w:bCs/>
                <w:szCs w:val="24"/>
                <w:lang w:eastAsia="zh-CN"/>
              </w:rPr>
              <w:t>俄文</w:t>
            </w:r>
          </w:p>
        </w:tc>
      </w:tr>
    </w:tbl>
    <w:tbl>
      <w:tblPr>
        <w:tblW w:w="10031" w:type="dxa"/>
        <w:tblLayout w:type="fixed"/>
        <w:tblLook w:val="0000" w:firstRow="0" w:lastRow="0" w:firstColumn="0" w:lastColumn="0" w:noHBand="0" w:noVBand="0"/>
      </w:tblPr>
      <w:tblGrid>
        <w:gridCol w:w="6912"/>
        <w:gridCol w:w="3119"/>
      </w:tblGrid>
      <w:tr w:rsidR="0093362E" w:rsidRPr="0097428B">
        <w:trPr>
          <w:cantSplit/>
        </w:trPr>
        <w:tc>
          <w:tcPr>
            <w:tcW w:w="6912" w:type="dxa"/>
          </w:tcPr>
          <w:p w:rsidR="0093362E" w:rsidRPr="0097428B" w:rsidRDefault="0093362E" w:rsidP="00B75ADB">
            <w:pPr>
              <w:rPr>
                <w:lang w:val="fr-CH" w:eastAsia="zh-CN"/>
              </w:rPr>
            </w:pPr>
          </w:p>
        </w:tc>
        <w:tc>
          <w:tcPr>
            <w:tcW w:w="3119" w:type="dxa"/>
          </w:tcPr>
          <w:p w:rsidR="0093362E" w:rsidRPr="0097428B" w:rsidRDefault="0093362E" w:rsidP="00B75ADB">
            <w:pPr>
              <w:rPr>
                <w:b/>
                <w:bCs/>
                <w:lang w:val="fr-CH" w:eastAsia="zh-CN"/>
              </w:rPr>
            </w:pPr>
          </w:p>
        </w:tc>
      </w:tr>
      <w:tr w:rsidR="0093362E" w:rsidRPr="0097428B">
        <w:trPr>
          <w:cantSplit/>
        </w:trPr>
        <w:tc>
          <w:tcPr>
            <w:tcW w:w="10031" w:type="dxa"/>
            <w:gridSpan w:val="2"/>
          </w:tcPr>
          <w:p w:rsidR="0093362E" w:rsidRPr="0097428B" w:rsidRDefault="00EB3C58" w:rsidP="00B75ADB">
            <w:pPr>
              <w:pStyle w:val="Source"/>
              <w:rPr>
                <w:lang w:eastAsia="zh-CN"/>
              </w:rPr>
            </w:pPr>
            <w:r>
              <w:rPr>
                <w:rFonts w:hint="eastAsia"/>
                <w:lang w:val="en-US" w:eastAsia="zh-CN"/>
              </w:rPr>
              <w:t>来源</w:t>
            </w:r>
            <w:r>
              <w:rPr>
                <w:lang w:val="en-US" w:eastAsia="zh-CN"/>
              </w:rPr>
              <w:t>：</w:t>
            </w:r>
            <w:r w:rsidR="00B75ADB" w:rsidRPr="00B75ADB">
              <w:rPr>
                <w:rFonts w:hint="eastAsia"/>
                <w:lang w:val="en-US" w:eastAsia="zh-CN"/>
              </w:rPr>
              <w:t>通信领域区域共同体</w:t>
            </w:r>
          </w:p>
        </w:tc>
      </w:tr>
      <w:tr w:rsidR="0093362E" w:rsidRPr="0097428B">
        <w:trPr>
          <w:cantSplit/>
        </w:trPr>
        <w:tc>
          <w:tcPr>
            <w:tcW w:w="10031" w:type="dxa"/>
            <w:gridSpan w:val="2"/>
          </w:tcPr>
          <w:p w:rsidR="0093362E" w:rsidRPr="0097428B" w:rsidRDefault="00B75ADB" w:rsidP="00EB3C58">
            <w:pPr>
              <w:pStyle w:val="Title1"/>
              <w:rPr>
                <w:bCs/>
                <w:lang w:eastAsia="zh-CN"/>
              </w:rPr>
            </w:pPr>
            <w:r w:rsidRPr="00B75ADB">
              <w:rPr>
                <w:rFonts w:hint="eastAsia"/>
                <w:bCs/>
                <w:lang w:eastAsia="zh-CN"/>
              </w:rPr>
              <w:t>关于</w:t>
            </w:r>
            <w:r w:rsidR="00546A1E">
              <w:rPr>
                <w:rFonts w:hint="eastAsia"/>
                <w:bCs/>
                <w:lang w:eastAsia="zh-CN"/>
              </w:rPr>
              <w:t>更新总秘书处有关筹备</w:t>
            </w:r>
            <w:r w:rsidR="00546A1E" w:rsidRPr="00546A1E">
              <w:rPr>
                <w:rFonts w:hint="eastAsia"/>
                <w:bCs/>
                <w:lang w:eastAsia="zh-CN"/>
              </w:rPr>
              <w:t>2012</w:t>
            </w:r>
            <w:r w:rsidR="00546A1E" w:rsidRPr="00546A1E">
              <w:rPr>
                <w:rFonts w:hint="eastAsia"/>
                <w:bCs/>
                <w:lang w:eastAsia="zh-CN"/>
              </w:rPr>
              <w:t>年国际电信世界大会</w:t>
            </w:r>
            <w:r w:rsidR="00546A1E">
              <w:rPr>
                <w:rFonts w:hint="eastAsia"/>
                <w:bCs/>
                <w:lang w:eastAsia="zh-CN"/>
              </w:rPr>
              <w:t>的文件</w:t>
            </w:r>
            <w:r w:rsidR="00EB3C58">
              <w:rPr>
                <w:bCs/>
                <w:lang w:eastAsia="zh-CN"/>
              </w:rPr>
              <w:br/>
            </w:r>
            <w:r w:rsidR="00546A1E">
              <w:rPr>
                <w:rFonts w:hint="eastAsia"/>
                <w:bCs/>
                <w:lang w:eastAsia="zh-CN"/>
              </w:rPr>
              <w:t>及起草</w:t>
            </w:r>
            <w:r w:rsidR="00EB3C58">
              <w:rPr>
                <w:rFonts w:hint="eastAsia"/>
                <w:bCs/>
                <w:lang w:eastAsia="zh-CN"/>
              </w:rPr>
              <w:t>有关</w:t>
            </w:r>
            <w:r w:rsidR="00546A1E">
              <w:rPr>
                <w:rFonts w:hint="eastAsia"/>
                <w:bCs/>
                <w:lang w:eastAsia="zh-CN"/>
              </w:rPr>
              <w:t>审查并修订《</w:t>
            </w:r>
            <w:r w:rsidR="00546A1E" w:rsidRPr="00B75ADB">
              <w:rPr>
                <w:rFonts w:hint="eastAsia"/>
                <w:bCs/>
                <w:lang w:eastAsia="zh-CN"/>
              </w:rPr>
              <w:t>国际电信规则</w:t>
            </w:r>
            <w:r w:rsidR="00546A1E">
              <w:rPr>
                <w:rFonts w:hint="eastAsia"/>
                <w:bCs/>
                <w:lang w:eastAsia="zh-CN"/>
              </w:rPr>
              <w:t>》（</w:t>
            </w:r>
            <w:r w:rsidR="00546A1E">
              <w:rPr>
                <w:rFonts w:hint="eastAsia"/>
                <w:bCs/>
                <w:lang w:eastAsia="zh-CN"/>
              </w:rPr>
              <w:t>ITR</w:t>
            </w:r>
            <w:r w:rsidR="00546A1E">
              <w:rPr>
                <w:rFonts w:hint="eastAsia"/>
                <w:bCs/>
                <w:lang w:eastAsia="zh-CN"/>
              </w:rPr>
              <w:t>）</w:t>
            </w:r>
            <w:r w:rsidR="00EB3C58">
              <w:rPr>
                <w:bCs/>
                <w:lang w:eastAsia="zh-CN"/>
              </w:rPr>
              <w:br/>
            </w:r>
            <w:r w:rsidR="00546A1E">
              <w:rPr>
                <w:rFonts w:hint="eastAsia"/>
                <w:bCs/>
                <w:lang w:eastAsia="zh-CN"/>
              </w:rPr>
              <w:t>法律和程序问题及加入程序的新文件</w:t>
            </w:r>
          </w:p>
        </w:tc>
      </w:tr>
    </w:tbl>
    <w:p w:rsidR="00B75ADB" w:rsidRPr="00BD0916" w:rsidRDefault="00B75ADB" w:rsidP="00B75ADB">
      <w:pPr>
        <w:pStyle w:val="Headingb"/>
        <w:spacing w:before="480"/>
        <w:rPr>
          <w:szCs w:val="24"/>
          <w:lang w:eastAsia="zh-CN"/>
        </w:rPr>
      </w:pPr>
      <w:r w:rsidRPr="00BD0916">
        <w:rPr>
          <w:rFonts w:hint="eastAsia"/>
          <w:szCs w:val="24"/>
          <w:lang w:eastAsia="zh-CN"/>
        </w:rPr>
        <w:t>引言</w:t>
      </w:r>
    </w:p>
    <w:p w:rsidR="00B75ADB" w:rsidRPr="004804DE" w:rsidRDefault="00B75ADB" w:rsidP="00546A1E">
      <w:pPr>
        <w:pStyle w:val="Normalaftertitle"/>
        <w:ind w:firstLineChars="200" w:firstLine="480"/>
        <w:rPr>
          <w:szCs w:val="24"/>
          <w:lang w:eastAsia="zh-CN"/>
        </w:rPr>
      </w:pPr>
      <w:r w:rsidRPr="004804DE">
        <w:rPr>
          <w:rFonts w:hint="eastAsia"/>
          <w:szCs w:val="24"/>
          <w:lang w:eastAsia="zh-CN"/>
        </w:rPr>
        <w:t>《国际电信规则》</w:t>
      </w:r>
      <w:r w:rsidRPr="004804DE">
        <w:rPr>
          <w:szCs w:val="24"/>
          <w:lang w:eastAsia="zh-CN"/>
        </w:rPr>
        <w:t>（</w:t>
      </w:r>
      <w:r w:rsidRPr="004804DE">
        <w:rPr>
          <w:rFonts w:hint="eastAsia"/>
          <w:szCs w:val="24"/>
          <w:lang w:eastAsia="zh-CN"/>
        </w:rPr>
        <w:t>ITR</w:t>
      </w:r>
      <w:r w:rsidRPr="004804DE">
        <w:rPr>
          <w:szCs w:val="24"/>
          <w:lang w:eastAsia="zh-CN"/>
        </w:rPr>
        <w:t>）</w:t>
      </w:r>
      <w:r w:rsidRPr="004804DE">
        <w:rPr>
          <w:rFonts w:hint="eastAsia"/>
          <w:szCs w:val="24"/>
          <w:lang w:eastAsia="zh-CN"/>
        </w:rPr>
        <w:t>是国际电联的法律</w:t>
      </w:r>
      <w:r w:rsidRPr="004804DE">
        <w:rPr>
          <w:szCs w:val="24"/>
          <w:lang w:eastAsia="zh-CN"/>
        </w:rPr>
        <w:t>文件</w:t>
      </w:r>
      <w:r w:rsidRPr="004804DE">
        <w:rPr>
          <w:rFonts w:hint="eastAsia"/>
          <w:szCs w:val="24"/>
          <w:lang w:eastAsia="zh-CN"/>
        </w:rPr>
        <w:t>之一</w:t>
      </w:r>
      <w:r w:rsidR="00546A1E" w:rsidRPr="004804DE">
        <w:rPr>
          <w:rFonts w:hint="eastAsia"/>
          <w:szCs w:val="24"/>
          <w:lang w:eastAsia="zh-CN"/>
        </w:rPr>
        <w:t>，作为</w:t>
      </w:r>
      <w:r w:rsidRPr="004804DE">
        <w:rPr>
          <w:rFonts w:hint="eastAsia"/>
          <w:szCs w:val="24"/>
          <w:lang w:eastAsia="zh-CN"/>
        </w:rPr>
        <w:t>行政规则</w:t>
      </w:r>
      <w:r w:rsidR="00546A1E" w:rsidRPr="004804DE">
        <w:rPr>
          <w:rFonts w:hint="eastAsia"/>
          <w:szCs w:val="24"/>
          <w:lang w:eastAsia="zh-CN"/>
        </w:rPr>
        <w:t>的一部分</w:t>
      </w:r>
      <w:r w:rsidRPr="004804DE">
        <w:rPr>
          <w:rFonts w:hint="eastAsia"/>
          <w:szCs w:val="24"/>
          <w:lang w:eastAsia="zh-CN"/>
        </w:rPr>
        <w:t>，它</w:t>
      </w:r>
      <w:r w:rsidRPr="004804DE">
        <w:rPr>
          <w:szCs w:val="24"/>
          <w:lang w:eastAsia="zh-CN"/>
        </w:rPr>
        <w:t>规定了电信的</w:t>
      </w:r>
      <w:r w:rsidRPr="004804DE">
        <w:rPr>
          <w:rFonts w:hint="eastAsia"/>
          <w:szCs w:val="24"/>
          <w:lang w:eastAsia="zh-CN"/>
        </w:rPr>
        <w:t>使用，对所有成员国具有约束力（《组织法》第</w:t>
      </w:r>
      <w:r w:rsidRPr="004804DE">
        <w:rPr>
          <w:rFonts w:hint="eastAsia"/>
          <w:szCs w:val="24"/>
          <w:lang w:eastAsia="zh-CN"/>
        </w:rPr>
        <w:t>29</w:t>
      </w:r>
      <w:r w:rsidRPr="004804DE">
        <w:rPr>
          <w:rFonts w:hint="eastAsia"/>
          <w:szCs w:val="24"/>
          <w:lang w:eastAsia="zh-CN"/>
        </w:rPr>
        <w:t>和</w:t>
      </w:r>
      <w:r w:rsidR="00546A1E" w:rsidRPr="004804DE">
        <w:rPr>
          <w:rFonts w:hint="eastAsia"/>
          <w:szCs w:val="24"/>
          <w:lang w:eastAsia="zh-CN"/>
        </w:rPr>
        <w:t>《公约》第</w:t>
      </w:r>
      <w:r w:rsidRPr="004804DE">
        <w:rPr>
          <w:rFonts w:hint="eastAsia"/>
          <w:szCs w:val="24"/>
          <w:lang w:eastAsia="zh-CN"/>
        </w:rPr>
        <w:t>31</w:t>
      </w:r>
      <w:r w:rsidRPr="004804DE">
        <w:rPr>
          <w:rFonts w:hint="eastAsia"/>
          <w:szCs w:val="24"/>
          <w:lang w:eastAsia="zh-CN"/>
        </w:rPr>
        <w:t>款）。</w:t>
      </w:r>
      <w:r w:rsidR="00546A1E" w:rsidRPr="004804DE">
        <w:rPr>
          <w:rFonts w:hint="eastAsia"/>
          <w:szCs w:val="24"/>
          <w:lang w:eastAsia="zh-CN"/>
        </w:rPr>
        <w:t>《</w:t>
      </w:r>
      <w:r w:rsidRPr="004804DE">
        <w:rPr>
          <w:rFonts w:hint="eastAsia"/>
          <w:szCs w:val="24"/>
          <w:lang w:eastAsia="zh-CN"/>
        </w:rPr>
        <w:t>国际电信规则</w:t>
      </w:r>
      <w:r w:rsidR="00546A1E" w:rsidRPr="004804DE">
        <w:rPr>
          <w:rFonts w:hint="eastAsia"/>
          <w:szCs w:val="24"/>
          <w:lang w:eastAsia="zh-CN"/>
        </w:rPr>
        <w:t>》</w:t>
      </w:r>
      <w:r w:rsidRPr="004804DE">
        <w:rPr>
          <w:rFonts w:hint="eastAsia"/>
          <w:szCs w:val="24"/>
          <w:lang w:eastAsia="zh-CN"/>
        </w:rPr>
        <w:t>是对国际电联《组织法》和《公约》的补充，旨在实现国际电联关于促进电信的发展和有效运营者的宗旨。</w:t>
      </w:r>
    </w:p>
    <w:p w:rsidR="00B75ADB" w:rsidRPr="004804DE" w:rsidRDefault="00B75ADB" w:rsidP="00546A1E">
      <w:pPr>
        <w:ind w:firstLineChars="200" w:firstLine="480"/>
        <w:rPr>
          <w:szCs w:val="24"/>
          <w:lang w:eastAsia="zh-CN"/>
        </w:rPr>
      </w:pPr>
      <w:r w:rsidRPr="004804DE">
        <w:rPr>
          <w:rFonts w:hint="eastAsia"/>
          <w:szCs w:val="24"/>
          <w:lang w:eastAsia="zh-CN"/>
        </w:rPr>
        <w:t>国际电信世界大会（</w:t>
      </w:r>
      <w:r w:rsidRPr="004804DE">
        <w:rPr>
          <w:rFonts w:hint="eastAsia"/>
          <w:szCs w:val="24"/>
          <w:lang w:eastAsia="zh-CN"/>
        </w:rPr>
        <w:t>WCIT</w:t>
      </w:r>
      <w:r w:rsidRPr="004804DE">
        <w:rPr>
          <w:szCs w:val="24"/>
          <w:lang w:eastAsia="zh-CN"/>
        </w:rPr>
        <w:t>）</w:t>
      </w:r>
      <w:r w:rsidRPr="004804DE">
        <w:rPr>
          <w:rFonts w:hint="eastAsia"/>
          <w:szCs w:val="24"/>
          <w:lang w:eastAsia="zh-CN"/>
        </w:rPr>
        <w:t>可以部分地</w:t>
      </w:r>
      <w:r w:rsidRPr="004804DE">
        <w:rPr>
          <w:szCs w:val="24"/>
          <w:lang w:eastAsia="zh-CN"/>
        </w:rPr>
        <w:t>，或在特殊情况下，</w:t>
      </w:r>
      <w:r w:rsidR="00546A1E" w:rsidRPr="004804DE">
        <w:rPr>
          <w:rFonts w:hint="eastAsia"/>
          <w:szCs w:val="24"/>
          <w:lang w:eastAsia="zh-CN"/>
        </w:rPr>
        <w:t>彻底</w:t>
      </w:r>
      <w:r w:rsidRPr="004804DE">
        <w:rPr>
          <w:szCs w:val="24"/>
          <w:lang w:eastAsia="zh-CN"/>
        </w:rPr>
        <w:t>修订</w:t>
      </w:r>
      <w:r w:rsidRPr="004804DE">
        <w:rPr>
          <w:rFonts w:hint="eastAsia"/>
          <w:szCs w:val="24"/>
          <w:lang w:eastAsia="zh-CN"/>
        </w:rPr>
        <w:t>《国际电信规则》，并可</w:t>
      </w:r>
      <w:r w:rsidRPr="004804DE">
        <w:rPr>
          <w:szCs w:val="24"/>
          <w:lang w:eastAsia="zh-CN"/>
        </w:rPr>
        <w:t>处理其权能范围内与其议程有关的具有世界性的任何问题（</w:t>
      </w:r>
      <w:r w:rsidRPr="004804DE">
        <w:rPr>
          <w:rFonts w:hint="eastAsia"/>
          <w:szCs w:val="24"/>
          <w:lang w:eastAsia="zh-CN"/>
        </w:rPr>
        <w:t>《组织法</w:t>
      </w:r>
      <w:r w:rsidRPr="004804DE">
        <w:rPr>
          <w:szCs w:val="24"/>
          <w:lang w:eastAsia="zh-CN"/>
        </w:rPr>
        <w:t>》</w:t>
      </w:r>
      <w:r w:rsidRPr="004804DE">
        <w:rPr>
          <w:rFonts w:hint="eastAsia"/>
          <w:szCs w:val="24"/>
          <w:lang w:eastAsia="zh-CN"/>
        </w:rPr>
        <w:t>第</w:t>
      </w:r>
      <w:r w:rsidRPr="004804DE">
        <w:rPr>
          <w:rFonts w:hint="eastAsia"/>
          <w:szCs w:val="24"/>
          <w:lang w:eastAsia="zh-CN"/>
        </w:rPr>
        <w:t>146</w:t>
      </w:r>
      <w:r w:rsidRPr="004804DE">
        <w:rPr>
          <w:rFonts w:hint="eastAsia"/>
          <w:szCs w:val="24"/>
          <w:lang w:eastAsia="zh-CN"/>
        </w:rPr>
        <w:t>款</w:t>
      </w:r>
      <w:r w:rsidRPr="004804DE">
        <w:rPr>
          <w:szCs w:val="24"/>
          <w:lang w:eastAsia="zh-CN"/>
        </w:rPr>
        <w:t>）</w:t>
      </w:r>
      <w:r w:rsidRPr="004804DE">
        <w:rPr>
          <w:rFonts w:hint="eastAsia"/>
          <w:szCs w:val="24"/>
          <w:lang w:eastAsia="zh-CN"/>
        </w:rPr>
        <w:t>。</w:t>
      </w:r>
    </w:p>
    <w:p w:rsidR="008D62E9" w:rsidRPr="004804DE" w:rsidRDefault="008D62E9" w:rsidP="008D62E9">
      <w:pPr>
        <w:ind w:firstLineChars="200" w:firstLine="480"/>
        <w:rPr>
          <w:rFonts w:cs="SimSun"/>
          <w:color w:val="000000"/>
          <w:lang w:eastAsia="zh-CN"/>
        </w:rPr>
      </w:pPr>
      <w:r w:rsidRPr="004804DE">
        <w:rPr>
          <w:rFonts w:hint="eastAsia"/>
          <w:color w:val="000000"/>
          <w:lang w:eastAsia="zh-CN"/>
        </w:rPr>
        <w:t>现行</w:t>
      </w:r>
      <w:r w:rsidR="00EB3C58" w:rsidRPr="004804DE">
        <w:rPr>
          <w:rFonts w:hint="eastAsia"/>
          <w:color w:val="000000"/>
          <w:lang w:eastAsia="zh-CN"/>
        </w:rPr>
        <w:t>（</w:t>
      </w:r>
      <w:r w:rsidR="00EB3C58" w:rsidRPr="004804DE">
        <w:rPr>
          <w:rFonts w:hint="eastAsia"/>
          <w:color w:val="000000"/>
          <w:lang w:eastAsia="zh-CN"/>
        </w:rPr>
        <w:t>1988</w:t>
      </w:r>
      <w:r w:rsidR="00EB3C58" w:rsidRPr="004804DE">
        <w:rPr>
          <w:rFonts w:hint="eastAsia"/>
          <w:color w:val="000000"/>
          <w:lang w:eastAsia="zh-CN"/>
        </w:rPr>
        <w:t>年</w:t>
      </w:r>
      <w:r w:rsidR="00EB3C58" w:rsidRPr="004804DE">
        <w:rPr>
          <w:color w:val="000000"/>
          <w:lang w:eastAsia="zh-CN"/>
        </w:rPr>
        <w:t>版）</w:t>
      </w:r>
      <w:r w:rsidRPr="004804DE">
        <w:rPr>
          <w:color w:val="000000"/>
          <w:lang w:eastAsia="zh-CN"/>
        </w:rPr>
        <w:t>《国际电信规则》（</w:t>
      </w:r>
      <w:r w:rsidRPr="004804DE">
        <w:rPr>
          <w:color w:val="000000"/>
          <w:lang w:eastAsia="zh-CN"/>
        </w:rPr>
        <w:t>ITR</w:t>
      </w:r>
      <w:r w:rsidRPr="004804DE">
        <w:rPr>
          <w:color w:val="000000"/>
          <w:lang w:eastAsia="zh-CN"/>
        </w:rPr>
        <w:t>）版本是在</w:t>
      </w:r>
      <w:r w:rsidRPr="004804DE">
        <w:rPr>
          <w:color w:val="000000"/>
          <w:lang w:eastAsia="zh-CN"/>
        </w:rPr>
        <w:t>1988</w:t>
      </w:r>
      <w:r w:rsidRPr="004804DE">
        <w:rPr>
          <w:color w:val="000000"/>
          <w:lang w:eastAsia="zh-CN"/>
        </w:rPr>
        <w:t>年</w:t>
      </w:r>
      <w:r w:rsidRPr="004804DE">
        <w:rPr>
          <w:rFonts w:hint="eastAsia"/>
          <w:color w:val="000000"/>
          <w:lang w:eastAsia="zh-CN"/>
        </w:rPr>
        <w:t>澳大利亚</w:t>
      </w:r>
      <w:r w:rsidRPr="004804DE">
        <w:rPr>
          <w:color w:val="000000"/>
          <w:lang w:eastAsia="zh-CN"/>
        </w:rPr>
        <w:t>墨尔本世界电报电话行政大会上通过的，其目的是更新</w:t>
      </w:r>
      <w:r w:rsidRPr="004804DE">
        <w:rPr>
          <w:color w:val="000000"/>
          <w:lang w:eastAsia="zh-CN"/>
        </w:rPr>
        <w:t>1973</w:t>
      </w:r>
      <w:r w:rsidRPr="004804DE">
        <w:rPr>
          <w:color w:val="000000"/>
          <w:lang w:eastAsia="zh-CN"/>
        </w:rPr>
        <w:t>年制定的</w:t>
      </w:r>
      <w:r w:rsidRPr="004804DE">
        <w:rPr>
          <w:rFonts w:hint="eastAsia"/>
          <w:color w:val="000000"/>
          <w:lang w:eastAsia="zh-CN"/>
        </w:rPr>
        <w:t>规范</w:t>
      </w:r>
      <w:r w:rsidRPr="004804DE">
        <w:rPr>
          <w:color w:val="000000"/>
          <w:lang w:eastAsia="zh-CN"/>
        </w:rPr>
        <w:t>电报和电话业务的规则条</w:t>
      </w:r>
      <w:r w:rsidRPr="004804DE">
        <w:rPr>
          <w:rFonts w:cs="SimSun" w:hint="eastAsia"/>
          <w:color w:val="000000"/>
          <w:lang w:eastAsia="zh-CN"/>
        </w:rPr>
        <w:t>例。</w:t>
      </w:r>
    </w:p>
    <w:p w:rsidR="008D62E9" w:rsidRPr="004804DE" w:rsidRDefault="008D62E9" w:rsidP="00EB3C58">
      <w:pPr>
        <w:tabs>
          <w:tab w:val="left" w:pos="720"/>
        </w:tabs>
        <w:snapToGrid w:val="0"/>
        <w:spacing w:after="120"/>
        <w:ind w:firstLine="709"/>
        <w:jc w:val="both"/>
        <w:rPr>
          <w:rFonts w:cstheme="majorBidi"/>
          <w:szCs w:val="24"/>
          <w:lang w:val="en-US" w:eastAsia="zh-CN"/>
        </w:rPr>
      </w:pPr>
      <w:r w:rsidRPr="004804DE">
        <w:rPr>
          <w:rFonts w:hint="eastAsia"/>
          <w:szCs w:val="24"/>
          <w:lang w:eastAsia="zh-CN"/>
        </w:rPr>
        <w:t>在</w:t>
      </w:r>
      <w:r w:rsidRPr="004804DE">
        <w:rPr>
          <w:rFonts w:hint="eastAsia"/>
          <w:szCs w:val="24"/>
          <w:lang w:eastAsia="zh-CN"/>
        </w:rPr>
        <w:t>2012</w:t>
      </w:r>
      <w:r w:rsidRPr="004804DE">
        <w:rPr>
          <w:rFonts w:hint="eastAsia"/>
          <w:szCs w:val="24"/>
          <w:lang w:eastAsia="zh-CN"/>
        </w:rPr>
        <w:t>年之前，</w:t>
      </w:r>
      <w:r w:rsidRPr="004804DE">
        <w:rPr>
          <w:rFonts w:hint="eastAsia"/>
          <w:szCs w:val="24"/>
          <w:lang w:eastAsia="zh-CN"/>
        </w:rPr>
        <w:t>1988</w:t>
      </w:r>
      <w:r w:rsidR="00B75ADB" w:rsidRPr="004804DE">
        <w:rPr>
          <w:rFonts w:hint="eastAsia"/>
          <w:szCs w:val="24"/>
          <w:lang w:eastAsia="zh-CN"/>
        </w:rPr>
        <w:t>年</w:t>
      </w:r>
      <w:r w:rsidRPr="004804DE">
        <w:rPr>
          <w:rFonts w:hint="eastAsia"/>
          <w:szCs w:val="24"/>
          <w:lang w:eastAsia="zh-CN"/>
        </w:rPr>
        <w:t>版</w:t>
      </w:r>
      <w:r w:rsidR="00B75ADB" w:rsidRPr="004804DE">
        <w:rPr>
          <w:rFonts w:hint="eastAsia"/>
          <w:szCs w:val="24"/>
          <w:lang w:eastAsia="zh-CN"/>
        </w:rPr>
        <w:t>《国际电信规则》</w:t>
      </w:r>
      <w:r w:rsidRPr="004804DE">
        <w:rPr>
          <w:rFonts w:hint="eastAsia"/>
          <w:szCs w:val="24"/>
          <w:lang w:eastAsia="zh-CN"/>
        </w:rPr>
        <w:t>一直未部分或彻底修订，因此从</w:t>
      </w:r>
      <w:r w:rsidRPr="004804DE">
        <w:rPr>
          <w:rFonts w:hint="eastAsia"/>
          <w:szCs w:val="24"/>
          <w:lang w:eastAsia="zh-CN"/>
        </w:rPr>
        <w:t>1998</w:t>
      </w:r>
      <w:r w:rsidRPr="004804DE">
        <w:rPr>
          <w:rFonts w:hint="eastAsia"/>
          <w:szCs w:val="24"/>
          <w:lang w:eastAsia="zh-CN"/>
        </w:rPr>
        <w:t>年至</w:t>
      </w:r>
      <w:r w:rsidRPr="004804DE">
        <w:rPr>
          <w:rFonts w:hint="eastAsia"/>
          <w:szCs w:val="24"/>
          <w:lang w:eastAsia="zh-CN"/>
        </w:rPr>
        <w:t>2012</w:t>
      </w:r>
      <w:r w:rsidRPr="004804DE">
        <w:rPr>
          <w:rFonts w:hint="eastAsia"/>
          <w:szCs w:val="24"/>
          <w:lang w:eastAsia="zh-CN"/>
        </w:rPr>
        <w:t>年，成员国启动了修订进程</w:t>
      </w:r>
      <w:r w:rsidR="00B75ADB" w:rsidRPr="004804DE">
        <w:rPr>
          <w:rFonts w:hint="eastAsia"/>
          <w:szCs w:val="24"/>
          <w:lang w:eastAsia="zh-CN"/>
        </w:rPr>
        <w:t>。</w:t>
      </w:r>
      <w:r w:rsidRPr="004804DE">
        <w:rPr>
          <w:rFonts w:hint="eastAsia"/>
          <w:szCs w:val="24"/>
          <w:lang w:eastAsia="zh-CN"/>
        </w:rPr>
        <w:t>在此期间，开展了大量工作，提交并</w:t>
      </w:r>
      <w:r w:rsidR="00EB3C58" w:rsidRPr="004804DE">
        <w:rPr>
          <w:rFonts w:hint="eastAsia"/>
          <w:szCs w:val="24"/>
          <w:lang w:eastAsia="zh-CN"/>
        </w:rPr>
        <w:t>审议</w:t>
      </w:r>
      <w:r w:rsidRPr="004804DE">
        <w:rPr>
          <w:rFonts w:hint="eastAsia"/>
          <w:szCs w:val="24"/>
          <w:lang w:eastAsia="zh-CN"/>
        </w:rPr>
        <w:t>了很多文件，在法律方面对修订并通过新版</w:t>
      </w:r>
      <w:r w:rsidR="00B75ADB" w:rsidRPr="004804DE">
        <w:rPr>
          <w:rFonts w:hint="eastAsia"/>
          <w:szCs w:val="24"/>
          <w:lang w:eastAsia="zh-CN"/>
        </w:rPr>
        <w:t>《国际电信规则》</w:t>
      </w:r>
      <w:r w:rsidRPr="004804DE">
        <w:rPr>
          <w:rFonts w:hint="eastAsia"/>
          <w:szCs w:val="24"/>
          <w:lang w:eastAsia="zh-CN"/>
        </w:rPr>
        <w:t>的后果进行了研究。</w:t>
      </w:r>
    </w:p>
    <w:p w:rsidR="00B75ADB" w:rsidRPr="004804DE" w:rsidRDefault="008D62E9" w:rsidP="008D62E9">
      <w:pPr>
        <w:ind w:firstLineChars="200" w:firstLine="480"/>
        <w:rPr>
          <w:szCs w:val="24"/>
          <w:lang w:eastAsia="zh-CN"/>
        </w:rPr>
      </w:pPr>
      <w:r w:rsidRPr="004804DE">
        <w:rPr>
          <w:rFonts w:hint="eastAsia"/>
          <w:szCs w:val="24"/>
          <w:lang w:eastAsia="zh-CN"/>
        </w:rPr>
        <w:t>在此进程结束后，</w:t>
      </w:r>
      <w:r w:rsidRPr="004804DE">
        <w:rPr>
          <w:rFonts w:hint="eastAsia"/>
          <w:szCs w:val="24"/>
          <w:lang w:eastAsia="zh-CN"/>
        </w:rPr>
        <w:t>2012</w:t>
      </w:r>
      <w:r w:rsidRPr="004804DE">
        <w:rPr>
          <w:rFonts w:hint="eastAsia"/>
          <w:szCs w:val="24"/>
          <w:lang w:eastAsia="zh-CN"/>
        </w:rPr>
        <w:t>年</w:t>
      </w:r>
      <w:r w:rsidRPr="004804DE">
        <w:rPr>
          <w:rFonts w:hint="eastAsia"/>
          <w:szCs w:val="24"/>
          <w:lang w:eastAsia="zh-CN"/>
        </w:rPr>
        <w:t>WCIT</w:t>
      </w:r>
      <w:r w:rsidR="005E2960" w:rsidRPr="004804DE">
        <w:rPr>
          <w:rFonts w:hint="eastAsia"/>
          <w:szCs w:val="24"/>
          <w:lang w:eastAsia="zh-CN"/>
        </w:rPr>
        <w:t>（迪拜</w:t>
      </w:r>
      <w:r w:rsidR="005E2960" w:rsidRPr="004804DE">
        <w:rPr>
          <w:szCs w:val="24"/>
          <w:lang w:eastAsia="zh-CN"/>
        </w:rPr>
        <w:t>，阿联酋）</w:t>
      </w:r>
      <w:r w:rsidRPr="004804DE">
        <w:rPr>
          <w:rFonts w:hint="eastAsia"/>
          <w:szCs w:val="24"/>
          <w:lang w:eastAsia="zh-CN"/>
        </w:rPr>
        <w:t>修订了</w:t>
      </w:r>
      <w:r w:rsidRPr="004804DE">
        <w:rPr>
          <w:rFonts w:hint="eastAsia"/>
          <w:szCs w:val="24"/>
          <w:lang w:eastAsia="zh-CN"/>
        </w:rPr>
        <w:t>1988</w:t>
      </w:r>
      <w:r w:rsidRPr="004804DE">
        <w:rPr>
          <w:rFonts w:hint="eastAsia"/>
          <w:szCs w:val="24"/>
          <w:lang w:eastAsia="zh-CN"/>
        </w:rPr>
        <w:t>年版《国际电信规则》，因此该版规则将于</w:t>
      </w:r>
      <w:r w:rsidRPr="004804DE">
        <w:rPr>
          <w:rFonts w:hint="eastAsia"/>
          <w:szCs w:val="24"/>
          <w:lang w:eastAsia="zh-CN"/>
        </w:rPr>
        <w:t>2017</w:t>
      </w:r>
      <w:r w:rsidRPr="004804DE">
        <w:rPr>
          <w:rFonts w:hint="eastAsia"/>
          <w:szCs w:val="24"/>
          <w:lang w:eastAsia="zh-CN"/>
        </w:rPr>
        <w:t>年</w:t>
      </w:r>
      <w:r w:rsidRPr="004804DE">
        <w:rPr>
          <w:rFonts w:hint="eastAsia"/>
          <w:szCs w:val="24"/>
          <w:lang w:eastAsia="zh-CN"/>
        </w:rPr>
        <w:t>12</w:t>
      </w:r>
      <w:r w:rsidRPr="004804DE">
        <w:rPr>
          <w:rFonts w:hint="eastAsia"/>
          <w:szCs w:val="24"/>
          <w:lang w:eastAsia="zh-CN"/>
        </w:rPr>
        <w:t>月</w:t>
      </w:r>
      <w:r w:rsidRPr="004804DE">
        <w:rPr>
          <w:rFonts w:hint="eastAsia"/>
          <w:szCs w:val="24"/>
          <w:lang w:eastAsia="zh-CN"/>
        </w:rPr>
        <w:t>31</w:t>
      </w:r>
      <w:r w:rsidRPr="004804DE">
        <w:rPr>
          <w:rFonts w:hint="eastAsia"/>
          <w:szCs w:val="24"/>
          <w:lang w:eastAsia="zh-CN"/>
        </w:rPr>
        <w:t>日终止。</w:t>
      </w:r>
    </w:p>
    <w:p w:rsidR="00B75ADB" w:rsidRPr="004804DE" w:rsidRDefault="00B75ADB" w:rsidP="004F7F8E">
      <w:pPr>
        <w:pStyle w:val="Headingb"/>
        <w:rPr>
          <w:szCs w:val="24"/>
          <w:lang w:eastAsia="zh-CN"/>
        </w:rPr>
      </w:pPr>
      <w:r w:rsidRPr="004804DE">
        <w:rPr>
          <w:rFonts w:hint="eastAsia"/>
          <w:szCs w:val="24"/>
          <w:lang w:eastAsia="zh-CN"/>
        </w:rPr>
        <w:t>讨论</w:t>
      </w:r>
    </w:p>
    <w:p w:rsidR="0000589B" w:rsidRPr="004804DE" w:rsidRDefault="0000589B" w:rsidP="00EB3C58">
      <w:pPr>
        <w:ind w:firstLineChars="200" w:firstLine="480"/>
        <w:rPr>
          <w:b/>
          <w:lang w:val="en-US" w:eastAsia="zh-CN"/>
        </w:rPr>
      </w:pPr>
      <w:r w:rsidRPr="004804DE">
        <w:rPr>
          <w:rFonts w:hint="eastAsia"/>
          <w:lang w:val="en-US" w:eastAsia="zh-CN"/>
        </w:rPr>
        <w:t>许多成员国（其中绝大多数为发展中国家）</w:t>
      </w:r>
      <w:r w:rsidRPr="004804DE">
        <w:rPr>
          <w:rStyle w:val="FootnoteReference"/>
          <w:rFonts w:cstheme="majorBidi"/>
          <w:szCs w:val="18"/>
          <w:lang w:val="en-US"/>
        </w:rPr>
        <w:footnoteReference w:id="1"/>
      </w:r>
      <w:r w:rsidRPr="004804DE">
        <w:rPr>
          <w:rFonts w:hint="eastAsia"/>
          <w:lang w:val="en-US" w:eastAsia="zh-CN"/>
        </w:rPr>
        <w:t>认为，出于种种客观原因且因为《国际电信规则》</w:t>
      </w:r>
      <w:r w:rsidRPr="004804DE">
        <w:rPr>
          <w:rFonts w:hint="eastAsia"/>
          <w:lang w:val="en-US" w:eastAsia="zh-CN"/>
        </w:rPr>
        <w:t>24</w:t>
      </w:r>
      <w:r w:rsidRPr="004804DE">
        <w:rPr>
          <w:rFonts w:hint="eastAsia"/>
          <w:lang w:val="en-US" w:eastAsia="zh-CN"/>
        </w:rPr>
        <w:t>年未进行修订，</w:t>
      </w:r>
      <w:r w:rsidRPr="004804DE">
        <w:rPr>
          <w:lang w:val="en-US" w:eastAsia="zh-CN"/>
        </w:rPr>
        <w:t>2012</w:t>
      </w:r>
      <w:r w:rsidRPr="004804DE">
        <w:rPr>
          <w:rFonts w:hint="eastAsia"/>
          <w:lang w:val="en-US" w:eastAsia="zh-CN"/>
        </w:rPr>
        <w:t>年</w:t>
      </w:r>
      <w:r w:rsidRPr="004804DE">
        <w:rPr>
          <w:lang w:val="en-US" w:eastAsia="zh-CN"/>
        </w:rPr>
        <w:t>WCIT</w:t>
      </w:r>
      <w:r w:rsidRPr="004804DE">
        <w:rPr>
          <w:rFonts w:hint="eastAsia"/>
          <w:lang w:val="en-US" w:eastAsia="zh-CN"/>
        </w:rPr>
        <w:t>未能足够深入地讨论当前面临的所有问题并形成折衷，也未能在</w:t>
      </w:r>
      <w:r w:rsidRPr="004804DE">
        <w:rPr>
          <w:rFonts w:hint="eastAsia"/>
          <w:lang w:val="en-US" w:eastAsia="zh-CN"/>
        </w:rPr>
        <w:t>2012</w:t>
      </w:r>
      <w:r w:rsidRPr="004804DE">
        <w:rPr>
          <w:rFonts w:hint="eastAsia"/>
          <w:lang w:val="en-US" w:eastAsia="zh-CN"/>
        </w:rPr>
        <w:t>年新版《国际电信规则》中考虑当前电信</w:t>
      </w:r>
      <w:r w:rsidRPr="004804DE">
        <w:rPr>
          <w:rFonts w:hint="eastAsia"/>
          <w:lang w:val="en-US" w:eastAsia="zh-CN"/>
        </w:rPr>
        <w:t>/ICT</w:t>
      </w:r>
      <w:r w:rsidRPr="004804DE">
        <w:rPr>
          <w:rFonts w:hint="eastAsia"/>
          <w:lang w:val="en-US" w:eastAsia="zh-CN"/>
        </w:rPr>
        <w:t>领域的重要发展趋势。</w:t>
      </w:r>
    </w:p>
    <w:p w:rsidR="00A914A3" w:rsidRDefault="00A914A3" w:rsidP="00EB3C58">
      <w:pPr>
        <w:ind w:firstLineChars="200" w:firstLine="480"/>
        <w:rPr>
          <w:rFonts w:cstheme="majorBidi"/>
          <w:szCs w:val="24"/>
          <w:lang w:val="en-US" w:eastAsia="zh-CN"/>
        </w:rPr>
      </w:pPr>
      <w:r>
        <w:rPr>
          <w:rFonts w:cstheme="majorBidi"/>
          <w:szCs w:val="24"/>
          <w:lang w:val="en-US" w:eastAsia="zh-CN"/>
        </w:rPr>
        <w:br w:type="page"/>
      </w:r>
    </w:p>
    <w:p w:rsidR="0000589B" w:rsidRPr="004804DE" w:rsidRDefault="0000589B" w:rsidP="00EB3C58">
      <w:pPr>
        <w:ind w:firstLineChars="200" w:firstLine="480"/>
        <w:rPr>
          <w:rFonts w:cstheme="majorBidi"/>
          <w:szCs w:val="24"/>
          <w:lang w:val="en-US" w:eastAsia="zh-CN"/>
        </w:rPr>
      </w:pPr>
      <w:bookmarkStart w:id="2" w:name="_GoBack"/>
      <w:bookmarkEnd w:id="2"/>
      <w:r w:rsidRPr="004804DE">
        <w:rPr>
          <w:rFonts w:cstheme="majorBidi" w:hint="eastAsia"/>
          <w:szCs w:val="24"/>
          <w:lang w:val="en-US" w:eastAsia="zh-CN"/>
        </w:rPr>
        <w:lastRenderedPageBreak/>
        <w:t>铭记</w:t>
      </w:r>
      <w:r w:rsidR="00240F4D" w:rsidRPr="004804DE">
        <w:rPr>
          <w:rFonts w:cstheme="majorBidi" w:hint="eastAsia"/>
          <w:szCs w:val="24"/>
          <w:lang w:val="en-US" w:eastAsia="zh-CN"/>
        </w:rPr>
        <w:t>成员国，尤其是发展中国家的对更新</w:t>
      </w:r>
      <w:r w:rsidR="00240F4D" w:rsidRPr="004804DE">
        <w:rPr>
          <w:rFonts w:cstheme="majorBidi" w:hint="eastAsia"/>
          <w:szCs w:val="24"/>
          <w:lang w:val="en-US" w:eastAsia="zh-CN"/>
        </w:rPr>
        <w:t>2012</w:t>
      </w:r>
      <w:r w:rsidR="00240F4D" w:rsidRPr="004804DE">
        <w:rPr>
          <w:rFonts w:cstheme="majorBidi" w:hint="eastAsia"/>
          <w:szCs w:val="24"/>
          <w:lang w:val="en-US" w:eastAsia="zh-CN"/>
        </w:rPr>
        <w:t>年版《国际电信规则》的浓厚兴趣，</w:t>
      </w:r>
      <w:r w:rsidR="00240F4D" w:rsidRPr="004804DE">
        <w:rPr>
          <w:rFonts w:cstheme="majorBidi" w:hint="eastAsia"/>
          <w:szCs w:val="24"/>
          <w:lang w:val="en-US" w:eastAsia="zh-CN"/>
        </w:rPr>
        <w:t>2014</w:t>
      </w:r>
      <w:r w:rsidR="00240F4D" w:rsidRPr="004804DE">
        <w:rPr>
          <w:rFonts w:cstheme="majorBidi" w:hint="eastAsia"/>
          <w:szCs w:val="24"/>
          <w:lang w:val="en-US" w:eastAsia="zh-CN"/>
        </w:rPr>
        <w:t>年全权代表大会（韩国釜山）根据成员国提交的文稿及</w:t>
      </w:r>
      <w:r w:rsidR="00240F4D" w:rsidRPr="004804DE">
        <w:rPr>
          <w:rFonts w:cstheme="majorBidi" w:hint="eastAsia"/>
          <w:szCs w:val="24"/>
          <w:lang w:val="en-US" w:eastAsia="zh-CN"/>
        </w:rPr>
        <w:t>2012</w:t>
      </w:r>
      <w:r w:rsidR="00240F4D" w:rsidRPr="004804DE">
        <w:rPr>
          <w:rFonts w:cstheme="majorBidi" w:hint="eastAsia"/>
          <w:szCs w:val="24"/>
          <w:lang w:val="en-US" w:eastAsia="zh-CN"/>
        </w:rPr>
        <w:t>年</w:t>
      </w:r>
      <w:r w:rsidR="00240F4D" w:rsidRPr="004804DE">
        <w:rPr>
          <w:rFonts w:cstheme="majorBidi" w:hint="eastAsia"/>
          <w:szCs w:val="24"/>
          <w:lang w:val="en-US" w:eastAsia="zh-CN"/>
        </w:rPr>
        <w:t>WCIT</w:t>
      </w:r>
      <w:r w:rsidR="00240F4D" w:rsidRPr="004804DE">
        <w:rPr>
          <w:rFonts w:cstheme="majorBidi" w:hint="eastAsia"/>
          <w:szCs w:val="24"/>
          <w:lang w:val="en-US" w:eastAsia="zh-CN"/>
        </w:rPr>
        <w:t>的工作成果，通过了第</w:t>
      </w:r>
      <w:r w:rsidR="00240F4D" w:rsidRPr="004804DE">
        <w:rPr>
          <w:rFonts w:cstheme="majorBidi" w:hint="eastAsia"/>
          <w:szCs w:val="24"/>
          <w:lang w:val="en-US" w:eastAsia="zh-CN"/>
        </w:rPr>
        <w:t>146</w:t>
      </w:r>
      <w:r w:rsidR="00240F4D" w:rsidRPr="004804DE">
        <w:rPr>
          <w:rFonts w:cstheme="majorBidi" w:hint="eastAsia"/>
          <w:szCs w:val="24"/>
          <w:lang w:val="en-US" w:eastAsia="zh-CN"/>
        </w:rPr>
        <w:t>号决议</w:t>
      </w:r>
      <w:r w:rsidR="004804DE" w:rsidRPr="004804DE">
        <w:rPr>
          <w:rFonts w:ascii="SimSun" w:hAnsi="SimSun" w:cstheme="majorBidi" w:hint="eastAsia"/>
          <w:szCs w:val="24"/>
          <w:lang w:val="en-US" w:eastAsia="zh-CN"/>
        </w:rPr>
        <w:t>“</w:t>
      </w:r>
      <w:r w:rsidR="00240F4D" w:rsidRPr="004804DE">
        <w:rPr>
          <w:color w:val="000000"/>
          <w:lang w:eastAsia="zh-CN"/>
        </w:rPr>
        <w:t>《国际电信规则》的定期审议和修</w:t>
      </w:r>
      <w:r w:rsidR="00240F4D" w:rsidRPr="004804DE">
        <w:rPr>
          <w:rFonts w:cs="SimSun" w:hint="eastAsia"/>
          <w:color w:val="000000"/>
          <w:lang w:eastAsia="zh-CN"/>
        </w:rPr>
        <w:t>订</w:t>
      </w:r>
      <w:r w:rsidR="004804DE" w:rsidRPr="004804DE">
        <w:rPr>
          <w:rFonts w:ascii="SimSun" w:hAnsi="SimSun" w:cstheme="majorBidi" w:hint="eastAsia"/>
          <w:szCs w:val="24"/>
          <w:lang w:val="en-US" w:eastAsia="zh-CN"/>
        </w:rPr>
        <w:t>”</w:t>
      </w:r>
      <w:r w:rsidR="00240F4D" w:rsidRPr="004804DE">
        <w:rPr>
          <w:rFonts w:cstheme="majorBidi" w:hint="eastAsia"/>
          <w:szCs w:val="24"/>
          <w:lang w:val="en-US" w:eastAsia="zh-CN"/>
        </w:rPr>
        <w:t>，该决议要求</w:t>
      </w:r>
      <w:r w:rsidR="00240F4D" w:rsidRPr="004804DE">
        <w:rPr>
          <w:color w:val="000000"/>
          <w:lang w:eastAsia="zh-CN"/>
        </w:rPr>
        <w:t>通常须每八年定期审议一次《国际电信规则》</w:t>
      </w:r>
      <w:r w:rsidR="00240F4D" w:rsidRPr="004804DE">
        <w:rPr>
          <w:rFonts w:hint="eastAsia"/>
          <w:color w:val="000000"/>
          <w:lang w:eastAsia="zh-CN"/>
        </w:rPr>
        <w:t>且</w:t>
      </w:r>
      <w:r w:rsidR="00240F4D" w:rsidRPr="004804DE">
        <w:rPr>
          <w:color w:val="000000"/>
          <w:lang w:eastAsia="zh-CN"/>
        </w:rPr>
        <w:t>《国际电信规则》的审议进程于</w:t>
      </w:r>
      <w:r w:rsidR="00240F4D" w:rsidRPr="004804DE">
        <w:rPr>
          <w:color w:val="000000"/>
          <w:lang w:eastAsia="zh-CN"/>
        </w:rPr>
        <w:t>2017</w:t>
      </w:r>
      <w:r w:rsidR="00240F4D" w:rsidRPr="004804DE">
        <w:rPr>
          <w:color w:val="000000"/>
          <w:lang w:eastAsia="zh-CN"/>
        </w:rPr>
        <w:t>年开</w:t>
      </w:r>
      <w:r w:rsidR="00240F4D" w:rsidRPr="004804DE">
        <w:rPr>
          <w:rFonts w:cs="SimSun" w:hint="eastAsia"/>
          <w:color w:val="000000"/>
          <w:lang w:eastAsia="zh-CN"/>
        </w:rPr>
        <w:t>始。根据该决议的规定，</w:t>
      </w:r>
      <w:r w:rsidRPr="004804DE">
        <w:rPr>
          <w:rFonts w:cstheme="majorBidi"/>
          <w:szCs w:val="24"/>
          <w:lang w:eastAsia="zh-CN"/>
        </w:rPr>
        <w:t>责成秘书长着手成立向国际电联成员国和部门成员开放的《国际电信规则》专家组（</w:t>
      </w:r>
      <w:r w:rsidRPr="004804DE">
        <w:rPr>
          <w:rFonts w:cstheme="majorBidi"/>
          <w:szCs w:val="24"/>
          <w:lang w:eastAsia="zh-CN"/>
        </w:rPr>
        <w:t>EG-ITR</w:t>
      </w:r>
      <w:r w:rsidRPr="004804DE">
        <w:rPr>
          <w:rFonts w:cstheme="majorBidi"/>
          <w:szCs w:val="24"/>
          <w:lang w:eastAsia="zh-CN"/>
        </w:rPr>
        <w:t>）负责根据国际电联理事会确定的职责范围和工作方法进行《规则》的审议工作</w:t>
      </w:r>
      <w:r w:rsidR="00240F4D" w:rsidRPr="004804DE">
        <w:rPr>
          <w:rFonts w:cstheme="majorBidi" w:hint="eastAsia"/>
          <w:szCs w:val="24"/>
          <w:lang w:eastAsia="zh-CN"/>
        </w:rPr>
        <w:t>。</w:t>
      </w:r>
    </w:p>
    <w:p w:rsidR="0000589B" w:rsidRPr="004804DE" w:rsidRDefault="00240F4D" w:rsidP="00EB3C58">
      <w:pPr>
        <w:ind w:firstLineChars="200" w:firstLine="480"/>
        <w:rPr>
          <w:rFonts w:cstheme="majorBidi"/>
          <w:szCs w:val="24"/>
          <w:lang w:val="en-US" w:eastAsia="zh-CN"/>
        </w:rPr>
      </w:pPr>
      <w:r w:rsidRPr="004804DE">
        <w:rPr>
          <w:rFonts w:cstheme="majorBidi" w:hint="eastAsia"/>
          <w:szCs w:val="24"/>
          <w:lang w:val="en-US" w:eastAsia="zh-CN"/>
        </w:rPr>
        <w:t>理事会在</w:t>
      </w:r>
      <w:r w:rsidRPr="004804DE">
        <w:rPr>
          <w:rFonts w:cstheme="majorBidi" w:hint="eastAsia"/>
          <w:szCs w:val="24"/>
          <w:lang w:val="en-US" w:eastAsia="zh-CN"/>
        </w:rPr>
        <w:t>2016</w:t>
      </w:r>
      <w:r w:rsidRPr="004804DE">
        <w:rPr>
          <w:rFonts w:cstheme="majorBidi" w:hint="eastAsia"/>
          <w:szCs w:val="24"/>
          <w:lang w:val="en-US" w:eastAsia="zh-CN"/>
        </w:rPr>
        <w:t>年会议中通过了第</w:t>
      </w:r>
      <w:r w:rsidR="0000589B" w:rsidRPr="004804DE">
        <w:rPr>
          <w:rFonts w:cstheme="majorBidi"/>
          <w:szCs w:val="24"/>
          <w:lang w:val="en-US" w:eastAsia="zh-CN"/>
        </w:rPr>
        <w:t>1379</w:t>
      </w:r>
      <w:r w:rsidRPr="004804DE">
        <w:rPr>
          <w:rFonts w:cstheme="majorBidi" w:hint="eastAsia"/>
          <w:szCs w:val="24"/>
          <w:lang w:val="en-US" w:eastAsia="zh-CN"/>
        </w:rPr>
        <w:t>号决议，根据该决议成立了</w:t>
      </w:r>
      <w:r w:rsidRPr="004804DE">
        <w:rPr>
          <w:rFonts w:cstheme="majorBidi"/>
          <w:szCs w:val="24"/>
          <w:lang w:val="en-US" w:eastAsia="zh-CN"/>
        </w:rPr>
        <w:t>EG-ITR</w:t>
      </w:r>
      <w:r w:rsidRPr="004804DE">
        <w:rPr>
          <w:rFonts w:cstheme="majorBidi" w:hint="eastAsia"/>
          <w:szCs w:val="24"/>
          <w:lang w:val="en-US" w:eastAsia="zh-CN"/>
        </w:rPr>
        <w:t>并</w:t>
      </w:r>
      <w:r w:rsidR="00AD314F" w:rsidRPr="004804DE">
        <w:rPr>
          <w:rFonts w:cstheme="majorBidi" w:hint="eastAsia"/>
          <w:szCs w:val="24"/>
          <w:lang w:val="en-US" w:eastAsia="zh-CN"/>
        </w:rPr>
        <w:t>确定</w:t>
      </w:r>
      <w:r w:rsidRPr="004804DE">
        <w:rPr>
          <w:rFonts w:cstheme="majorBidi" w:hint="eastAsia"/>
          <w:szCs w:val="24"/>
          <w:lang w:val="en-US" w:eastAsia="zh-CN"/>
        </w:rPr>
        <w:t>了其职责范围和工作方法。</w:t>
      </w:r>
    </w:p>
    <w:p w:rsidR="0000589B" w:rsidRPr="004804DE" w:rsidRDefault="00AD314F" w:rsidP="00EB3C58">
      <w:pPr>
        <w:ind w:firstLineChars="200" w:firstLine="480"/>
        <w:rPr>
          <w:rFonts w:cstheme="majorBidi"/>
          <w:szCs w:val="24"/>
          <w:lang w:val="en-US" w:eastAsia="zh-CN"/>
        </w:rPr>
      </w:pPr>
      <w:r w:rsidRPr="004804DE">
        <w:rPr>
          <w:rFonts w:cstheme="majorBidi" w:hint="eastAsia"/>
          <w:szCs w:val="24"/>
          <w:lang w:val="en-US" w:eastAsia="zh-CN"/>
        </w:rPr>
        <w:t>在相关理事会会议上，多个成员国提交了有关修订</w:t>
      </w:r>
      <w:r w:rsidRPr="004804DE">
        <w:rPr>
          <w:rFonts w:cstheme="majorBidi" w:hint="eastAsia"/>
          <w:szCs w:val="24"/>
          <w:lang w:val="en-US" w:eastAsia="zh-CN"/>
        </w:rPr>
        <w:t>2012</w:t>
      </w:r>
      <w:r w:rsidRPr="004804DE">
        <w:rPr>
          <w:rFonts w:cstheme="majorBidi" w:hint="eastAsia"/>
          <w:szCs w:val="24"/>
          <w:lang w:val="en-US" w:eastAsia="zh-CN"/>
        </w:rPr>
        <w:t>年版《国际电信规则》的文稿。这些国家注意到有必要获得有关《国际电信规则》修订进程的法律和其他影响、其地位以及可能对国际电联及成员国、部门成员和全球国际电信业务的用户所带来影响的信息。但是，</w:t>
      </w:r>
      <w:r w:rsidR="00A722D8" w:rsidRPr="004804DE">
        <w:rPr>
          <w:rFonts w:cstheme="majorBidi" w:hint="eastAsia"/>
          <w:szCs w:val="24"/>
          <w:lang w:val="en-US" w:eastAsia="zh-CN"/>
        </w:rPr>
        <w:t>多个成员国和总秘书处的代表指出，在</w:t>
      </w:r>
      <w:r w:rsidR="00A722D8" w:rsidRPr="004804DE">
        <w:rPr>
          <w:rFonts w:cstheme="majorBidi" w:hint="eastAsia"/>
          <w:szCs w:val="24"/>
          <w:lang w:val="en-US" w:eastAsia="zh-CN"/>
        </w:rPr>
        <w:t>1998</w:t>
      </w:r>
      <w:r w:rsidR="00A722D8" w:rsidRPr="004804DE">
        <w:rPr>
          <w:rFonts w:cstheme="majorBidi" w:hint="eastAsia"/>
          <w:szCs w:val="24"/>
          <w:lang w:val="en-US" w:eastAsia="zh-CN"/>
        </w:rPr>
        <w:t>至</w:t>
      </w:r>
      <w:r w:rsidR="00A722D8" w:rsidRPr="004804DE">
        <w:rPr>
          <w:rFonts w:cstheme="majorBidi" w:hint="eastAsia"/>
          <w:szCs w:val="24"/>
          <w:lang w:val="en-US" w:eastAsia="zh-CN"/>
        </w:rPr>
        <w:t>2012</w:t>
      </w:r>
      <w:r w:rsidR="00A722D8" w:rsidRPr="004804DE">
        <w:rPr>
          <w:rFonts w:cstheme="majorBidi" w:hint="eastAsia"/>
          <w:szCs w:val="24"/>
          <w:lang w:val="en-US" w:eastAsia="zh-CN"/>
        </w:rPr>
        <w:t>年期间，在修订</w:t>
      </w:r>
      <w:r w:rsidR="00A722D8" w:rsidRPr="004804DE">
        <w:rPr>
          <w:rFonts w:cstheme="majorBidi" w:hint="eastAsia"/>
          <w:szCs w:val="24"/>
          <w:lang w:val="en-US" w:eastAsia="zh-CN"/>
        </w:rPr>
        <w:t>1988</w:t>
      </w:r>
      <w:r w:rsidR="00A722D8" w:rsidRPr="004804DE">
        <w:rPr>
          <w:rFonts w:cstheme="majorBidi" w:hint="eastAsia"/>
          <w:szCs w:val="24"/>
          <w:lang w:val="en-US" w:eastAsia="zh-CN"/>
        </w:rPr>
        <w:t>年版《国际电信规则》的漫长过程中，已经认真全面地研究了这些问题。</w:t>
      </w:r>
    </w:p>
    <w:p w:rsidR="0000589B" w:rsidRDefault="00A722D8" w:rsidP="00EB3C58">
      <w:pPr>
        <w:ind w:firstLineChars="200" w:firstLine="480"/>
        <w:rPr>
          <w:rFonts w:asciiTheme="majorBidi" w:hAnsiTheme="majorBidi" w:cstheme="majorBidi"/>
          <w:szCs w:val="24"/>
          <w:lang w:val="en-US" w:eastAsia="zh-CN"/>
        </w:rPr>
      </w:pPr>
      <w:r w:rsidRPr="004804DE">
        <w:rPr>
          <w:rFonts w:cstheme="majorBidi" w:hint="eastAsia"/>
          <w:szCs w:val="24"/>
          <w:lang w:val="en-US" w:eastAsia="zh-CN"/>
        </w:rPr>
        <w:t>这些小组的报告、成员国和部门成员的文稿以及总秘书处的文件包含了有关所讨论问题的信息</w:t>
      </w:r>
      <w:r>
        <w:rPr>
          <w:rFonts w:asciiTheme="majorBidi" w:hAnsiTheme="majorBidi" w:cstheme="majorBidi" w:hint="eastAsia"/>
          <w:szCs w:val="24"/>
          <w:lang w:val="en-US" w:eastAsia="zh-CN"/>
        </w:rPr>
        <w:t>。</w:t>
      </w:r>
    </w:p>
    <w:p w:rsidR="00B75ADB" w:rsidRPr="00BD0916" w:rsidRDefault="00B75ADB" w:rsidP="004F7F8E">
      <w:pPr>
        <w:pStyle w:val="Headingb"/>
        <w:rPr>
          <w:szCs w:val="24"/>
          <w:lang w:eastAsia="zh-CN"/>
        </w:rPr>
      </w:pPr>
      <w:r w:rsidRPr="00BD0916">
        <w:rPr>
          <w:rFonts w:hint="eastAsia"/>
          <w:szCs w:val="24"/>
          <w:lang w:eastAsia="zh-CN"/>
        </w:rPr>
        <w:t>提案</w:t>
      </w:r>
    </w:p>
    <w:p w:rsidR="00162541" w:rsidRPr="00DF11DA" w:rsidRDefault="00162541" w:rsidP="004804DE">
      <w:pPr>
        <w:tabs>
          <w:tab w:val="left" w:pos="720"/>
        </w:tabs>
        <w:overflowPunct/>
        <w:snapToGrid w:val="0"/>
        <w:spacing w:after="120"/>
        <w:ind w:firstLine="709"/>
        <w:jc w:val="both"/>
        <w:rPr>
          <w:rFonts w:cstheme="majorBidi"/>
          <w:szCs w:val="24"/>
          <w:lang w:val="en-US" w:eastAsia="zh-CN"/>
        </w:rPr>
      </w:pPr>
      <w:r w:rsidRPr="00DF11DA">
        <w:rPr>
          <w:rFonts w:cstheme="majorBidi" w:hint="eastAsia"/>
          <w:szCs w:val="24"/>
          <w:lang w:val="en-US" w:eastAsia="zh-CN"/>
        </w:rPr>
        <w:t>综上所述并注意到国际电联总秘书处在</w:t>
      </w:r>
      <w:r w:rsidRPr="00DF11DA">
        <w:rPr>
          <w:rFonts w:cstheme="majorBidi" w:hint="eastAsia"/>
          <w:szCs w:val="24"/>
          <w:lang w:val="en-US" w:eastAsia="zh-CN"/>
        </w:rPr>
        <w:t>2012</w:t>
      </w:r>
      <w:r w:rsidRPr="00DF11DA">
        <w:rPr>
          <w:rFonts w:cstheme="majorBidi" w:hint="eastAsia"/>
          <w:szCs w:val="24"/>
          <w:lang w:val="en-US" w:eastAsia="zh-CN"/>
        </w:rPr>
        <w:t>年</w:t>
      </w:r>
      <w:r w:rsidRPr="00DF11DA">
        <w:rPr>
          <w:rFonts w:cstheme="majorBidi" w:hint="eastAsia"/>
          <w:szCs w:val="24"/>
          <w:lang w:val="en-US" w:eastAsia="zh-CN"/>
        </w:rPr>
        <w:t>WCIT</w:t>
      </w:r>
      <w:r w:rsidRPr="00DF11DA">
        <w:rPr>
          <w:rFonts w:cstheme="majorBidi" w:hint="eastAsia"/>
          <w:szCs w:val="24"/>
          <w:lang w:val="en-US" w:eastAsia="zh-CN"/>
        </w:rPr>
        <w:t>筹备进程中起草提供的大量材料，我们特做出以下建议：</w:t>
      </w:r>
    </w:p>
    <w:p w:rsidR="00162541" w:rsidRPr="00DF11DA" w:rsidRDefault="00EB3C58" w:rsidP="00EB3C58">
      <w:pPr>
        <w:pStyle w:val="enumlev1"/>
        <w:rPr>
          <w:lang w:eastAsia="zh-CN"/>
        </w:rPr>
      </w:pPr>
      <w:r w:rsidRPr="00DF11DA">
        <w:rPr>
          <w:lang w:val="en-US" w:eastAsia="zh-CN"/>
        </w:rPr>
        <w:t>1)</w:t>
      </w:r>
      <w:r w:rsidRPr="00DF11DA">
        <w:rPr>
          <w:lang w:val="en-US" w:eastAsia="zh-CN"/>
        </w:rPr>
        <w:tab/>
      </w:r>
      <w:r w:rsidR="00162541" w:rsidRPr="00DF11DA">
        <w:rPr>
          <w:rFonts w:hint="eastAsia"/>
          <w:lang w:eastAsia="zh-CN"/>
        </w:rPr>
        <w:t>要求总秘书对</w:t>
      </w:r>
      <w:r w:rsidR="00162541" w:rsidRPr="00DF11DA">
        <w:rPr>
          <w:rFonts w:hint="eastAsia"/>
          <w:lang w:eastAsia="zh-CN"/>
        </w:rPr>
        <w:t>1998</w:t>
      </w:r>
      <w:r w:rsidR="00162541" w:rsidRPr="00DF11DA">
        <w:rPr>
          <w:rFonts w:hint="eastAsia"/>
          <w:lang w:eastAsia="zh-CN"/>
        </w:rPr>
        <w:t>至</w:t>
      </w:r>
      <w:r w:rsidR="00162541" w:rsidRPr="00DF11DA">
        <w:rPr>
          <w:rFonts w:hint="eastAsia"/>
          <w:lang w:eastAsia="zh-CN"/>
        </w:rPr>
        <w:t>2012</w:t>
      </w:r>
      <w:r w:rsidR="00162541" w:rsidRPr="00DF11DA">
        <w:rPr>
          <w:rFonts w:hint="eastAsia"/>
          <w:lang w:eastAsia="zh-CN"/>
        </w:rPr>
        <w:t>年期间起草的、有关《国际电信规则》</w:t>
      </w:r>
      <w:r w:rsidR="005103EA" w:rsidRPr="00DF11DA">
        <w:rPr>
          <w:rFonts w:hint="eastAsia"/>
          <w:lang w:eastAsia="zh-CN"/>
        </w:rPr>
        <w:t>及其修订</w:t>
      </w:r>
      <w:r w:rsidR="00162541" w:rsidRPr="00DF11DA">
        <w:rPr>
          <w:rFonts w:hint="eastAsia"/>
          <w:lang w:eastAsia="zh-CN"/>
        </w:rPr>
        <w:t>的法律和其他问题</w:t>
      </w:r>
      <w:r w:rsidR="005103EA" w:rsidRPr="00DF11DA">
        <w:rPr>
          <w:rFonts w:hint="eastAsia"/>
          <w:lang w:eastAsia="zh-CN"/>
        </w:rPr>
        <w:t>的所有文件进行</w:t>
      </w:r>
      <w:r w:rsidR="00A266DB" w:rsidRPr="00DF11DA">
        <w:rPr>
          <w:rFonts w:hint="eastAsia"/>
          <w:lang w:eastAsia="zh-CN"/>
        </w:rPr>
        <w:t>复审</w:t>
      </w:r>
      <w:r w:rsidR="005103EA" w:rsidRPr="00DF11DA">
        <w:rPr>
          <w:rFonts w:hint="eastAsia"/>
          <w:lang w:eastAsia="zh-CN"/>
        </w:rPr>
        <w:t>。</w:t>
      </w:r>
    </w:p>
    <w:p w:rsidR="00162541" w:rsidRPr="00DF11DA" w:rsidRDefault="00EB3C58" w:rsidP="00EB3C58">
      <w:pPr>
        <w:pStyle w:val="enumlev1"/>
        <w:rPr>
          <w:lang w:eastAsia="zh-CN"/>
        </w:rPr>
      </w:pPr>
      <w:r w:rsidRPr="00DF11DA">
        <w:rPr>
          <w:lang w:val="en-US" w:eastAsia="zh-CN"/>
        </w:rPr>
        <w:t>2)</w:t>
      </w:r>
      <w:r w:rsidRPr="00DF11DA">
        <w:rPr>
          <w:lang w:val="en-US" w:eastAsia="zh-CN"/>
        </w:rPr>
        <w:tab/>
      </w:r>
      <w:r w:rsidR="005103EA" w:rsidRPr="00DF11DA">
        <w:rPr>
          <w:rFonts w:hint="eastAsia"/>
          <w:lang w:eastAsia="zh-CN"/>
        </w:rPr>
        <w:t>在第</w:t>
      </w:r>
      <w:r w:rsidR="005103EA" w:rsidRPr="00DF11DA">
        <w:rPr>
          <w:rFonts w:hint="eastAsia"/>
          <w:lang w:eastAsia="zh-CN"/>
        </w:rPr>
        <w:t>1</w:t>
      </w:r>
      <w:r w:rsidR="005103EA" w:rsidRPr="00DF11DA">
        <w:rPr>
          <w:rFonts w:hint="eastAsia"/>
          <w:lang w:eastAsia="zh-CN"/>
        </w:rPr>
        <w:t>点所述的文件中，首先研究现有的法律和规则文件、背景信息和分析数据，根据当前（</w:t>
      </w:r>
      <w:r w:rsidR="005103EA" w:rsidRPr="00DF11DA">
        <w:rPr>
          <w:rFonts w:hint="eastAsia"/>
          <w:lang w:eastAsia="zh-CN"/>
        </w:rPr>
        <w:t>2017</w:t>
      </w:r>
      <w:r w:rsidR="005103EA" w:rsidRPr="00DF11DA">
        <w:rPr>
          <w:rFonts w:hint="eastAsia"/>
          <w:lang w:eastAsia="zh-CN"/>
        </w:rPr>
        <w:t>年）情况更新其状况并对包括但不限于以下文件的文件进行分析：</w:t>
      </w:r>
    </w:p>
    <w:p w:rsidR="00162541" w:rsidRPr="00DF11DA" w:rsidRDefault="00EB3C58" w:rsidP="00EB3C58">
      <w:pPr>
        <w:pStyle w:val="enumlev2"/>
        <w:rPr>
          <w:rFonts w:cstheme="majorBidi"/>
          <w:szCs w:val="24"/>
        </w:rPr>
      </w:pPr>
      <w:r w:rsidRPr="00DF11DA">
        <w:rPr>
          <w:lang w:val="en-US"/>
        </w:rPr>
        <w:t>a)</w:t>
      </w:r>
      <w:r w:rsidRPr="00DF11DA">
        <w:rPr>
          <w:lang w:val="en-US"/>
        </w:rPr>
        <w:tab/>
      </w:r>
      <w:hyperlink r:id="rId9" w:tgtFrame="_blank" w:history="1">
        <w:r w:rsidR="00162541" w:rsidRPr="00DF11DA">
          <w:rPr>
            <w:rStyle w:val="Hyperlink"/>
            <w:rFonts w:cstheme="majorBidi"/>
            <w:bCs/>
            <w:szCs w:val="24"/>
          </w:rPr>
          <w:t>CWG-WCIT12/TD-4</w:t>
        </w:r>
      </w:hyperlink>
      <w:r w:rsidR="00162541" w:rsidRPr="00DF11DA">
        <w:rPr>
          <w:rFonts w:cstheme="majorBidi"/>
          <w:bCs/>
          <w:szCs w:val="24"/>
        </w:rPr>
        <w:t xml:space="preserve"> –</w:t>
      </w:r>
      <w:r w:rsidR="00DF11DA">
        <w:rPr>
          <w:rFonts w:cstheme="majorBidi"/>
          <w:bCs/>
          <w:szCs w:val="24"/>
        </w:rPr>
        <w:t xml:space="preserve"> </w:t>
      </w:r>
      <w:r w:rsidR="00A266DB" w:rsidRPr="00DF11DA">
        <w:rPr>
          <w:rFonts w:cstheme="majorBidi" w:hint="eastAsia"/>
          <w:bCs/>
          <w:szCs w:val="24"/>
        </w:rPr>
        <w:t>1969</w:t>
      </w:r>
      <w:proofErr w:type="spellStart"/>
      <w:r w:rsidR="00A266DB" w:rsidRPr="00DF11DA">
        <w:rPr>
          <w:rFonts w:cstheme="majorBidi" w:hint="eastAsia"/>
          <w:bCs/>
          <w:szCs w:val="24"/>
        </w:rPr>
        <w:t>年</w:t>
      </w:r>
      <w:r w:rsidR="00A266DB" w:rsidRPr="00DF11DA">
        <w:t>《维也纳条约法公约</w:t>
      </w:r>
      <w:proofErr w:type="spellEnd"/>
      <w:r w:rsidR="00A266DB" w:rsidRPr="00DF11DA">
        <w:t>》</w:t>
      </w:r>
      <w:r w:rsidR="00A266DB" w:rsidRPr="00DF11DA">
        <w:rPr>
          <w:rFonts w:hint="eastAsia"/>
        </w:rPr>
        <w:t>。</w:t>
      </w:r>
      <w:proofErr w:type="spellStart"/>
      <w:r w:rsidR="00A266DB" w:rsidRPr="00DF11DA">
        <w:rPr>
          <w:rFonts w:hint="eastAsia"/>
        </w:rPr>
        <w:t>该文件全文复制了</w:t>
      </w:r>
      <w:r w:rsidR="00A266DB" w:rsidRPr="00DF11DA">
        <w:t>《维也纳条约法公约》</w:t>
      </w:r>
      <w:r w:rsidR="00A266DB" w:rsidRPr="00DF11DA">
        <w:rPr>
          <w:rFonts w:hint="eastAsia"/>
        </w:rPr>
        <w:t>第</w:t>
      </w:r>
      <w:proofErr w:type="spellEnd"/>
      <w:r w:rsidR="00A266DB" w:rsidRPr="00DF11DA">
        <w:rPr>
          <w:rFonts w:cstheme="majorBidi"/>
          <w:szCs w:val="24"/>
        </w:rPr>
        <w:t>26 ff.</w:t>
      </w:r>
      <w:proofErr w:type="spellStart"/>
      <w:r w:rsidR="00A266DB" w:rsidRPr="00DF11DA">
        <w:rPr>
          <w:rFonts w:hint="eastAsia"/>
        </w:rPr>
        <w:t>条有关条约</w:t>
      </w:r>
      <w:r w:rsidR="00A266DB" w:rsidRPr="00DF11DA">
        <w:t>的遵守、应用与解</w:t>
      </w:r>
      <w:r w:rsidR="00A266DB" w:rsidRPr="00DF11DA">
        <w:rPr>
          <w:rFonts w:cs="SimSun" w:hint="eastAsia"/>
        </w:rPr>
        <w:t>释的</w:t>
      </w:r>
      <w:r w:rsidR="00A266DB" w:rsidRPr="00DF11DA">
        <w:rPr>
          <w:rFonts w:hint="eastAsia"/>
        </w:rPr>
        <w:t>案文</w:t>
      </w:r>
      <w:proofErr w:type="spellEnd"/>
      <w:r w:rsidR="00A266DB" w:rsidRPr="00DF11DA">
        <w:rPr>
          <w:rFonts w:hint="eastAsia"/>
        </w:rPr>
        <w:t>。</w:t>
      </w:r>
    </w:p>
    <w:p w:rsidR="00162541" w:rsidRPr="00DF11DA" w:rsidRDefault="00EB3C58" w:rsidP="00EB3C58">
      <w:pPr>
        <w:pStyle w:val="enumlev2"/>
        <w:rPr>
          <w:rFonts w:cstheme="majorBidi"/>
          <w:szCs w:val="24"/>
          <w:lang w:eastAsia="zh-CN"/>
        </w:rPr>
      </w:pPr>
      <w:r w:rsidRPr="00DF11DA">
        <w:rPr>
          <w:lang w:val="en-US" w:eastAsia="zh-CN"/>
        </w:rPr>
        <w:t>b)</w:t>
      </w:r>
      <w:r w:rsidRPr="00DF11DA">
        <w:rPr>
          <w:lang w:val="en-US" w:eastAsia="zh-CN"/>
        </w:rPr>
        <w:tab/>
      </w:r>
      <w:hyperlink r:id="rId10" w:tgtFrame="_blank" w:history="1">
        <w:r w:rsidR="00162541" w:rsidRPr="00DF11DA">
          <w:rPr>
            <w:rStyle w:val="Hyperlink"/>
            <w:rFonts w:cstheme="majorBidi"/>
            <w:bCs/>
            <w:szCs w:val="24"/>
            <w:lang w:eastAsia="zh-CN"/>
          </w:rPr>
          <w:t>CWG-WCIT12/TD-5</w:t>
        </w:r>
      </w:hyperlink>
      <w:r w:rsidR="00162541" w:rsidRPr="00DF11DA">
        <w:rPr>
          <w:rFonts w:cstheme="majorBidi"/>
          <w:bCs/>
          <w:szCs w:val="24"/>
          <w:lang w:eastAsia="zh-CN"/>
        </w:rPr>
        <w:t xml:space="preserve"> –</w:t>
      </w:r>
      <w:r w:rsidR="00A266DB" w:rsidRPr="00DF11DA">
        <w:rPr>
          <w:lang w:eastAsia="zh-CN"/>
        </w:rPr>
        <w:t>法律性背景资</w:t>
      </w:r>
      <w:r w:rsidR="00A266DB" w:rsidRPr="00DF11DA">
        <w:rPr>
          <w:rFonts w:cs="SimSun" w:hint="eastAsia"/>
          <w:lang w:eastAsia="zh-CN"/>
        </w:rPr>
        <w:t>料。</w:t>
      </w:r>
      <w:r w:rsidR="00A266DB" w:rsidRPr="00DF11DA">
        <w:rPr>
          <w:lang w:eastAsia="zh-CN"/>
        </w:rPr>
        <w:t>在过去</w:t>
      </w:r>
      <w:r w:rsidR="00A266DB" w:rsidRPr="00DF11DA">
        <w:rPr>
          <w:lang w:eastAsia="zh-CN"/>
        </w:rPr>
        <w:t>ITR-EG</w:t>
      </w:r>
      <w:r w:rsidR="00A266DB" w:rsidRPr="00DF11DA">
        <w:rPr>
          <w:lang w:eastAsia="zh-CN"/>
        </w:rPr>
        <w:t>会议的讨论中，反复出现的问题是</w:t>
      </w:r>
      <w:r w:rsidR="00DF11DA" w:rsidRPr="00DF11DA">
        <w:rPr>
          <w:rFonts w:ascii="SimSun" w:hAnsi="SimSun"/>
          <w:lang w:eastAsia="zh-CN"/>
        </w:rPr>
        <w:t>“</w:t>
      </w:r>
      <w:r w:rsidR="00A266DB" w:rsidRPr="00DF11DA">
        <w:rPr>
          <w:lang w:eastAsia="zh-CN"/>
        </w:rPr>
        <w:t>条约中的这一或那一用词具有什么法律意义</w:t>
      </w:r>
      <w:r w:rsidR="00A266DB" w:rsidRPr="00DF11DA">
        <w:rPr>
          <w:rFonts w:cs="SimSun" w:hint="eastAsia"/>
          <w:lang w:eastAsia="zh-CN"/>
        </w:rPr>
        <w:t>？</w:t>
      </w:r>
      <w:r w:rsidR="004804DE" w:rsidRPr="004804DE">
        <w:rPr>
          <w:rFonts w:ascii="SimSun" w:hAnsi="SimSun" w:cs="SimSun"/>
          <w:lang w:eastAsia="zh-CN"/>
        </w:rPr>
        <w:t>”</w:t>
      </w:r>
      <w:r w:rsidR="00A266DB" w:rsidRPr="00DF11DA">
        <w:rPr>
          <w:rFonts w:cs="SimSun" w:hint="eastAsia"/>
          <w:lang w:eastAsia="zh-CN"/>
        </w:rPr>
        <w:t>该文件</w:t>
      </w:r>
      <w:r w:rsidR="00A266DB" w:rsidRPr="00DF11DA">
        <w:rPr>
          <w:lang w:eastAsia="zh-CN"/>
        </w:rPr>
        <w:t>旨在提出一些回答这类问题时需加考虑的问题</w:t>
      </w:r>
      <w:r w:rsidR="00A266DB" w:rsidRPr="00DF11DA">
        <w:rPr>
          <w:rFonts w:cs="SimSun" w:hint="eastAsia"/>
          <w:lang w:eastAsia="zh-CN"/>
        </w:rPr>
        <w:t>。</w:t>
      </w:r>
    </w:p>
    <w:p w:rsidR="00162541" w:rsidRPr="00DF11DA" w:rsidRDefault="00EB3C58" w:rsidP="00EB3C58">
      <w:pPr>
        <w:pStyle w:val="enumlev2"/>
        <w:rPr>
          <w:rFonts w:cstheme="majorBidi"/>
          <w:szCs w:val="24"/>
          <w:lang w:eastAsia="zh-CN"/>
        </w:rPr>
      </w:pPr>
      <w:r w:rsidRPr="00DF11DA">
        <w:rPr>
          <w:lang w:val="en-US" w:eastAsia="zh-CN"/>
        </w:rPr>
        <w:t>c)</w:t>
      </w:r>
      <w:r w:rsidRPr="00DF11DA">
        <w:rPr>
          <w:lang w:val="en-US" w:eastAsia="zh-CN"/>
        </w:rPr>
        <w:tab/>
      </w:r>
      <w:hyperlink r:id="rId11" w:tgtFrame="_blank" w:history="1">
        <w:r w:rsidR="00162541" w:rsidRPr="00DF11DA">
          <w:rPr>
            <w:rStyle w:val="Hyperlink"/>
            <w:rFonts w:cstheme="majorBidi"/>
            <w:bCs/>
            <w:szCs w:val="24"/>
            <w:lang w:eastAsia="zh-CN"/>
          </w:rPr>
          <w:t>CWG-WCIT12/TD-16</w:t>
        </w:r>
      </w:hyperlink>
      <w:r w:rsidR="00162541" w:rsidRPr="00DF11DA">
        <w:rPr>
          <w:rFonts w:cstheme="majorBidi"/>
          <w:szCs w:val="24"/>
          <w:lang w:eastAsia="zh-CN"/>
        </w:rPr>
        <w:t xml:space="preserve"> </w:t>
      </w:r>
      <w:r w:rsidR="00162541" w:rsidRPr="00DF11DA">
        <w:rPr>
          <w:rFonts w:cstheme="majorBidi"/>
          <w:bCs/>
          <w:szCs w:val="24"/>
          <w:lang w:eastAsia="zh-CN"/>
        </w:rPr>
        <w:t>– </w:t>
      </w:r>
      <w:r w:rsidR="00CC1F96" w:rsidRPr="00DF11DA">
        <w:rPr>
          <w:lang w:eastAsia="zh-CN"/>
        </w:rPr>
        <w:t>国际组织表述其规范权利的单边法律文</w:t>
      </w:r>
      <w:r w:rsidR="00CC1F96" w:rsidRPr="00DF11DA">
        <w:rPr>
          <w:rFonts w:cs="SimSun" w:hint="eastAsia"/>
          <w:lang w:eastAsia="zh-CN"/>
        </w:rPr>
        <w:t>件。有关国际组织（在该情况下为国际电联）</w:t>
      </w:r>
      <w:r w:rsidR="00DF11DA" w:rsidRPr="00DF11DA">
        <w:rPr>
          <w:rFonts w:ascii="SimSun" w:hAnsi="SimSun" w:cs="SimSun" w:hint="eastAsia"/>
          <w:lang w:eastAsia="zh-CN"/>
        </w:rPr>
        <w:t>“</w:t>
      </w:r>
      <w:r w:rsidR="00CC1F96" w:rsidRPr="00DF11DA">
        <w:rPr>
          <w:rFonts w:cs="SimSun" w:hint="eastAsia"/>
          <w:lang w:eastAsia="zh-CN"/>
        </w:rPr>
        <w:t>规范权利</w:t>
      </w:r>
      <w:r w:rsidR="00DF11DA" w:rsidRPr="00DF11DA">
        <w:rPr>
          <w:rFonts w:ascii="SimSun" w:hAnsi="SimSun" w:cs="SimSun" w:hint="eastAsia"/>
          <w:lang w:eastAsia="zh-CN"/>
        </w:rPr>
        <w:t>”</w:t>
      </w:r>
      <w:r w:rsidR="00CC1F96" w:rsidRPr="00DF11DA">
        <w:rPr>
          <w:rFonts w:cs="SimSun" w:hint="eastAsia"/>
          <w:lang w:eastAsia="zh-CN"/>
        </w:rPr>
        <w:t>的解释以及在国际组织直接规定的国际法条款对成员国具有约束力的情况下他们做出的决定所产生的影响。</w:t>
      </w:r>
    </w:p>
    <w:p w:rsidR="00162541" w:rsidRPr="00DF11DA" w:rsidRDefault="00EB3C58" w:rsidP="00EB3C58">
      <w:pPr>
        <w:pStyle w:val="enumlev2"/>
      </w:pPr>
      <w:r w:rsidRPr="00DF11DA">
        <w:rPr>
          <w:lang w:val="en-US"/>
        </w:rPr>
        <w:t>d)</w:t>
      </w:r>
      <w:r w:rsidRPr="00DF11DA">
        <w:rPr>
          <w:lang w:val="en-US"/>
        </w:rPr>
        <w:tab/>
      </w:r>
      <w:hyperlink r:id="rId12" w:tgtFrame="_blank" w:history="1">
        <w:r w:rsidR="00162541" w:rsidRPr="00DF11DA">
          <w:rPr>
            <w:rStyle w:val="Hyperlink"/>
            <w:rFonts w:cstheme="majorBidi"/>
            <w:bCs/>
            <w:szCs w:val="24"/>
          </w:rPr>
          <w:t>TD 30 (PLEN/ITR-EG)</w:t>
        </w:r>
      </w:hyperlink>
      <w:r w:rsidR="00162541" w:rsidRPr="00DF11DA">
        <w:t> </w:t>
      </w:r>
      <w:r w:rsidR="00DF11DA" w:rsidRPr="00DF11DA">
        <w:rPr>
          <w:bCs/>
        </w:rPr>
        <w:t>–</w:t>
      </w:r>
      <w:r w:rsidR="00162541" w:rsidRPr="00DF11DA">
        <w:rPr>
          <w:bCs/>
        </w:rPr>
        <w:t> </w:t>
      </w:r>
      <w:proofErr w:type="spellStart"/>
      <w:r w:rsidR="00CC1F96" w:rsidRPr="00DF11DA">
        <w:rPr>
          <w:rFonts w:hint="eastAsia"/>
          <w:bCs/>
        </w:rPr>
        <w:t>有关同意受</w:t>
      </w:r>
      <w:r w:rsidR="00CC1F96" w:rsidRPr="00DF11DA">
        <w:rPr>
          <w:rFonts w:hint="eastAsia"/>
        </w:rPr>
        <w:t>《国际电信规则》约束的思路。文件探讨了成员国接受根据国际电联《组织法》和《公约》施行《国际电信规则》的义务的问题</w:t>
      </w:r>
      <w:proofErr w:type="spellEnd"/>
      <w:r w:rsidR="00CC1F96" w:rsidRPr="00DF11DA">
        <w:rPr>
          <w:rFonts w:hint="eastAsia"/>
        </w:rPr>
        <w:t>。</w:t>
      </w:r>
    </w:p>
    <w:p w:rsidR="00162541" w:rsidRPr="00DF11DA" w:rsidRDefault="00EB3C58" w:rsidP="00EB3C58">
      <w:pPr>
        <w:pStyle w:val="enumlev2"/>
        <w:rPr>
          <w:lang w:eastAsia="zh-CN"/>
        </w:rPr>
      </w:pPr>
      <w:r w:rsidRPr="00DF11DA">
        <w:rPr>
          <w:lang w:val="en-US" w:eastAsia="zh-CN"/>
        </w:rPr>
        <w:t>e)</w:t>
      </w:r>
      <w:r w:rsidRPr="00DF11DA">
        <w:rPr>
          <w:lang w:val="en-US" w:eastAsia="zh-CN"/>
        </w:rPr>
        <w:tab/>
      </w:r>
      <w:hyperlink r:id="rId13" w:history="1">
        <w:r w:rsidR="00162541" w:rsidRPr="00DF11DA">
          <w:rPr>
            <w:rStyle w:val="Hyperlink"/>
            <w:rFonts w:cstheme="majorBidi"/>
            <w:bCs/>
            <w:szCs w:val="24"/>
            <w:lang w:eastAsia="zh-CN"/>
          </w:rPr>
          <w:t>CWG-WCIT12/INF-1</w:t>
        </w:r>
      </w:hyperlink>
      <w:r w:rsidR="00162541" w:rsidRPr="00DF11DA">
        <w:rPr>
          <w:bCs/>
          <w:lang w:eastAsia="zh-CN"/>
        </w:rPr>
        <w:t> – </w:t>
      </w:r>
      <w:r w:rsidR="00CC1F96" w:rsidRPr="00DF11DA">
        <w:rPr>
          <w:color w:val="000000"/>
          <w:lang w:eastAsia="zh-CN"/>
        </w:rPr>
        <w:t>现行《国际电信规则》</w:t>
      </w:r>
      <w:r w:rsidR="00CC1F96" w:rsidRPr="00DF11DA">
        <w:rPr>
          <w:rFonts w:hint="eastAsia"/>
          <w:color w:val="000000"/>
          <w:lang w:eastAsia="zh-CN"/>
        </w:rPr>
        <w:t>（</w:t>
      </w:r>
      <w:r w:rsidR="00CC1F96" w:rsidRPr="00DF11DA">
        <w:rPr>
          <w:rFonts w:hint="eastAsia"/>
          <w:color w:val="000000"/>
          <w:lang w:eastAsia="zh-CN"/>
        </w:rPr>
        <w:t>1988</w:t>
      </w:r>
      <w:r w:rsidR="00CC1F96" w:rsidRPr="00DF11DA">
        <w:rPr>
          <w:rFonts w:hint="eastAsia"/>
          <w:color w:val="000000"/>
          <w:lang w:eastAsia="zh-CN"/>
        </w:rPr>
        <w:t>年版）</w:t>
      </w:r>
      <w:r w:rsidR="00CC1F96" w:rsidRPr="00DF11DA">
        <w:rPr>
          <w:color w:val="000000"/>
          <w:lang w:eastAsia="zh-CN"/>
        </w:rPr>
        <w:t>的前</w:t>
      </w:r>
      <w:r w:rsidR="00CC1F96" w:rsidRPr="00DF11DA">
        <w:rPr>
          <w:rFonts w:cs="SimSun" w:hint="eastAsia"/>
          <w:color w:val="000000"/>
          <w:lang w:eastAsia="zh-CN"/>
        </w:rPr>
        <w:t>身。</w:t>
      </w:r>
    </w:p>
    <w:p w:rsidR="00162541" w:rsidRPr="00DF11DA" w:rsidRDefault="00EB3C58" w:rsidP="00EB3C58">
      <w:pPr>
        <w:pStyle w:val="enumlev2"/>
        <w:rPr>
          <w:lang w:eastAsia="zh-CN"/>
        </w:rPr>
      </w:pPr>
      <w:r w:rsidRPr="00DF11DA">
        <w:rPr>
          <w:lang w:val="en-US" w:eastAsia="zh-CN"/>
        </w:rPr>
        <w:t>f)</w:t>
      </w:r>
      <w:r w:rsidRPr="00DF11DA">
        <w:rPr>
          <w:lang w:val="en-US" w:eastAsia="zh-CN"/>
        </w:rPr>
        <w:tab/>
      </w:r>
      <w:hyperlink r:id="rId14" w:history="1">
        <w:r w:rsidR="00162541" w:rsidRPr="00DF11DA">
          <w:rPr>
            <w:rStyle w:val="Hyperlink"/>
            <w:rFonts w:cstheme="majorBidi"/>
            <w:bCs/>
            <w:szCs w:val="24"/>
            <w:lang w:eastAsia="zh-CN"/>
          </w:rPr>
          <w:t>CWG-WCIT12/INF-2</w:t>
        </w:r>
      </w:hyperlink>
      <w:r w:rsidR="00162541" w:rsidRPr="00DF11DA">
        <w:rPr>
          <w:bCs/>
          <w:lang w:eastAsia="zh-CN"/>
        </w:rPr>
        <w:t> – </w:t>
      </w:r>
      <w:r w:rsidR="00CC1F96" w:rsidRPr="00DF11DA">
        <w:rPr>
          <w:rFonts w:hint="eastAsia"/>
          <w:color w:val="000000"/>
          <w:lang w:eastAsia="zh-CN"/>
        </w:rPr>
        <w:t>1988</w:t>
      </w:r>
      <w:r w:rsidR="00CC1F96" w:rsidRPr="00DF11DA">
        <w:rPr>
          <w:rFonts w:hint="eastAsia"/>
          <w:color w:val="000000"/>
          <w:lang w:eastAsia="zh-CN"/>
        </w:rPr>
        <w:t>年版</w:t>
      </w:r>
      <w:r w:rsidR="00CC1F96" w:rsidRPr="00DF11DA">
        <w:rPr>
          <w:color w:val="000000"/>
          <w:lang w:eastAsia="zh-CN"/>
        </w:rPr>
        <w:t>《国际电信规则》</w:t>
      </w:r>
      <w:r w:rsidR="00DF11DA" w:rsidRPr="00DF11DA">
        <w:rPr>
          <w:rFonts w:ascii="SimSun" w:hAnsi="SimSun" w:hint="eastAsia"/>
          <w:color w:val="000000"/>
          <w:lang w:eastAsia="zh-CN"/>
        </w:rPr>
        <w:t>“</w:t>
      </w:r>
      <w:r w:rsidR="00CC1F96" w:rsidRPr="00DF11DA">
        <w:rPr>
          <w:rFonts w:hint="eastAsia"/>
          <w:color w:val="000000"/>
          <w:lang w:eastAsia="zh-CN"/>
        </w:rPr>
        <w:t>责成</w:t>
      </w:r>
      <w:r w:rsidR="00DF11DA" w:rsidRPr="00DF11DA">
        <w:rPr>
          <w:rFonts w:ascii="SimSun" w:hAnsi="SimSun" w:hint="eastAsia"/>
          <w:color w:val="000000"/>
          <w:lang w:eastAsia="zh-CN"/>
        </w:rPr>
        <w:t>”</w:t>
      </w:r>
      <w:r w:rsidR="00CC1F96" w:rsidRPr="00DF11DA">
        <w:rPr>
          <w:rFonts w:hint="eastAsia"/>
          <w:color w:val="000000"/>
          <w:lang w:eastAsia="zh-CN"/>
        </w:rPr>
        <w:t>部分的地位</w:t>
      </w:r>
      <w:r w:rsidRPr="00DF11DA">
        <w:rPr>
          <w:rFonts w:hint="eastAsia"/>
          <w:color w:val="000000"/>
          <w:lang w:eastAsia="zh-CN"/>
        </w:rPr>
        <w:t>。</w:t>
      </w:r>
    </w:p>
    <w:p w:rsidR="00162541" w:rsidRPr="00DF11DA" w:rsidRDefault="00EB3C58" w:rsidP="00EB3C58">
      <w:pPr>
        <w:pStyle w:val="enumlev2"/>
        <w:rPr>
          <w:lang w:eastAsia="zh-CN"/>
        </w:rPr>
      </w:pPr>
      <w:r w:rsidRPr="00DF11DA">
        <w:rPr>
          <w:lang w:val="en-US" w:eastAsia="zh-CN"/>
        </w:rPr>
        <w:t>g)</w:t>
      </w:r>
      <w:r w:rsidRPr="00DF11DA">
        <w:rPr>
          <w:lang w:val="en-US" w:eastAsia="zh-CN"/>
        </w:rPr>
        <w:tab/>
      </w:r>
      <w:hyperlink r:id="rId15" w:history="1">
        <w:r w:rsidR="00162541" w:rsidRPr="00DF11DA">
          <w:rPr>
            <w:rStyle w:val="Hyperlink"/>
            <w:rFonts w:cstheme="majorBidi"/>
            <w:szCs w:val="24"/>
            <w:lang w:eastAsia="zh-CN"/>
          </w:rPr>
          <w:t>CWG-WCIT12/INF-3</w:t>
        </w:r>
      </w:hyperlink>
      <w:r w:rsidR="00162541" w:rsidRPr="00DF11DA">
        <w:rPr>
          <w:bCs/>
          <w:lang w:eastAsia="zh-CN"/>
        </w:rPr>
        <w:t> – </w:t>
      </w:r>
      <w:r w:rsidR="00CC1F96" w:rsidRPr="00DF11DA">
        <w:rPr>
          <w:color w:val="000000"/>
          <w:lang w:eastAsia="zh-CN"/>
        </w:rPr>
        <w:t>国际电联有关对电信业务和相关产品征税的讲习班摘</w:t>
      </w:r>
      <w:r w:rsidR="00CC1F96" w:rsidRPr="00DF11DA">
        <w:rPr>
          <w:rFonts w:cs="SimSun" w:hint="eastAsia"/>
          <w:color w:val="000000"/>
          <w:lang w:eastAsia="zh-CN"/>
        </w:rPr>
        <w:t>要。</w:t>
      </w:r>
    </w:p>
    <w:p w:rsidR="00162541" w:rsidRPr="00DF11DA" w:rsidRDefault="00EB3C58" w:rsidP="00A914A3">
      <w:pPr>
        <w:pStyle w:val="enumlev2"/>
        <w:rPr>
          <w:lang w:eastAsia="zh-CN"/>
        </w:rPr>
      </w:pPr>
      <w:r w:rsidRPr="00DF11DA">
        <w:rPr>
          <w:lang w:val="en-US" w:eastAsia="zh-CN"/>
        </w:rPr>
        <w:t>h)</w:t>
      </w:r>
      <w:r w:rsidRPr="00DF11DA">
        <w:rPr>
          <w:lang w:val="en-US" w:eastAsia="zh-CN"/>
        </w:rPr>
        <w:tab/>
      </w:r>
      <w:hyperlink r:id="rId16" w:history="1">
        <w:r w:rsidR="00162541" w:rsidRPr="00DF11DA">
          <w:rPr>
            <w:rStyle w:val="Hyperlink"/>
            <w:rFonts w:cstheme="majorBidi"/>
            <w:szCs w:val="24"/>
            <w:lang w:eastAsia="zh-CN"/>
          </w:rPr>
          <w:t>CWG-WCIT12/INF-4 Rev.1</w:t>
        </w:r>
      </w:hyperlink>
      <w:r w:rsidR="00162541" w:rsidRPr="00DF11DA">
        <w:rPr>
          <w:bCs/>
          <w:lang w:eastAsia="zh-CN"/>
        </w:rPr>
        <w:t> – </w:t>
      </w:r>
      <w:r w:rsidR="00162541" w:rsidRPr="00DF11DA">
        <w:rPr>
          <w:lang w:eastAsia="zh-CN"/>
        </w:rPr>
        <w:t>ITU-T E.156</w:t>
      </w:r>
      <w:r w:rsidR="00D70514" w:rsidRPr="00DF11DA">
        <w:rPr>
          <w:rFonts w:hint="eastAsia"/>
          <w:lang w:eastAsia="zh-CN"/>
        </w:rPr>
        <w:t>建议书的增补</w:t>
      </w:r>
      <w:r w:rsidR="00D70514" w:rsidRPr="00DF11DA">
        <w:rPr>
          <w:rFonts w:hint="eastAsia"/>
          <w:lang w:eastAsia="zh-CN"/>
        </w:rPr>
        <w:t>2</w:t>
      </w:r>
      <w:r w:rsidRPr="00DF11DA">
        <w:rPr>
          <w:rFonts w:hint="eastAsia"/>
          <w:lang w:eastAsia="zh-CN"/>
        </w:rPr>
        <w:t>。</w:t>
      </w:r>
      <w:r w:rsidR="00D70514" w:rsidRPr="00DF11DA">
        <w:rPr>
          <w:rFonts w:hint="eastAsia"/>
          <w:bCs/>
          <w:lang w:eastAsia="zh-CN"/>
        </w:rPr>
        <w:t>有关</w:t>
      </w:r>
      <w:r w:rsidR="00D70514" w:rsidRPr="00DF11DA">
        <w:rPr>
          <w:color w:val="000000"/>
          <w:lang w:eastAsia="zh-CN"/>
        </w:rPr>
        <w:t>滥用码号资</w:t>
      </w:r>
      <w:r w:rsidR="00D70514" w:rsidRPr="00DF11DA">
        <w:rPr>
          <w:rFonts w:cs="SimSun" w:hint="eastAsia"/>
          <w:color w:val="000000"/>
          <w:lang w:eastAsia="zh-CN"/>
        </w:rPr>
        <w:t>源的问题</w:t>
      </w:r>
      <w:r w:rsidR="00A914A3">
        <w:rPr>
          <w:rFonts w:cs="SimSun" w:hint="eastAsia"/>
          <w:color w:val="000000"/>
          <w:lang w:eastAsia="zh-CN"/>
        </w:rPr>
        <w:t>。</w:t>
      </w:r>
    </w:p>
    <w:p w:rsidR="00162541" w:rsidRPr="00DF11DA" w:rsidRDefault="00EB3C58" w:rsidP="00EB3C58">
      <w:pPr>
        <w:pStyle w:val="enumlev2"/>
      </w:pPr>
      <w:proofErr w:type="spellStart"/>
      <w:r w:rsidRPr="00DF11DA">
        <w:rPr>
          <w:lang w:val="en-US"/>
        </w:rPr>
        <w:t>i</w:t>
      </w:r>
      <w:proofErr w:type="spellEnd"/>
      <w:r w:rsidRPr="00DF11DA">
        <w:rPr>
          <w:lang w:val="en-US"/>
        </w:rPr>
        <w:t>)</w:t>
      </w:r>
      <w:r w:rsidRPr="00DF11DA">
        <w:rPr>
          <w:lang w:val="en-US"/>
        </w:rPr>
        <w:tab/>
      </w:r>
      <w:hyperlink r:id="rId17" w:history="1">
        <w:r w:rsidR="00162541" w:rsidRPr="00DF11DA">
          <w:rPr>
            <w:rStyle w:val="Hyperlink"/>
            <w:rFonts w:cstheme="majorBidi"/>
            <w:szCs w:val="24"/>
          </w:rPr>
          <w:t>CWG-WCIT12/INF-5</w:t>
        </w:r>
      </w:hyperlink>
      <w:r w:rsidR="00162541" w:rsidRPr="00DF11DA">
        <w:t> – </w:t>
      </w:r>
      <w:proofErr w:type="spellStart"/>
      <w:r w:rsidR="00D70514" w:rsidRPr="00DF11DA">
        <w:rPr>
          <w:color w:val="000000"/>
        </w:rPr>
        <w:t>服务质量概</w:t>
      </w:r>
      <w:r w:rsidR="00D70514" w:rsidRPr="00DF11DA">
        <w:rPr>
          <w:rFonts w:cs="SimSun" w:hint="eastAsia"/>
          <w:color w:val="000000"/>
        </w:rPr>
        <w:t>览</w:t>
      </w:r>
      <w:proofErr w:type="spellEnd"/>
      <w:r w:rsidR="00D70514" w:rsidRPr="00DF11DA">
        <w:rPr>
          <w:rFonts w:cs="SimSun" w:hint="eastAsia"/>
          <w:color w:val="000000"/>
        </w:rPr>
        <w:t>。</w:t>
      </w:r>
    </w:p>
    <w:p w:rsidR="00162541" w:rsidRPr="00DF11DA" w:rsidRDefault="00EB3C58" w:rsidP="00EB3C58">
      <w:pPr>
        <w:pStyle w:val="enumlev2"/>
      </w:pPr>
      <w:r w:rsidRPr="00DF11DA">
        <w:rPr>
          <w:lang w:val="en-US"/>
        </w:rPr>
        <w:lastRenderedPageBreak/>
        <w:t>j)</w:t>
      </w:r>
      <w:r w:rsidRPr="00DF11DA">
        <w:rPr>
          <w:lang w:val="en-US"/>
        </w:rPr>
        <w:tab/>
      </w:r>
      <w:hyperlink r:id="rId18" w:history="1">
        <w:r w:rsidR="00162541" w:rsidRPr="00DF11DA">
          <w:rPr>
            <w:rStyle w:val="Hyperlink"/>
            <w:rFonts w:cstheme="majorBidi"/>
            <w:szCs w:val="24"/>
          </w:rPr>
          <w:t>CWG-WCIT12/INF-6</w:t>
        </w:r>
      </w:hyperlink>
      <w:r w:rsidR="00162541" w:rsidRPr="00DF11DA">
        <w:rPr>
          <w:bCs/>
        </w:rPr>
        <w:t> – </w:t>
      </w:r>
      <w:proofErr w:type="spellStart"/>
      <w:r w:rsidR="00D70514" w:rsidRPr="00DF11DA">
        <w:rPr>
          <w:rFonts w:hint="eastAsia"/>
          <w:bCs/>
        </w:rPr>
        <w:t>业务融合概述</w:t>
      </w:r>
      <w:proofErr w:type="spellEnd"/>
      <w:r w:rsidR="00D70514" w:rsidRPr="00DF11DA">
        <w:rPr>
          <w:rFonts w:hint="eastAsia"/>
          <w:bCs/>
        </w:rPr>
        <w:t>。</w:t>
      </w:r>
    </w:p>
    <w:p w:rsidR="00162541" w:rsidRPr="00DF11DA" w:rsidRDefault="00EB3C58" w:rsidP="00EB3C58">
      <w:pPr>
        <w:pStyle w:val="enumlev2"/>
      </w:pPr>
      <w:r w:rsidRPr="00DF11DA">
        <w:rPr>
          <w:lang w:val="en-US"/>
        </w:rPr>
        <w:t>k)</w:t>
      </w:r>
      <w:r w:rsidRPr="00DF11DA">
        <w:rPr>
          <w:lang w:val="en-US"/>
        </w:rPr>
        <w:tab/>
      </w:r>
      <w:hyperlink r:id="rId19" w:history="1">
        <w:r w:rsidR="00162541" w:rsidRPr="00DF11DA">
          <w:rPr>
            <w:rStyle w:val="Hyperlink"/>
            <w:rFonts w:cstheme="majorBidi"/>
            <w:szCs w:val="24"/>
          </w:rPr>
          <w:t>CWG-WCIT12/INF-7</w:t>
        </w:r>
      </w:hyperlink>
      <w:r w:rsidR="00162541" w:rsidRPr="00DF11DA">
        <w:t> – </w:t>
      </w:r>
      <w:proofErr w:type="spellStart"/>
      <w:r w:rsidR="00D70514" w:rsidRPr="00DF11DA">
        <w:rPr>
          <w:rFonts w:hint="eastAsia"/>
        </w:rPr>
        <w:t>使用</w:t>
      </w:r>
      <w:proofErr w:type="spellEnd"/>
      <w:r w:rsidR="00D70514" w:rsidRPr="00DF11DA">
        <w:rPr>
          <w:rFonts w:hint="eastAsia"/>
        </w:rPr>
        <w:t>ICT</w:t>
      </w:r>
      <w:proofErr w:type="spellStart"/>
      <w:r w:rsidR="00D70514" w:rsidRPr="00DF11DA">
        <w:rPr>
          <w:rFonts w:hint="eastAsia"/>
        </w:rPr>
        <w:t>的安全</w:t>
      </w:r>
      <w:proofErr w:type="spellEnd"/>
      <w:r w:rsidR="00D70514" w:rsidRPr="00DF11DA">
        <w:rPr>
          <w:rFonts w:hint="eastAsia"/>
        </w:rPr>
        <w:t>。</w:t>
      </w:r>
    </w:p>
    <w:p w:rsidR="00162541" w:rsidRPr="00DF11DA" w:rsidRDefault="00EB3C58" w:rsidP="00EB3C58">
      <w:pPr>
        <w:pStyle w:val="enumlev2"/>
      </w:pPr>
      <w:r w:rsidRPr="00DF11DA">
        <w:rPr>
          <w:lang w:val="en-US"/>
        </w:rPr>
        <w:t>l)</w:t>
      </w:r>
      <w:r w:rsidRPr="00DF11DA">
        <w:rPr>
          <w:lang w:val="en-US"/>
        </w:rPr>
        <w:tab/>
      </w:r>
      <w:hyperlink r:id="rId20" w:history="1">
        <w:r w:rsidR="00162541" w:rsidRPr="00DF11DA">
          <w:rPr>
            <w:rStyle w:val="Hyperlink"/>
            <w:rFonts w:cstheme="majorBidi"/>
            <w:szCs w:val="24"/>
          </w:rPr>
          <w:t>CWG-WCIT12/INF-8</w:t>
        </w:r>
      </w:hyperlink>
      <w:r w:rsidR="00162541" w:rsidRPr="00DF11DA">
        <w:rPr>
          <w:bCs/>
        </w:rPr>
        <w:t> – </w:t>
      </w:r>
      <w:proofErr w:type="spellStart"/>
      <w:r w:rsidR="00D70514" w:rsidRPr="00DF11DA">
        <w:rPr>
          <w:color w:val="000000"/>
        </w:rPr>
        <w:t>执行问题概述，包括</w:t>
      </w:r>
      <w:proofErr w:type="spellEnd"/>
      <w:r w:rsidR="00D70514" w:rsidRPr="00DF11DA">
        <w:rPr>
          <w:color w:val="000000"/>
        </w:rPr>
        <w:t>ITU-T</w:t>
      </w:r>
      <w:proofErr w:type="spellStart"/>
      <w:r w:rsidR="00D70514" w:rsidRPr="00DF11DA">
        <w:rPr>
          <w:color w:val="000000"/>
        </w:rPr>
        <w:t>建议书的地</w:t>
      </w:r>
      <w:r w:rsidR="00D70514" w:rsidRPr="00DF11DA">
        <w:rPr>
          <w:rFonts w:cs="SimSun" w:hint="eastAsia"/>
          <w:color w:val="000000"/>
        </w:rPr>
        <w:t>位</w:t>
      </w:r>
      <w:proofErr w:type="spellEnd"/>
      <w:r w:rsidR="00D70514" w:rsidRPr="00DF11DA">
        <w:rPr>
          <w:rFonts w:cs="SimSun" w:hint="eastAsia"/>
          <w:color w:val="000000"/>
        </w:rPr>
        <w:t>。</w:t>
      </w:r>
    </w:p>
    <w:p w:rsidR="00162541" w:rsidRPr="00DF11DA" w:rsidRDefault="00EB3C58" w:rsidP="00EB3C58">
      <w:pPr>
        <w:pStyle w:val="enumlev2"/>
      </w:pPr>
      <w:r w:rsidRPr="00DF11DA">
        <w:rPr>
          <w:lang w:val="en-US"/>
        </w:rPr>
        <w:t>m)</w:t>
      </w:r>
      <w:r w:rsidRPr="00DF11DA">
        <w:rPr>
          <w:lang w:val="en-US"/>
        </w:rPr>
        <w:tab/>
      </w:r>
      <w:hyperlink r:id="rId21" w:history="1">
        <w:r w:rsidR="00162541" w:rsidRPr="00DF11DA">
          <w:rPr>
            <w:rStyle w:val="Hyperlink"/>
            <w:rFonts w:cstheme="majorBidi"/>
            <w:szCs w:val="24"/>
          </w:rPr>
          <w:t>CWG-WCIT12/INF-9</w:t>
        </w:r>
      </w:hyperlink>
      <w:r w:rsidR="00162541" w:rsidRPr="00DF11DA">
        <w:t> – </w:t>
      </w:r>
      <w:proofErr w:type="spellStart"/>
      <w:r w:rsidR="00D70514" w:rsidRPr="00DF11DA">
        <w:rPr>
          <w:rFonts w:hint="eastAsia"/>
        </w:rPr>
        <w:t>国际框架。有关《国际电信规则》和其他国际框架的情况通报文件</w:t>
      </w:r>
      <w:proofErr w:type="spellEnd"/>
      <w:r w:rsidR="00D70514" w:rsidRPr="00DF11DA">
        <w:rPr>
          <w:rFonts w:hint="eastAsia"/>
        </w:rPr>
        <w:t>。</w:t>
      </w:r>
    </w:p>
    <w:p w:rsidR="00162541" w:rsidRPr="00DF11DA" w:rsidRDefault="00EB3C58" w:rsidP="00EB3C58">
      <w:pPr>
        <w:pStyle w:val="enumlev2"/>
        <w:rPr>
          <w:lang w:eastAsia="zh-CN"/>
        </w:rPr>
      </w:pPr>
      <w:r w:rsidRPr="00DF11DA">
        <w:rPr>
          <w:lang w:val="en-US" w:eastAsia="zh-CN"/>
        </w:rPr>
        <w:t>n)</w:t>
      </w:r>
      <w:r w:rsidRPr="00DF11DA">
        <w:rPr>
          <w:lang w:val="en-US" w:eastAsia="zh-CN"/>
        </w:rPr>
        <w:tab/>
      </w:r>
      <w:hyperlink r:id="rId22" w:history="1">
        <w:r w:rsidR="00162541" w:rsidRPr="00DF11DA">
          <w:rPr>
            <w:rStyle w:val="Hyperlink"/>
            <w:rFonts w:cstheme="majorBidi"/>
            <w:szCs w:val="24"/>
            <w:lang w:eastAsia="zh-CN"/>
          </w:rPr>
          <w:t>CWG-WCIT12/INF-10</w:t>
        </w:r>
      </w:hyperlink>
      <w:r w:rsidR="00162541" w:rsidRPr="00DF11DA">
        <w:rPr>
          <w:bCs/>
          <w:lang w:eastAsia="zh-CN"/>
        </w:rPr>
        <w:t> – </w:t>
      </w:r>
      <w:r w:rsidR="00D70514" w:rsidRPr="00DF11DA">
        <w:rPr>
          <w:color w:val="000000"/>
          <w:lang w:eastAsia="zh-CN"/>
        </w:rPr>
        <w:t>获取通信的人</w:t>
      </w:r>
      <w:r w:rsidR="00D70514" w:rsidRPr="00DF11DA">
        <w:rPr>
          <w:rFonts w:cs="SimSun" w:hint="eastAsia"/>
          <w:color w:val="000000"/>
          <w:lang w:eastAsia="zh-CN"/>
        </w:rPr>
        <w:t>权。</w:t>
      </w:r>
    </w:p>
    <w:p w:rsidR="00162541" w:rsidRPr="00DF11DA" w:rsidRDefault="00EB3C58" w:rsidP="00EB3C58">
      <w:pPr>
        <w:pStyle w:val="enumlev2"/>
        <w:rPr>
          <w:lang w:eastAsia="zh-CN"/>
        </w:rPr>
      </w:pPr>
      <w:r w:rsidRPr="00DF11DA">
        <w:rPr>
          <w:lang w:val="en-US" w:eastAsia="zh-CN"/>
        </w:rPr>
        <w:t>o)</w:t>
      </w:r>
      <w:r w:rsidRPr="00DF11DA">
        <w:rPr>
          <w:lang w:val="en-US" w:eastAsia="zh-CN"/>
        </w:rPr>
        <w:tab/>
      </w:r>
      <w:hyperlink r:id="rId23" w:history="1">
        <w:r w:rsidR="00162541" w:rsidRPr="00DF11DA">
          <w:rPr>
            <w:rStyle w:val="Hyperlink"/>
            <w:rFonts w:cstheme="majorBidi"/>
            <w:szCs w:val="24"/>
            <w:lang w:eastAsia="zh-CN"/>
          </w:rPr>
          <w:t>CWG-WCIT12/INF-11 Rev.1</w:t>
        </w:r>
      </w:hyperlink>
      <w:r w:rsidR="00162541" w:rsidRPr="00DF11DA">
        <w:rPr>
          <w:bCs/>
          <w:lang w:eastAsia="zh-CN"/>
        </w:rPr>
        <w:t> – </w:t>
      </w:r>
      <w:r w:rsidR="00D70514" w:rsidRPr="00DF11DA">
        <w:rPr>
          <w:color w:val="000000"/>
          <w:lang w:eastAsia="zh-CN"/>
        </w:rPr>
        <w:t>保护关键国家基础设</w:t>
      </w:r>
      <w:r w:rsidR="00D70514" w:rsidRPr="00DF11DA">
        <w:rPr>
          <w:rFonts w:cs="SimSun" w:hint="eastAsia"/>
          <w:color w:val="000000"/>
          <w:lang w:eastAsia="zh-CN"/>
        </w:rPr>
        <w:t>施。</w:t>
      </w:r>
    </w:p>
    <w:p w:rsidR="00162541" w:rsidRPr="00DF11DA" w:rsidRDefault="00EB3C58" w:rsidP="00EB3C58">
      <w:pPr>
        <w:pStyle w:val="enumlev2"/>
        <w:rPr>
          <w:lang w:eastAsia="zh-CN"/>
        </w:rPr>
      </w:pPr>
      <w:r w:rsidRPr="00DF11DA">
        <w:rPr>
          <w:lang w:val="en-US" w:eastAsia="zh-CN"/>
        </w:rPr>
        <w:t>p)</w:t>
      </w:r>
      <w:r w:rsidRPr="00DF11DA">
        <w:rPr>
          <w:lang w:val="en-US" w:eastAsia="zh-CN"/>
        </w:rPr>
        <w:tab/>
      </w:r>
      <w:hyperlink r:id="rId24" w:history="1">
        <w:r w:rsidR="00162541" w:rsidRPr="00DF11DA">
          <w:rPr>
            <w:rStyle w:val="Hyperlink"/>
            <w:rFonts w:cstheme="majorBidi"/>
            <w:szCs w:val="24"/>
            <w:lang w:eastAsia="zh-CN"/>
          </w:rPr>
          <w:t>CWG-WCIT12/INF-12</w:t>
        </w:r>
      </w:hyperlink>
      <w:r w:rsidR="00162541" w:rsidRPr="00DF11DA">
        <w:rPr>
          <w:bCs/>
          <w:lang w:eastAsia="zh-CN"/>
        </w:rPr>
        <w:t xml:space="preserve"> – </w:t>
      </w:r>
      <w:r w:rsidR="00D70514" w:rsidRPr="00DF11DA">
        <w:rPr>
          <w:color w:val="000000"/>
          <w:lang w:eastAsia="zh-CN"/>
        </w:rPr>
        <w:t>国际电联有关资费和计费问题工作的概述，包括移动漫游、国际互联网连接和征税问</w:t>
      </w:r>
      <w:r w:rsidR="00D70514" w:rsidRPr="00DF11DA">
        <w:rPr>
          <w:rFonts w:cs="SimSun" w:hint="eastAsia"/>
          <w:color w:val="000000"/>
          <w:lang w:eastAsia="zh-CN"/>
        </w:rPr>
        <w:t>题。</w:t>
      </w:r>
    </w:p>
    <w:p w:rsidR="00162541" w:rsidRPr="00DF11DA" w:rsidRDefault="00EB3C58" w:rsidP="00EB3C58">
      <w:pPr>
        <w:pStyle w:val="enumlev2"/>
        <w:rPr>
          <w:rFonts w:cstheme="majorBidi"/>
          <w:szCs w:val="24"/>
          <w:lang w:eastAsia="zh-CN"/>
        </w:rPr>
      </w:pPr>
      <w:r w:rsidRPr="00DF11DA">
        <w:rPr>
          <w:lang w:val="en-US" w:eastAsia="zh-CN"/>
        </w:rPr>
        <w:t>q)</w:t>
      </w:r>
      <w:r w:rsidRPr="00DF11DA">
        <w:rPr>
          <w:lang w:val="en-US" w:eastAsia="zh-CN"/>
        </w:rPr>
        <w:tab/>
      </w:r>
      <w:hyperlink r:id="rId25" w:history="1">
        <w:r w:rsidR="00162541" w:rsidRPr="00DF11DA">
          <w:rPr>
            <w:rStyle w:val="Hyperlink"/>
            <w:rFonts w:cstheme="majorBidi"/>
            <w:szCs w:val="24"/>
            <w:lang w:eastAsia="zh-CN"/>
          </w:rPr>
          <w:t>CWG-WCIT12/INF-13</w:t>
        </w:r>
      </w:hyperlink>
      <w:r w:rsidR="00162541" w:rsidRPr="00DF11DA">
        <w:rPr>
          <w:rFonts w:cstheme="majorBidi"/>
          <w:bCs/>
          <w:szCs w:val="24"/>
          <w:lang w:eastAsia="zh-CN"/>
        </w:rPr>
        <w:t> – </w:t>
      </w:r>
      <w:r w:rsidR="00D70514" w:rsidRPr="00DF11DA">
        <w:rPr>
          <w:color w:val="000000"/>
          <w:lang w:eastAsia="zh-CN"/>
        </w:rPr>
        <w:t>互连互通和互操作</w:t>
      </w:r>
      <w:r w:rsidR="00D70514" w:rsidRPr="00DF11DA">
        <w:rPr>
          <w:rFonts w:cs="SimSun" w:hint="eastAsia"/>
          <w:color w:val="000000"/>
          <w:lang w:eastAsia="zh-CN"/>
        </w:rPr>
        <w:t>性。</w:t>
      </w:r>
    </w:p>
    <w:p w:rsidR="00162541" w:rsidRPr="00DF11DA" w:rsidRDefault="00EB3C58" w:rsidP="00EB3C58">
      <w:pPr>
        <w:pStyle w:val="enumlev2"/>
        <w:rPr>
          <w:rFonts w:cstheme="majorBidi"/>
          <w:szCs w:val="24"/>
          <w:lang w:eastAsia="zh-CN"/>
        </w:rPr>
      </w:pPr>
      <w:r w:rsidRPr="00DF11DA">
        <w:rPr>
          <w:lang w:val="en-US" w:eastAsia="zh-CN"/>
        </w:rPr>
        <w:t>r)</w:t>
      </w:r>
      <w:r w:rsidRPr="00DF11DA">
        <w:rPr>
          <w:lang w:val="en-US" w:eastAsia="zh-CN"/>
        </w:rPr>
        <w:tab/>
      </w:r>
      <w:hyperlink r:id="rId26" w:history="1">
        <w:r w:rsidR="00162541" w:rsidRPr="00DF11DA">
          <w:rPr>
            <w:rStyle w:val="Hyperlink"/>
            <w:rFonts w:cstheme="majorBidi"/>
            <w:szCs w:val="24"/>
            <w:lang w:eastAsia="zh-CN"/>
          </w:rPr>
          <w:t>CWG-WCIT12/INF–15</w:t>
        </w:r>
      </w:hyperlink>
      <w:r w:rsidR="00162541" w:rsidRPr="00DF11DA">
        <w:rPr>
          <w:rFonts w:cstheme="majorBidi"/>
          <w:szCs w:val="24"/>
          <w:lang w:eastAsia="zh-CN"/>
        </w:rPr>
        <w:t> – </w:t>
      </w:r>
      <w:r w:rsidR="00D70514" w:rsidRPr="00DF11DA">
        <w:rPr>
          <w:color w:val="000000"/>
          <w:lang w:eastAsia="zh-CN"/>
        </w:rPr>
        <w:t>国际电联关于始发地识别和迂回呼叫程序讲习班的摘要报</w:t>
      </w:r>
      <w:r w:rsidR="00D70514" w:rsidRPr="00DF11DA">
        <w:rPr>
          <w:rFonts w:cs="SimSun" w:hint="eastAsia"/>
          <w:color w:val="000000"/>
          <w:lang w:eastAsia="zh-CN"/>
        </w:rPr>
        <w:t>告。</w:t>
      </w:r>
    </w:p>
    <w:p w:rsidR="00162541" w:rsidRPr="00DF11DA" w:rsidRDefault="00EB3C58" w:rsidP="00EB3C58">
      <w:pPr>
        <w:pStyle w:val="enumlev1"/>
        <w:rPr>
          <w:lang w:val="en-US" w:eastAsia="zh-CN"/>
        </w:rPr>
      </w:pPr>
      <w:r w:rsidRPr="00DF11DA">
        <w:rPr>
          <w:lang w:val="en-US" w:eastAsia="zh-CN"/>
        </w:rPr>
        <w:t>3)</w:t>
      </w:r>
      <w:r w:rsidRPr="00DF11DA">
        <w:rPr>
          <w:lang w:val="en-US" w:eastAsia="zh-CN"/>
        </w:rPr>
        <w:tab/>
      </w:r>
      <w:r w:rsidR="00D70514" w:rsidRPr="00DF11DA">
        <w:rPr>
          <w:rFonts w:hint="eastAsia"/>
          <w:lang w:val="en-US" w:eastAsia="zh-CN"/>
        </w:rPr>
        <w:t>在已开展工作及</w:t>
      </w:r>
      <w:r w:rsidR="00D70514" w:rsidRPr="00DF11DA">
        <w:rPr>
          <w:lang w:val="en-US" w:eastAsia="zh-CN"/>
        </w:rPr>
        <w:t>EG-IT</w:t>
      </w:r>
      <w:r w:rsidRPr="00DF11DA">
        <w:rPr>
          <w:lang w:val="en-US" w:eastAsia="zh-CN"/>
        </w:rPr>
        <w:t>R</w:t>
      </w:r>
      <w:r w:rsidR="00D70514" w:rsidRPr="00DF11DA">
        <w:rPr>
          <w:rFonts w:hint="eastAsia"/>
          <w:lang w:val="en-US" w:eastAsia="zh-CN"/>
        </w:rPr>
        <w:t>从成员国收到的文稿的基础上，就有关成员国</w:t>
      </w:r>
      <w:r w:rsidR="00D70514" w:rsidRPr="00DF11DA">
        <w:rPr>
          <w:lang w:eastAsia="zh-CN"/>
        </w:rPr>
        <w:t>遵守</w:t>
      </w:r>
      <w:r w:rsidR="00D70514" w:rsidRPr="00DF11DA">
        <w:rPr>
          <w:lang w:eastAsia="zh-CN"/>
        </w:rPr>
        <w:t>2012</w:t>
      </w:r>
      <w:r w:rsidR="00D70514" w:rsidRPr="00DF11DA">
        <w:rPr>
          <w:lang w:eastAsia="zh-CN"/>
        </w:rPr>
        <w:t>年版《国际电信规则》</w:t>
      </w:r>
      <w:r w:rsidR="00D70514" w:rsidRPr="00DF11DA">
        <w:rPr>
          <w:rFonts w:hint="eastAsia"/>
          <w:lang w:eastAsia="zh-CN"/>
        </w:rPr>
        <w:t>引发的</w:t>
      </w:r>
      <w:r w:rsidR="00D70514" w:rsidRPr="00DF11DA">
        <w:rPr>
          <w:rFonts w:hint="eastAsia"/>
          <w:lang w:val="en-US" w:eastAsia="zh-CN"/>
        </w:rPr>
        <w:t>法律落实问题起草材料。</w:t>
      </w:r>
    </w:p>
    <w:p w:rsidR="00162541" w:rsidRPr="00DF11DA" w:rsidRDefault="00EB3C58" w:rsidP="00EB3C58">
      <w:pPr>
        <w:pStyle w:val="enumlev1"/>
        <w:rPr>
          <w:lang w:eastAsia="zh-CN"/>
        </w:rPr>
      </w:pPr>
      <w:r w:rsidRPr="00DF11DA">
        <w:rPr>
          <w:lang w:val="en-US" w:eastAsia="zh-CN"/>
        </w:rPr>
        <w:t>4)</w:t>
      </w:r>
      <w:r w:rsidRPr="00DF11DA">
        <w:rPr>
          <w:lang w:val="en-US" w:eastAsia="zh-CN"/>
        </w:rPr>
        <w:tab/>
      </w:r>
      <w:r w:rsidR="00D70514" w:rsidRPr="00DF11DA">
        <w:rPr>
          <w:rFonts w:hint="eastAsia"/>
          <w:lang w:val="en-US" w:eastAsia="zh-CN"/>
        </w:rPr>
        <w:t>将以上各点所述的</w:t>
      </w:r>
      <w:r w:rsidRPr="00DF11DA">
        <w:rPr>
          <w:rFonts w:hint="eastAsia"/>
          <w:lang w:val="en-US" w:eastAsia="zh-CN"/>
        </w:rPr>
        <w:t>、</w:t>
      </w:r>
      <w:r w:rsidRPr="00DF11DA">
        <w:rPr>
          <w:lang w:val="en-US" w:eastAsia="zh-CN"/>
        </w:rPr>
        <w:t>在</w:t>
      </w:r>
      <w:r w:rsidRPr="00DF11DA">
        <w:rPr>
          <w:rFonts w:hint="eastAsia"/>
          <w:lang w:val="en-US" w:eastAsia="zh-CN"/>
        </w:rPr>
        <w:t>2017</w:t>
      </w:r>
      <w:r w:rsidRPr="00DF11DA">
        <w:rPr>
          <w:lang w:val="en-US" w:eastAsia="zh-CN"/>
        </w:rPr>
        <w:t>-2018</w:t>
      </w:r>
      <w:r w:rsidRPr="00DF11DA">
        <w:rPr>
          <w:rFonts w:hint="eastAsia"/>
          <w:lang w:val="en-US" w:eastAsia="zh-CN"/>
        </w:rPr>
        <w:t>年</w:t>
      </w:r>
      <w:r w:rsidRPr="00DF11DA">
        <w:rPr>
          <w:lang w:val="en-US" w:eastAsia="zh-CN"/>
        </w:rPr>
        <w:t>期间提交</w:t>
      </w:r>
      <w:r w:rsidRPr="00DF11DA">
        <w:rPr>
          <w:lang w:val="en-US" w:eastAsia="zh-CN"/>
        </w:rPr>
        <w:t>EG-ITR</w:t>
      </w:r>
      <w:r w:rsidRPr="00DF11DA">
        <w:rPr>
          <w:lang w:val="en-US" w:eastAsia="zh-CN"/>
        </w:rPr>
        <w:t>审议的</w:t>
      </w:r>
      <w:r w:rsidRPr="00DF11DA">
        <w:rPr>
          <w:rFonts w:hint="eastAsia"/>
          <w:lang w:val="en-US" w:eastAsia="zh-CN"/>
        </w:rPr>
        <w:t>（</w:t>
      </w:r>
      <w:r w:rsidRPr="00DF11DA">
        <w:rPr>
          <w:rFonts w:hint="eastAsia"/>
          <w:lang w:eastAsia="zh-CN"/>
        </w:rPr>
        <w:t>包括成员国和</w:t>
      </w:r>
      <w:r w:rsidRPr="00DF11DA">
        <w:rPr>
          <w:lang w:eastAsia="zh-CN"/>
        </w:rPr>
        <w:t>部门成员</w:t>
      </w:r>
      <w:r w:rsidRPr="00DF11DA">
        <w:rPr>
          <w:rFonts w:hint="eastAsia"/>
          <w:lang w:eastAsia="zh-CN"/>
        </w:rPr>
        <w:t>所提交的文稿）</w:t>
      </w:r>
      <w:r w:rsidR="00D70514" w:rsidRPr="00DF11DA">
        <w:rPr>
          <w:rFonts w:hint="eastAsia"/>
          <w:lang w:eastAsia="zh-CN"/>
        </w:rPr>
        <w:t>材料包括在</w:t>
      </w:r>
      <w:r w:rsidR="00DE7BED" w:rsidRPr="00DF11DA">
        <w:rPr>
          <w:rFonts w:hint="eastAsia"/>
          <w:lang w:eastAsia="zh-CN"/>
        </w:rPr>
        <w:t>一个单独文件中，用于起草</w:t>
      </w:r>
      <w:r w:rsidR="00DE7BED" w:rsidRPr="00DF11DA">
        <w:rPr>
          <w:lang w:eastAsia="zh-CN"/>
        </w:rPr>
        <w:t>EG-ITR</w:t>
      </w:r>
      <w:r w:rsidR="00DE7BED" w:rsidRPr="00DF11DA">
        <w:rPr>
          <w:rFonts w:hint="eastAsia"/>
          <w:lang w:eastAsia="zh-CN"/>
        </w:rPr>
        <w:t>提交理事会</w:t>
      </w:r>
      <w:r w:rsidR="00DE7BED" w:rsidRPr="00DF11DA">
        <w:rPr>
          <w:rFonts w:hint="eastAsia"/>
          <w:lang w:eastAsia="zh-CN"/>
        </w:rPr>
        <w:t>2018</w:t>
      </w:r>
      <w:r w:rsidR="00DE7BED" w:rsidRPr="00DF11DA">
        <w:rPr>
          <w:rFonts w:hint="eastAsia"/>
          <w:lang w:eastAsia="zh-CN"/>
        </w:rPr>
        <w:t>年会议的最终报告。</w:t>
      </w:r>
    </w:p>
    <w:p w:rsidR="00902942" w:rsidRPr="00DF11DA" w:rsidRDefault="00902942" w:rsidP="0032202E">
      <w:pPr>
        <w:pStyle w:val="Reasons"/>
      </w:pPr>
    </w:p>
    <w:p w:rsidR="00902942" w:rsidRPr="00DF11DA" w:rsidRDefault="00902942">
      <w:pPr>
        <w:jc w:val="center"/>
      </w:pPr>
      <w:r w:rsidRPr="00DF11DA">
        <w:t>______________</w:t>
      </w:r>
    </w:p>
    <w:sectPr w:rsidR="00902942" w:rsidRPr="00DF11DA" w:rsidSect="006C36CD">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28B" w:rsidRDefault="0097428B">
      <w:r>
        <w:separator/>
      </w:r>
    </w:p>
  </w:endnote>
  <w:endnote w:type="continuationSeparator" w:id="0">
    <w:p w:rsidR="0097428B" w:rsidRDefault="0097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5F" w:rsidRPr="00787109" w:rsidRDefault="00787109" w:rsidP="00787109">
    <w:pPr>
      <w:pStyle w:val="Footer"/>
      <w:rPr>
        <w:sz w:val="18"/>
        <w:szCs w:val="18"/>
      </w:rPr>
    </w:pPr>
    <w:r>
      <w:fldChar w:fldCharType="begin"/>
    </w:r>
    <w:r w:rsidRPr="00821479">
      <w:rPr>
        <w:lang w:val="fr-CH"/>
      </w:rPr>
      <w:instrText xml:space="preserve"> FILENAME \p  \* MERGEFORMAT </w:instrText>
    </w:r>
    <w:r>
      <w:fldChar w:fldCharType="separate"/>
    </w:r>
    <w:r>
      <w:rPr>
        <w:lang w:val="fr-CH"/>
      </w:rPr>
      <w:t>P:\CHI\SG\CONSEIL\EG-ITR-1\000\007C.docx</w:t>
    </w:r>
    <w:r>
      <w:rPr>
        <w:lang w:val="en-US"/>
      </w:rPr>
      <w:fldChar w:fldCharType="end"/>
    </w:r>
    <w:r w:rsidRPr="00821479">
      <w:rPr>
        <w:lang w:val="fr-CH"/>
      </w:rPr>
      <w:t xml:space="preserve"> (</w:t>
    </w:r>
    <w:r>
      <w:rPr>
        <w:lang w:val="fr-CH"/>
      </w:rPr>
      <w:t>411804</w:t>
    </w:r>
    <w:r w:rsidRPr="00821479">
      <w:rPr>
        <w:lang w:val="fr-CH"/>
      </w:rPr>
      <w:t>)</w:t>
    </w:r>
    <w:r w:rsidRPr="00821479">
      <w:rPr>
        <w:lang w:val="fr-CH"/>
      </w:rPr>
      <w:tab/>
    </w:r>
    <w:r>
      <w:fldChar w:fldCharType="begin"/>
    </w:r>
    <w:r>
      <w:instrText xml:space="preserve"> SAVEDATE \@ DD.MM.YY </w:instrText>
    </w:r>
    <w:r>
      <w:fldChar w:fldCharType="separate"/>
    </w:r>
    <w:r>
      <w:t>03.02.17</w:t>
    </w:r>
    <w:r>
      <w:fldChar w:fldCharType="end"/>
    </w:r>
    <w:r w:rsidRPr="00821479">
      <w:rPr>
        <w:lang w:val="fr-CH"/>
      </w:rPr>
      <w:tab/>
    </w:r>
    <w:r>
      <w:fldChar w:fldCharType="begin"/>
    </w:r>
    <w:r>
      <w:instrText xml:space="preserve"> PRINTDATE \@ DD.MM.YY </w:instrText>
    </w:r>
    <w:r>
      <w:fldChar w:fldCharType="separate"/>
    </w:r>
    <w:r>
      <w:t>31.01.17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5F" w:rsidRPr="00787109" w:rsidRDefault="00787109" w:rsidP="00787109">
    <w:pPr>
      <w:pStyle w:val="Footer"/>
      <w:rPr>
        <w:sz w:val="18"/>
        <w:szCs w:val="18"/>
      </w:rPr>
    </w:pPr>
    <w:r>
      <w:fldChar w:fldCharType="begin"/>
    </w:r>
    <w:r w:rsidRPr="00821479">
      <w:rPr>
        <w:lang w:val="fr-CH"/>
      </w:rPr>
      <w:instrText xml:space="preserve"> FILENAME \p  \* MERGEFORMAT </w:instrText>
    </w:r>
    <w:r>
      <w:fldChar w:fldCharType="separate"/>
    </w:r>
    <w:r>
      <w:rPr>
        <w:lang w:val="fr-CH"/>
      </w:rPr>
      <w:t>P:\CHI\SG\CONSEIL\EG-ITR-1\000\007C.docx</w:t>
    </w:r>
    <w:r>
      <w:rPr>
        <w:lang w:val="en-US"/>
      </w:rPr>
      <w:fldChar w:fldCharType="end"/>
    </w:r>
    <w:r w:rsidRPr="00821479">
      <w:rPr>
        <w:lang w:val="fr-CH"/>
      </w:rPr>
      <w:t xml:space="preserve"> (</w:t>
    </w:r>
    <w:r>
      <w:rPr>
        <w:lang w:val="fr-CH"/>
      </w:rPr>
      <w:t>411804</w:t>
    </w:r>
    <w:r w:rsidRPr="00821479">
      <w:rPr>
        <w:lang w:val="fr-CH"/>
      </w:rPr>
      <w:t>)</w:t>
    </w:r>
    <w:r w:rsidRPr="00821479">
      <w:rPr>
        <w:lang w:val="fr-CH"/>
      </w:rPr>
      <w:tab/>
    </w:r>
    <w:r>
      <w:fldChar w:fldCharType="begin"/>
    </w:r>
    <w:r>
      <w:instrText xml:space="preserve"> SAVEDATE \@ DD.MM.YY </w:instrText>
    </w:r>
    <w:r>
      <w:fldChar w:fldCharType="separate"/>
    </w:r>
    <w:r>
      <w:t>03.02.17</w:t>
    </w:r>
    <w:r>
      <w:fldChar w:fldCharType="end"/>
    </w:r>
    <w:r w:rsidRPr="00821479">
      <w:rPr>
        <w:lang w:val="fr-CH"/>
      </w:rPr>
      <w:tab/>
    </w:r>
    <w:r>
      <w:fldChar w:fldCharType="begin"/>
    </w:r>
    <w:r>
      <w:instrText xml:space="preserve"> PRINTDATE \@ DD.MM.YY </w:instrText>
    </w:r>
    <w:r>
      <w:fldChar w:fldCharType="separate"/>
    </w:r>
    <w:r>
      <w:t>31.01.17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28B" w:rsidRDefault="0097428B">
      <w:r>
        <w:t>____________________</w:t>
      </w:r>
    </w:p>
  </w:footnote>
  <w:footnote w:type="continuationSeparator" w:id="0">
    <w:p w:rsidR="0097428B" w:rsidRDefault="0097428B">
      <w:r>
        <w:continuationSeparator/>
      </w:r>
    </w:p>
  </w:footnote>
  <w:footnote w:id="1">
    <w:p w:rsidR="0000589B" w:rsidRPr="00A914A3" w:rsidRDefault="0000589B" w:rsidP="00A914A3">
      <w:r w:rsidRPr="00A914A3">
        <w:footnoteRef/>
      </w:r>
      <w:r w:rsidR="00A914A3" w:rsidRPr="00A914A3">
        <w:rPr>
          <w:rFonts w:hint="eastAsia"/>
        </w:rPr>
        <w:t xml:space="preserve"> </w:t>
      </w:r>
      <w:proofErr w:type="spellStart"/>
      <w:r w:rsidR="00162541" w:rsidRPr="00A914A3">
        <w:t>其中包括最不发达国家、小岛屿发展中国家、内陆发展中国家和经济转型国家</w:t>
      </w:r>
      <w:proofErr w:type="spellEnd"/>
      <w:r w:rsidR="00162541" w:rsidRPr="00A914A3">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5F" w:rsidRDefault="009C405F" w:rsidP="00CE6F22">
    <w:pPr>
      <w:pStyle w:val="Header"/>
    </w:pPr>
    <w:r>
      <w:fldChar w:fldCharType="begin"/>
    </w:r>
    <w:r>
      <w:instrText>PAGE</w:instrText>
    </w:r>
    <w:r>
      <w:fldChar w:fldCharType="separate"/>
    </w:r>
    <w:r w:rsidR="004C0EEF">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226363"/>
    <w:multiLevelType w:val="hybridMultilevel"/>
    <w:tmpl w:val="1110ECB0"/>
    <w:lvl w:ilvl="0" w:tplc="79B0ECB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15:restartNumberingAfterBreak="0">
    <w:nsid w:val="27CE44DE"/>
    <w:multiLevelType w:val="hybridMultilevel"/>
    <w:tmpl w:val="A8F2C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371A7"/>
    <w:multiLevelType w:val="hybridMultilevel"/>
    <w:tmpl w:val="612C5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C5373"/>
    <w:multiLevelType w:val="hybridMultilevel"/>
    <w:tmpl w:val="258CC558"/>
    <w:lvl w:ilvl="0" w:tplc="64DA5A8A">
      <w:start w:val="1"/>
      <w:numFmt w:val="lowerLetter"/>
      <w:lvlText w:val="%1."/>
      <w:lvlJc w:val="left"/>
      <w:pPr>
        <w:ind w:left="1429" w:hanging="360"/>
      </w:pPr>
      <w:rPr>
        <w:rFonts w:ascii="Calibri" w:eastAsia="Times New Roman" w:hAnsi="Calibri" w:cs="Times New Roman"/>
        <w:i/>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795F1116"/>
    <w:multiLevelType w:val="hybridMultilevel"/>
    <w:tmpl w:val="1D86DCB2"/>
    <w:lvl w:ilvl="0" w:tplc="A3AEF54C">
      <w:start w:val="4"/>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8B"/>
    <w:rsid w:val="0000589B"/>
    <w:rsid w:val="000B2E75"/>
    <w:rsid w:val="000D15EA"/>
    <w:rsid w:val="00124C9D"/>
    <w:rsid w:val="00157773"/>
    <w:rsid w:val="00157D0E"/>
    <w:rsid w:val="00162541"/>
    <w:rsid w:val="001C0076"/>
    <w:rsid w:val="001C4825"/>
    <w:rsid w:val="00240F4D"/>
    <w:rsid w:val="00254148"/>
    <w:rsid w:val="0026791C"/>
    <w:rsid w:val="00292E3B"/>
    <w:rsid w:val="00325C25"/>
    <w:rsid w:val="00393DDF"/>
    <w:rsid w:val="00397F55"/>
    <w:rsid w:val="003D4546"/>
    <w:rsid w:val="00403EB7"/>
    <w:rsid w:val="00445FE4"/>
    <w:rsid w:val="004804DE"/>
    <w:rsid w:val="00496FC4"/>
    <w:rsid w:val="004B22F7"/>
    <w:rsid w:val="004C0EEF"/>
    <w:rsid w:val="004D163F"/>
    <w:rsid w:val="004E0EA4"/>
    <w:rsid w:val="004F1553"/>
    <w:rsid w:val="004F2598"/>
    <w:rsid w:val="004F7F8E"/>
    <w:rsid w:val="005103EA"/>
    <w:rsid w:val="005403F7"/>
    <w:rsid w:val="00546A1E"/>
    <w:rsid w:val="00582854"/>
    <w:rsid w:val="005C52CC"/>
    <w:rsid w:val="005E2960"/>
    <w:rsid w:val="00607743"/>
    <w:rsid w:val="0064298D"/>
    <w:rsid w:val="00642ADA"/>
    <w:rsid w:val="00655BA6"/>
    <w:rsid w:val="006A2DD3"/>
    <w:rsid w:val="006C36CD"/>
    <w:rsid w:val="00700D1F"/>
    <w:rsid w:val="007205CB"/>
    <w:rsid w:val="0073690A"/>
    <w:rsid w:val="0078355F"/>
    <w:rsid w:val="00787109"/>
    <w:rsid w:val="007E189D"/>
    <w:rsid w:val="007E48B0"/>
    <w:rsid w:val="00813AA2"/>
    <w:rsid w:val="00833243"/>
    <w:rsid w:val="00884D61"/>
    <w:rsid w:val="008B3A68"/>
    <w:rsid w:val="008B668E"/>
    <w:rsid w:val="008D62E9"/>
    <w:rsid w:val="00902942"/>
    <w:rsid w:val="00924FB5"/>
    <w:rsid w:val="0093362E"/>
    <w:rsid w:val="0094150C"/>
    <w:rsid w:val="009612D5"/>
    <w:rsid w:val="0097428B"/>
    <w:rsid w:val="00981591"/>
    <w:rsid w:val="00997185"/>
    <w:rsid w:val="009B1BA4"/>
    <w:rsid w:val="009B7A57"/>
    <w:rsid w:val="009C405F"/>
    <w:rsid w:val="009D1720"/>
    <w:rsid w:val="00A266DB"/>
    <w:rsid w:val="00A66B56"/>
    <w:rsid w:val="00A722D8"/>
    <w:rsid w:val="00A914A3"/>
    <w:rsid w:val="00AD314F"/>
    <w:rsid w:val="00B4078B"/>
    <w:rsid w:val="00B5775C"/>
    <w:rsid w:val="00B60184"/>
    <w:rsid w:val="00B62D20"/>
    <w:rsid w:val="00B75ADB"/>
    <w:rsid w:val="00B81E75"/>
    <w:rsid w:val="00B831A6"/>
    <w:rsid w:val="00BD0916"/>
    <w:rsid w:val="00BE2AFD"/>
    <w:rsid w:val="00BE5CDE"/>
    <w:rsid w:val="00C64E4E"/>
    <w:rsid w:val="00C66E64"/>
    <w:rsid w:val="00CC1F96"/>
    <w:rsid w:val="00CE6F22"/>
    <w:rsid w:val="00D27071"/>
    <w:rsid w:val="00D70514"/>
    <w:rsid w:val="00D94637"/>
    <w:rsid w:val="00DC6FA0"/>
    <w:rsid w:val="00DE79AA"/>
    <w:rsid w:val="00DE7BED"/>
    <w:rsid w:val="00DF11DA"/>
    <w:rsid w:val="00DF24A2"/>
    <w:rsid w:val="00E265BF"/>
    <w:rsid w:val="00E45405"/>
    <w:rsid w:val="00E77476"/>
    <w:rsid w:val="00EB3C58"/>
    <w:rsid w:val="00ED6C61"/>
    <w:rsid w:val="00EE74AF"/>
    <w:rsid w:val="00F11595"/>
    <w:rsid w:val="00F205F6"/>
    <w:rsid w:val="00F61905"/>
    <w:rsid w:val="00FA03F2"/>
    <w:rsid w:val="00FD44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EA54BF7-2FD2-4F36-AAA8-F80BB0AC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paragraph" w:styleId="BalloonText">
    <w:name w:val="Balloon Text"/>
    <w:basedOn w:val="Normal"/>
    <w:link w:val="BalloonTextChar"/>
    <w:rsid w:val="00FA03F2"/>
    <w:pPr>
      <w:spacing w:before="0"/>
    </w:pPr>
    <w:rPr>
      <w:rFonts w:ascii="Tahoma" w:hAnsi="Tahoma" w:cs="Tahoma"/>
      <w:sz w:val="16"/>
      <w:szCs w:val="16"/>
    </w:rPr>
  </w:style>
  <w:style w:type="character" w:customStyle="1" w:styleId="BalloonTextChar">
    <w:name w:val="Balloon Text Char"/>
    <w:basedOn w:val="DefaultParagraphFont"/>
    <w:link w:val="BalloonText"/>
    <w:rsid w:val="00FA03F2"/>
    <w:rPr>
      <w:rFonts w:ascii="Tahoma" w:hAnsi="Tahoma" w:cs="Tahoma"/>
      <w:sz w:val="16"/>
      <w:szCs w:val="16"/>
      <w:lang w:val="en-GB" w:eastAsia="en-US"/>
    </w:rPr>
  </w:style>
  <w:style w:type="paragraph" w:styleId="ListParagraph">
    <w:name w:val="List Paragraph"/>
    <w:basedOn w:val="Normal"/>
    <w:uiPriority w:val="34"/>
    <w:qFormat/>
    <w:rsid w:val="00B75ADB"/>
    <w:pPr>
      <w:widowControl w:val="0"/>
      <w:tabs>
        <w:tab w:val="clear" w:pos="794"/>
        <w:tab w:val="clear" w:pos="1191"/>
        <w:tab w:val="clear" w:pos="1588"/>
        <w:tab w:val="clear" w:pos="1985"/>
      </w:tabs>
      <w:overflowPunct/>
      <w:autoSpaceDE/>
      <w:autoSpaceDN/>
      <w:adjustRightInd/>
      <w:spacing w:before="0"/>
      <w:ind w:left="720"/>
      <w:contextualSpacing/>
      <w:jc w:val="both"/>
      <w:textAlignment w:val="auto"/>
    </w:pPr>
    <w:rPr>
      <w:rFonts w:asciiTheme="minorHAnsi" w:eastAsiaTheme="minorEastAsia" w:hAnsiTheme="minorHAnsi" w:cstheme="minorBidi"/>
      <w:kern w:val="2"/>
      <w:sz w:val="21"/>
      <w:szCs w:val="22"/>
      <w:lang w:val="en-US" w:eastAsia="zh-CN"/>
    </w:rPr>
  </w:style>
  <w:style w:type="paragraph" w:styleId="NormalWeb">
    <w:name w:val="Normal (Web)"/>
    <w:basedOn w:val="Normal"/>
    <w:uiPriority w:val="99"/>
    <w:semiHidden/>
    <w:unhideWhenUsed/>
    <w:rsid w:val="0000589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w:eastAsia="Times New Roman" w:hAnsi="Times"/>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5814">
      <w:bodyDiv w:val="1"/>
      <w:marLeft w:val="0"/>
      <w:marRight w:val="0"/>
      <w:marTop w:val="0"/>
      <w:marBottom w:val="0"/>
      <w:divBdr>
        <w:top w:val="none" w:sz="0" w:space="0" w:color="auto"/>
        <w:left w:val="none" w:sz="0" w:space="0" w:color="auto"/>
        <w:bottom w:val="none" w:sz="0" w:space="0" w:color="auto"/>
        <w:right w:val="none" w:sz="0" w:space="0" w:color="auto"/>
      </w:divBdr>
    </w:div>
    <w:div w:id="407578029">
      <w:bodyDiv w:val="1"/>
      <w:marLeft w:val="0"/>
      <w:marRight w:val="0"/>
      <w:marTop w:val="0"/>
      <w:marBottom w:val="0"/>
      <w:divBdr>
        <w:top w:val="none" w:sz="0" w:space="0" w:color="auto"/>
        <w:left w:val="none" w:sz="0" w:space="0" w:color="auto"/>
        <w:bottom w:val="none" w:sz="0" w:space="0" w:color="auto"/>
        <w:right w:val="none" w:sz="0" w:space="0" w:color="auto"/>
      </w:divBdr>
    </w:div>
    <w:div w:id="759840415">
      <w:bodyDiv w:val="1"/>
      <w:marLeft w:val="0"/>
      <w:marRight w:val="0"/>
      <w:marTop w:val="0"/>
      <w:marBottom w:val="0"/>
      <w:divBdr>
        <w:top w:val="none" w:sz="0" w:space="0" w:color="auto"/>
        <w:left w:val="none" w:sz="0" w:space="0" w:color="auto"/>
        <w:bottom w:val="none" w:sz="0" w:space="0" w:color="auto"/>
        <w:right w:val="none" w:sz="0" w:space="0" w:color="auto"/>
      </w:divBdr>
    </w:div>
    <w:div w:id="1245534188">
      <w:bodyDiv w:val="1"/>
      <w:marLeft w:val="0"/>
      <w:marRight w:val="0"/>
      <w:marTop w:val="0"/>
      <w:marBottom w:val="0"/>
      <w:divBdr>
        <w:top w:val="none" w:sz="0" w:space="0" w:color="auto"/>
        <w:left w:val="none" w:sz="0" w:space="0" w:color="auto"/>
        <w:bottom w:val="none" w:sz="0" w:space="0" w:color="auto"/>
        <w:right w:val="none" w:sz="0" w:space="0" w:color="auto"/>
      </w:divBdr>
    </w:div>
    <w:div w:id="17939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T09-CWG.WCIT12-INF-0001/en" TargetMode="External"/><Relationship Id="rId18" Type="http://schemas.openxmlformats.org/officeDocument/2006/relationships/hyperlink" Target="http://www.itu.int/md/T09-CWG.WCIT12-INF-0006/en" TargetMode="External"/><Relationship Id="rId26" Type="http://schemas.openxmlformats.org/officeDocument/2006/relationships/hyperlink" Target="http://www.itu.int/md/T09-CWG.WCIT12-INF-0015/en" TargetMode="External"/><Relationship Id="rId3" Type="http://schemas.openxmlformats.org/officeDocument/2006/relationships/styles" Target="styles.xml"/><Relationship Id="rId21" Type="http://schemas.openxmlformats.org/officeDocument/2006/relationships/hyperlink" Target="http://www.itu.int/md/T09-CWG.WCIT12-INF-0009/en" TargetMode="External"/><Relationship Id="rId7" Type="http://schemas.openxmlformats.org/officeDocument/2006/relationships/endnotes" Target="endnotes.xml"/><Relationship Id="rId12" Type="http://schemas.openxmlformats.org/officeDocument/2006/relationships/hyperlink" Target="http://www.itu.int/md/T09-ITR.EG-090602-TD-PLEN-0030/en" TargetMode="External"/><Relationship Id="rId17" Type="http://schemas.openxmlformats.org/officeDocument/2006/relationships/hyperlink" Target="http://www.itu.int/md/T09-CWG.WCIT12-INF-0005/en" TargetMode="External"/><Relationship Id="rId25" Type="http://schemas.openxmlformats.org/officeDocument/2006/relationships/hyperlink" Target="http://www.itu.int/md/T09-CWG.WCIT12-INF-0013/en" TargetMode="External"/><Relationship Id="rId2" Type="http://schemas.openxmlformats.org/officeDocument/2006/relationships/numbering" Target="numbering.xml"/><Relationship Id="rId16" Type="http://schemas.openxmlformats.org/officeDocument/2006/relationships/hyperlink" Target="http://www.itu.int/md/T09-CWG.WCIT12-INF-0004/en" TargetMode="External"/><Relationship Id="rId20" Type="http://schemas.openxmlformats.org/officeDocument/2006/relationships/hyperlink" Target="http://www.itu.int/md/T09-CWG.WCIT12-INF-0008/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09-CWG.WCIT12-100412-TD-PLEN-0016/en" TargetMode="External"/><Relationship Id="rId24" Type="http://schemas.openxmlformats.org/officeDocument/2006/relationships/hyperlink" Target="http://www.itu.int/md/T09-CWG.WCIT12-INF-0012/en" TargetMode="External"/><Relationship Id="rId5" Type="http://schemas.openxmlformats.org/officeDocument/2006/relationships/webSettings" Target="webSettings.xml"/><Relationship Id="rId15" Type="http://schemas.openxmlformats.org/officeDocument/2006/relationships/hyperlink" Target="http://www.itu.int/md/T09-CWG.WCIT12-INF-0003/en" TargetMode="External"/><Relationship Id="rId23" Type="http://schemas.openxmlformats.org/officeDocument/2006/relationships/hyperlink" Target="http://www.itu.int/md/T09-CWG.WCIT12-INF-0011/en" TargetMode="External"/><Relationship Id="rId28" Type="http://schemas.openxmlformats.org/officeDocument/2006/relationships/footer" Target="footer1.xml"/><Relationship Id="rId10" Type="http://schemas.openxmlformats.org/officeDocument/2006/relationships/hyperlink" Target="http://www.itu.int/md/T09-CWG.WCIT12-100125-TD-PLEN-0005/en" TargetMode="External"/><Relationship Id="rId19" Type="http://schemas.openxmlformats.org/officeDocument/2006/relationships/hyperlink" Target="http://www.itu.int/md/T09-CWG.WCIT12-INF-0007/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T09-CWG.WCIT12-100125-TD-PLEN-0004/en" TargetMode="External"/><Relationship Id="rId14" Type="http://schemas.openxmlformats.org/officeDocument/2006/relationships/hyperlink" Target="http://www.itu.int/md/T09-CWG.WCIT12-INF-0002/en" TargetMode="External"/><Relationship Id="rId22" Type="http://schemas.openxmlformats.org/officeDocument/2006/relationships/hyperlink" Target="http://www.itu.int/md/T09-CWG.WCIT12-INF-0010/en"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WG-STB-CS%2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F80B-BB81-4914-A746-A7B2058E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PC_CWG-STB-CS 5.dotm</Template>
  <TotalTime>28</TotalTime>
  <Pages>3</Pages>
  <Words>2012</Words>
  <Characters>1936</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Wang, Yujia</dc:creator>
  <cp:keywords>C2004, C04</cp:keywords>
  <dc:description>C05/xx-C  For: _x000d_Document date: _x000d_Saved by CHI42772 at 09:12:08 on 10/02/2005</dc:description>
  <cp:lastModifiedBy>Wang, Yujia</cp:lastModifiedBy>
  <cp:revision>8</cp:revision>
  <cp:lastPrinted>2009-05-01T13:03:00Z</cp:lastPrinted>
  <dcterms:created xsi:type="dcterms:W3CDTF">2017-02-03T10:33:00Z</dcterms:created>
  <dcterms:modified xsi:type="dcterms:W3CDTF">2017-02-03T11:04:00Z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