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760E68" w:rsidRPr="00760E68"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sz w:val="28"/>
                <w:szCs w:val="40"/>
                <w:rtl/>
                <w:lang w:eastAsia="zh-CN" w:bidi="ar-SY"/>
              </w:rPr>
            </w:pPr>
            <w:r w:rsidRPr="00760E68">
              <w:rPr>
                <w:rFonts w:eastAsiaTheme="minorEastAsia" w:hint="cs"/>
                <w:b/>
                <w:bCs/>
                <w:sz w:val="28"/>
                <w:szCs w:val="40"/>
                <w:rtl/>
                <w:lang w:eastAsia="zh-CN" w:bidi="ar-EG"/>
              </w:rPr>
              <w:t xml:space="preserve">فريق الخبراء المعني بلوائح الاتصالات الدولية </w:t>
            </w:r>
            <w:r w:rsidRPr="00760E68">
              <w:rPr>
                <w:rFonts w:eastAsiaTheme="minorEastAsia"/>
                <w:b/>
                <w:bCs/>
                <w:sz w:val="28"/>
                <w:szCs w:val="40"/>
                <w:lang w:eastAsia="zh-CN" w:bidi="ar-EG"/>
              </w:rPr>
              <w:t>(EG</w:t>
            </w:r>
            <w:r w:rsidRPr="00760E68">
              <w:rPr>
                <w:rFonts w:eastAsiaTheme="minorEastAsia"/>
                <w:b/>
                <w:bCs/>
                <w:sz w:val="28"/>
                <w:szCs w:val="40"/>
                <w:lang w:eastAsia="zh-CN" w:bidi="ar-EG"/>
              </w:rPr>
              <w:noBreakHyphen/>
              <w:t>ITR)</w:t>
            </w:r>
          </w:p>
          <w:p w:rsidR="000E4FF0" w:rsidRPr="000E4FF0"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Pr>
                <w:rFonts w:eastAsiaTheme="minorEastAsia" w:hint="cs"/>
                <w:b/>
                <w:bCs/>
                <w:sz w:val="24"/>
                <w:szCs w:val="32"/>
                <w:rtl/>
                <w:lang w:eastAsia="zh-CN" w:bidi="ar-EG"/>
              </w:rPr>
              <w:t xml:space="preserve">الاجتماع الأول - </w:t>
            </w:r>
            <w:r w:rsidR="000E4FF0"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10-9</w:t>
            </w:r>
            <w:r w:rsidR="000E4FF0" w:rsidRPr="000E4FF0">
              <w:rPr>
                <w:rFonts w:eastAsiaTheme="minorEastAsia" w:hint="cs"/>
                <w:b/>
                <w:bCs/>
                <w:sz w:val="24"/>
                <w:szCs w:val="32"/>
                <w:rtl/>
                <w:lang w:eastAsia="zh-CN" w:bidi="ar-EG"/>
              </w:rPr>
              <w:t xml:space="preserve"> </w:t>
            </w:r>
            <w:r>
              <w:rPr>
                <w:rFonts w:eastAsiaTheme="minorEastAsia" w:hint="cs"/>
                <w:b/>
                <w:bCs/>
                <w:sz w:val="24"/>
                <w:szCs w:val="32"/>
                <w:rtl/>
                <w:lang w:eastAsia="zh-CN" w:bidi="ar-EG"/>
              </w:rPr>
              <w:t>فبراير</w:t>
            </w:r>
            <w:r w:rsidR="000E4FF0" w:rsidRPr="000E4FF0">
              <w:rPr>
                <w:rFonts w:eastAsiaTheme="minorEastAsia" w:hint="cs"/>
                <w:b/>
                <w:bCs/>
                <w:sz w:val="24"/>
                <w:szCs w:val="32"/>
                <w:rtl/>
                <w:lang w:eastAsia="zh-CN" w:bidi="ar-EG"/>
              </w:rPr>
              <w:t xml:space="preserve"> </w:t>
            </w:r>
            <w:r w:rsidR="000E4FF0" w:rsidRPr="000E4FF0">
              <w:rPr>
                <w:rFonts w:eastAsiaTheme="minorEastAsia"/>
                <w:b/>
                <w:bCs/>
                <w:sz w:val="24"/>
                <w:szCs w:val="32"/>
                <w:lang w:eastAsia="zh-CN" w:bidi="ar-EG"/>
              </w:rPr>
              <w:t>201</w:t>
            </w:r>
            <w:r w:rsidR="000E4FF0">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760E68">
        <w:trPr>
          <w:cantSplit/>
          <w:trHeight w:val="68"/>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315439"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052" w:type="dxa"/>
            <w:vAlign w:val="center"/>
          </w:tcPr>
          <w:p w:rsidR="000E4FF0" w:rsidRPr="00315439" w:rsidRDefault="000E4FF0" w:rsidP="0068453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315439">
              <w:rPr>
                <w:rFonts w:ascii="Verdana Bold" w:eastAsiaTheme="minorEastAsia" w:hAnsi="Verdana Bold" w:hint="cs"/>
                <w:b/>
                <w:bCs/>
                <w:sz w:val="19"/>
                <w:rtl/>
                <w:lang w:eastAsia="zh-CN" w:bidi="ar-EG"/>
              </w:rPr>
              <w:t xml:space="preserve">الوثيقة </w:t>
            </w:r>
            <w:r w:rsidR="00760E68" w:rsidRPr="00315439">
              <w:rPr>
                <w:rFonts w:ascii="Verdana Bold" w:eastAsiaTheme="minorEastAsia" w:hAnsi="Verdana Bold"/>
                <w:b/>
                <w:bCs/>
                <w:sz w:val="19"/>
                <w:lang w:eastAsia="zh-CN" w:bidi="ar-SY"/>
              </w:rPr>
              <w:t>EG-ITR</w:t>
            </w:r>
            <w:r w:rsidR="00684534">
              <w:rPr>
                <w:rFonts w:ascii="Verdana Bold" w:eastAsiaTheme="minorEastAsia" w:hAnsi="Verdana Bold" w:hint="eastAsia"/>
                <w:b/>
                <w:bCs/>
                <w:sz w:val="19"/>
                <w:lang w:eastAsia="zh-CN" w:bidi="ar-SY"/>
              </w:rPr>
              <w:t> </w:t>
            </w:r>
            <w:r w:rsidR="00760E68" w:rsidRPr="00315439">
              <w:rPr>
                <w:rFonts w:ascii="Verdana Bold" w:eastAsiaTheme="minorEastAsia" w:hAnsi="Verdana Bold"/>
                <w:b/>
                <w:bCs/>
                <w:sz w:val="19"/>
                <w:lang w:eastAsia="zh-CN" w:bidi="ar-SY"/>
              </w:rPr>
              <w:t>1</w:t>
            </w:r>
            <w:r w:rsidRPr="00315439">
              <w:rPr>
                <w:rFonts w:ascii="Verdana Bold" w:eastAsiaTheme="minorEastAsia" w:hAnsi="Verdana Bold"/>
                <w:b/>
                <w:bCs/>
                <w:sz w:val="19"/>
                <w:lang w:eastAsia="zh-CN" w:bidi="ar-SY"/>
              </w:rPr>
              <w:t>/</w:t>
            </w:r>
            <w:r w:rsidR="00315439" w:rsidRPr="00315439">
              <w:rPr>
                <w:rFonts w:ascii="Verdana Bold" w:eastAsiaTheme="minorEastAsia" w:hAnsi="Verdana Bold"/>
                <w:b/>
                <w:bCs/>
                <w:sz w:val="19"/>
                <w:lang w:eastAsia="zh-CN" w:bidi="ar-SY"/>
              </w:rPr>
              <w:t>7</w:t>
            </w:r>
            <w:r w:rsidRPr="00315439">
              <w:rPr>
                <w:rFonts w:ascii="Verdana Bold" w:eastAsiaTheme="minorEastAsia" w:hAnsi="Verdana Bold"/>
                <w:b/>
                <w:bCs/>
                <w:sz w:val="19"/>
                <w:lang w:eastAsia="zh-CN" w:bidi="ar-SY"/>
              </w:rPr>
              <w:t>-A</w:t>
            </w:r>
          </w:p>
        </w:tc>
      </w:tr>
      <w:tr w:rsidR="000E4FF0" w:rsidRPr="00315439"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315439" w:rsidRDefault="00315439" w:rsidP="0031543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315439">
              <w:rPr>
                <w:rFonts w:ascii="Verdana Bold" w:eastAsiaTheme="minorEastAsia" w:hAnsi="Verdana Bold"/>
                <w:b/>
                <w:bCs/>
                <w:sz w:val="19"/>
                <w:lang w:eastAsia="zh-CN" w:bidi="ar-EG"/>
              </w:rPr>
              <w:t>10</w:t>
            </w:r>
            <w:r w:rsidR="000E4FF0" w:rsidRPr="00315439">
              <w:rPr>
                <w:rFonts w:ascii="Verdana Bold" w:eastAsiaTheme="minorEastAsia" w:hAnsi="Verdana Bold" w:hint="cs"/>
                <w:b/>
                <w:bCs/>
                <w:sz w:val="19"/>
                <w:rtl/>
                <w:lang w:eastAsia="zh-CN" w:bidi="ar-EG"/>
              </w:rPr>
              <w:t xml:space="preserve"> </w:t>
            </w:r>
            <w:r w:rsidRPr="00315439">
              <w:rPr>
                <w:rFonts w:ascii="Verdana Bold" w:eastAsiaTheme="minorEastAsia" w:hAnsi="Verdana Bold" w:hint="cs"/>
                <w:b/>
                <w:bCs/>
                <w:sz w:val="19"/>
                <w:rtl/>
                <w:lang w:eastAsia="zh-CN" w:bidi="ar-EG"/>
              </w:rPr>
              <w:t>يناير</w:t>
            </w:r>
            <w:r w:rsidR="000E4FF0" w:rsidRPr="00315439">
              <w:rPr>
                <w:rFonts w:ascii="Verdana Bold" w:eastAsiaTheme="minorEastAsia" w:hAnsi="Verdana Bold" w:hint="cs"/>
                <w:b/>
                <w:bCs/>
                <w:sz w:val="19"/>
                <w:rtl/>
                <w:lang w:eastAsia="zh-CN" w:bidi="ar-EG"/>
              </w:rPr>
              <w:t xml:space="preserve"> </w:t>
            </w:r>
            <w:r w:rsidR="000E4FF0" w:rsidRPr="00315439">
              <w:rPr>
                <w:rFonts w:ascii="Verdana Bold" w:eastAsiaTheme="minorEastAsia" w:hAnsi="Verdana Bold"/>
                <w:b/>
                <w:bCs/>
                <w:sz w:val="19"/>
                <w:lang w:eastAsia="zh-CN" w:bidi="ar-SY"/>
              </w:rPr>
              <w:t>2017</w:t>
            </w:r>
          </w:p>
        </w:tc>
      </w:tr>
      <w:tr w:rsidR="000E4FF0" w:rsidRPr="00315439"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315439" w:rsidRDefault="000E4FF0" w:rsidP="0031543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r w:rsidRPr="00315439">
              <w:rPr>
                <w:rFonts w:ascii="Verdana Bold" w:eastAsiaTheme="minorEastAsia" w:hAnsi="Verdana Bold"/>
                <w:b/>
                <w:bCs/>
                <w:sz w:val="19"/>
                <w:rtl/>
                <w:lang w:eastAsia="zh-CN" w:bidi="ar-EG"/>
              </w:rPr>
              <w:t xml:space="preserve">الأصل: </w:t>
            </w:r>
            <w:r w:rsidR="00315439">
              <w:rPr>
                <w:rFonts w:ascii="Verdana Bold" w:eastAsiaTheme="minorEastAsia" w:hAnsi="Verdana Bold" w:hint="cs"/>
                <w:b/>
                <w:bCs/>
                <w:sz w:val="19"/>
                <w:rtl/>
                <w:lang w:eastAsia="zh-CN" w:bidi="ar-EG"/>
              </w:rPr>
              <w:t>بالروسية</w:t>
            </w:r>
          </w:p>
        </w:tc>
      </w:tr>
      <w:tr w:rsidR="000E4FF0" w:rsidRPr="000E4FF0" w:rsidTr="000E4FF0">
        <w:trPr>
          <w:cantSplit/>
          <w:jc w:val="center"/>
        </w:trPr>
        <w:tc>
          <w:tcPr>
            <w:tcW w:w="9672" w:type="dxa"/>
            <w:gridSpan w:val="2"/>
          </w:tcPr>
          <w:p w:rsidR="000E4FF0" w:rsidRPr="000E4FF0" w:rsidRDefault="00315439" w:rsidP="00762D85">
            <w:pPr>
              <w:pStyle w:val="Source"/>
              <w:rPr>
                <w:rFonts w:eastAsiaTheme="minorEastAsia"/>
                <w:rtl/>
                <w:lang w:eastAsia="zh-CN"/>
              </w:rPr>
            </w:pPr>
            <w:r>
              <w:rPr>
                <w:rFonts w:eastAsiaTheme="minorEastAsia" w:hint="cs"/>
                <w:rtl/>
                <w:lang w:eastAsia="zh-CN"/>
              </w:rPr>
              <w:t>مساهمة</w:t>
            </w:r>
            <w:r w:rsidR="00762D85">
              <w:rPr>
                <w:rFonts w:eastAsiaTheme="minorEastAsia" w:hint="cs"/>
                <w:rtl/>
                <w:lang w:eastAsia="zh-CN"/>
              </w:rPr>
              <w:t xml:space="preserve"> من </w:t>
            </w:r>
            <w:r w:rsidR="00762D85" w:rsidRPr="00762D85">
              <w:rPr>
                <w:rFonts w:eastAsiaTheme="minorEastAsia" w:hint="cs"/>
                <w:rtl/>
                <w:lang w:eastAsia="zh-CN" w:bidi="ar-SA"/>
              </w:rPr>
              <w:t>الكومنولث الإقليمي في مجال الاتصالات</w:t>
            </w:r>
          </w:p>
        </w:tc>
      </w:tr>
      <w:tr w:rsidR="000E4FF0" w:rsidRPr="000E4FF0" w:rsidTr="000E4FF0">
        <w:trPr>
          <w:cantSplit/>
          <w:jc w:val="center"/>
        </w:trPr>
        <w:tc>
          <w:tcPr>
            <w:tcW w:w="9672" w:type="dxa"/>
            <w:gridSpan w:val="2"/>
          </w:tcPr>
          <w:p w:rsidR="000E4FF0" w:rsidRPr="000E4FF0" w:rsidRDefault="00315439" w:rsidP="00762D85">
            <w:pPr>
              <w:pStyle w:val="Title1"/>
              <w:rPr>
                <w:rFonts w:eastAsiaTheme="minorEastAsia"/>
                <w:rtl/>
                <w:lang w:eastAsia="zh-CN"/>
              </w:rPr>
            </w:pPr>
            <w:r>
              <w:rPr>
                <w:rFonts w:eastAsiaTheme="minorEastAsia" w:hint="cs"/>
                <w:rtl/>
                <w:lang w:eastAsia="zh-CN"/>
              </w:rPr>
              <w:t>تحديث وثائق الأمانة العامة المتعلقة بالأعمال التحضيرية للمؤتمر العالمي للاتصالات الدولية لعام </w:t>
            </w:r>
            <w:r>
              <w:rPr>
                <w:rFonts w:eastAsiaTheme="minorEastAsia"/>
                <w:lang w:eastAsia="zh-CN"/>
              </w:rPr>
              <w:t>2012</w:t>
            </w:r>
            <w:r>
              <w:rPr>
                <w:rFonts w:eastAsiaTheme="minorEastAsia" w:hint="cs"/>
                <w:rtl/>
                <w:lang w:eastAsia="zh-CN"/>
              </w:rPr>
              <w:t xml:space="preserve"> وإعداد وثائق جديدة بشأن الجوانب القانونية والإجرائية لفحص لوائح الاتصالات الدولية </w:t>
            </w:r>
            <w:r>
              <w:rPr>
                <w:rFonts w:eastAsiaTheme="minorEastAsia"/>
                <w:lang w:eastAsia="zh-CN"/>
              </w:rPr>
              <w:t>(ITR)</w:t>
            </w:r>
            <w:r>
              <w:rPr>
                <w:rFonts w:eastAsiaTheme="minorEastAsia" w:hint="cs"/>
                <w:rtl/>
                <w:lang w:eastAsia="zh-CN"/>
              </w:rPr>
              <w:t xml:space="preserve"> </w:t>
            </w:r>
            <w:r w:rsidR="00DE0C49">
              <w:rPr>
                <w:rFonts w:eastAsiaTheme="minorEastAsia"/>
                <w:rtl/>
                <w:lang w:eastAsia="zh-CN"/>
              </w:rPr>
              <w:br/>
            </w:r>
            <w:r>
              <w:rPr>
                <w:rFonts w:eastAsiaTheme="minorEastAsia" w:hint="cs"/>
                <w:rtl/>
                <w:lang w:eastAsia="zh-CN"/>
              </w:rPr>
              <w:t>ومراجعتها وإجراءات الانضمام إليها</w:t>
            </w:r>
          </w:p>
        </w:tc>
      </w:tr>
    </w:tbl>
    <w:p w:rsidR="00315439" w:rsidRDefault="00315439" w:rsidP="00315439">
      <w:pPr>
        <w:pStyle w:val="Headingb"/>
        <w:rPr>
          <w:noProof/>
          <w:rtl/>
        </w:rPr>
      </w:pPr>
      <w:r>
        <w:rPr>
          <w:rFonts w:hint="cs"/>
          <w:noProof/>
          <w:rtl/>
        </w:rPr>
        <w:t>مقدمة</w:t>
      </w:r>
    </w:p>
    <w:p w:rsidR="00315439" w:rsidRPr="00970AED" w:rsidRDefault="00315439" w:rsidP="00315439">
      <w:pPr>
        <w:tabs>
          <w:tab w:val="left" w:pos="1191"/>
          <w:tab w:val="left" w:pos="1588"/>
          <w:tab w:val="left" w:pos="1985"/>
        </w:tabs>
        <w:overflowPunct w:val="0"/>
        <w:autoSpaceDE w:val="0"/>
        <w:autoSpaceDN w:val="0"/>
        <w:adjustRightInd w:val="0"/>
        <w:textAlignment w:val="baseline"/>
        <w:rPr>
          <w:rtl/>
          <w:lang w:bidi="ar-EG"/>
        </w:rPr>
      </w:pPr>
      <w:r w:rsidRPr="00315439">
        <w:rPr>
          <w:rFonts w:hint="cs"/>
          <w:rtl/>
        </w:rPr>
        <w:t xml:space="preserve">لوائح الاتصالات الدولية </w:t>
      </w:r>
      <w:r w:rsidRPr="00315439">
        <w:t>(ITR)</w:t>
      </w:r>
      <w:r w:rsidRPr="00315439">
        <w:rPr>
          <w:rFonts w:hint="cs"/>
          <w:rtl/>
        </w:rPr>
        <w:t xml:space="preserve"> صك من صكوك الاتحاد </w:t>
      </w:r>
      <w:r w:rsidRPr="00315439">
        <w:rPr>
          <w:rtl/>
        </w:rPr>
        <w:t>–</w:t>
      </w:r>
      <w:r w:rsidRPr="00315439">
        <w:rPr>
          <w:rFonts w:hint="cs"/>
          <w:rtl/>
        </w:rPr>
        <w:t xml:space="preserve"> جزء من اللوائح الإدارية، التي </w:t>
      </w:r>
      <w:r w:rsidRPr="00315439">
        <w:rPr>
          <w:rtl/>
        </w:rPr>
        <w:t xml:space="preserve">تنظم استخدام الاتصالات </w:t>
      </w:r>
      <w:r w:rsidRPr="00315439">
        <w:rPr>
          <w:rFonts w:hint="cs"/>
          <w:rtl/>
        </w:rPr>
        <w:t>وهي ملزمة ل</w:t>
      </w:r>
      <w:r w:rsidRPr="00315439">
        <w:rPr>
          <w:rtl/>
        </w:rPr>
        <w:t>جميع الدول الأعضاء</w:t>
      </w:r>
      <w:r w:rsidRPr="00315439">
        <w:rPr>
          <w:rFonts w:hint="cs"/>
          <w:rtl/>
        </w:rPr>
        <w:t xml:space="preserve"> (الرقمان </w:t>
      </w:r>
      <w:r w:rsidRPr="00315439">
        <w:t>29</w:t>
      </w:r>
      <w:r w:rsidRPr="00315439">
        <w:rPr>
          <w:rFonts w:hint="cs"/>
          <w:rtl/>
          <w:lang w:bidi="ar-EG"/>
        </w:rPr>
        <w:t xml:space="preserve"> و</w:t>
      </w:r>
      <w:r w:rsidRPr="00315439">
        <w:rPr>
          <w:lang w:bidi="ar-EG"/>
        </w:rPr>
        <w:t>31</w:t>
      </w:r>
      <w:r w:rsidRPr="00315439">
        <w:rPr>
          <w:rFonts w:hint="cs"/>
          <w:rtl/>
          <w:lang w:bidi="ar-EG"/>
        </w:rPr>
        <w:t xml:space="preserve"> من الدستور).</w:t>
      </w:r>
      <w:r w:rsidRPr="00315439">
        <w:rPr>
          <w:lang w:bidi="ar-EG"/>
        </w:rPr>
        <w:t xml:space="preserve"> </w:t>
      </w:r>
      <w:r w:rsidRPr="00315439">
        <w:rPr>
          <w:rFonts w:hint="cs"/>
          <w:rtl/>
          <w:lang w:bidi="ar-EG"/>
        </w:rPr>
        <w:t>وتكمل لوائح الاتصالات الدولية الدستور والاتفاقية بغية تحقيق أهداف الاتحاد المتمثلة في النهوض بتنمية الاتصالات وتشغيلها بكفاءة.</w:t>
      </w:r>
    </w:p>
    <w:p w:rsidR="00315439" w:rsidRPr="00C025AC" w:rsidRDefault="00315439" w:rsidP="00315439">
      <w:pPr>
        <w:tabs>
          <w:tab w:val="left" w:pos="1191"/>
          <w:tab w:val="left" w:pos="1588"/>
          <w:tab w:val="left" w:pos="1985"/>
        </w:tabs>
        <w:overflowPunct w:val="0"/>
        <w:autoSpaceDE w:val="0"/>
        <w:autoSpaceDN w:val="0"/>
        <w:adjustRightInd w:val="0"/>
        <w:textAlignment w:val="baseline"/>
        <w:rPr>
          <w:spacing w:val="-2"/>
          <w:rtl/>
        </w:rPr>
      </w:pPr>
      <w:r w:rsidRPr="00C025AC">
        <w:rPr>
          <w:rFonts w:hint="cs"/>
          <w:spacing w:val="-2"/>
          <w:rtl/>
        </w:rPr>
        <w:t>ويجوز لمؤتمر عالمي للاتصالات الدولية</w:t>
      </w:r>
      <w:r w:rsidRPr="00C025AC">
        <w:rPr>
          <w:rFonts w:hint="eastAsia"/>
          <w:spacing w:val="-2"/>
          <w:rtl/>
        </w:rPr>
        <w:t> </w:t>
      </w:r>
      <w:r w:rsidRPr="00C025AC">
        <w:rPr>
          <w:spacing w:val="-2"/>
        </w:rPr>
        <w:t>(WCIT)</w:t>
      </w:r>
      <w:r w:rsidRPr="00C025AC">
        <w:rPr>
          <w:rFonts w:hint="cs"/>
          <w:spacing w:val="-2"/>
          <w:rtl/>
        </w:rPr>
        <w:t xml:space="preserve"> أن يقوم بمراجعة جزئية، أو مراجعة كلية في حالات استثنائية، للوائح الاتصالات الدولية، كما يجوز له أن يتناول أي مسألة أخرى ذات طابع عالمي تدخل ضمن اختصاصه وتتصل بجدول أعماله (الرقم</w:t>
      </w:r>
      <w:r w:rsidRPr="00C025AC">
        <w:rPr>
          <w:rFonts w:hint="eastAsia"/>
          <w:spacing w:val="-2"/>
          <w:rtl/>
        </w:rPr>
        <w:t> </w:t>
      </w:r>
      <w:r w:rsidRPr="00C025AC">
        <w:rPr>
          <w:spacing w:val="-2"/>
        </w:rPr>
        <w:t>146</w:t>
      </w:r>
      <w:r w:rsidRPr="00C025AC">
        <w:rPr>
          <w:rFonts w:hint="cs"/>
          <w:spacing w:val="-2"/>
          <w:rtl/>
        </w:rPr>
        <w:t xml:space="preserve"> من الدستور).</w:t>
      </w:r>
    </w:p>
    <w:p w:rsidR="00315439" w:rsidRPr="00615DED" w:rsidRDefault="00315439" w:rsidP="00315439">
      <w:pPr>
        <w:rPr>
          <w:rtl/>
          <w:lang w:val="fr-CH"/>
        </w:rPr>
      </w:pPr>
      <w:r>
        <w:rPr>
          <w:rFonts w:hint="cs"/>
          <w:rtl/>
          <w:lang w:val="fr-CH"/>
        </w:rPr>
        <w:t>و</w:t>
      </w:r>
      <w:r w:rsidRPr="00315439">
        <w:rPr>
          <w:rFonts w:hint="cs"/>
          <w:rtl/>
          <w:lang w:val="fr-CH"/>
        </w:rPr>
        <w:t xml:space="preserve">اعتمد المؤتمر الإداري العالمي للبرق والهاتف الذي عُقد في ملبورن </w:t>
      </w:r>
      <w:r>
        <w:rPr>
          <w:rFonts w:hint="cs"/>
          <w:rtl/>
          <w:lang w:val="fr-CH"/>
        </w:rPr>
        <w:t xml:space="preserve">(أستراليا) </w:t>
      </w:r>
      <w:r w:rsidRPr="00315439">
        <w:rPr>
          <w:rFonts w:hint="cs"/>
          <w:rtl/>
          <w:lang w:val="fr-CH"/>
        </w:rPr>
        <w:t xml:space="preserve">في عام </w:t>
      </w:r>
      <w:r w:rsidRPr="00315439">
        <w:rPr>
          <w:lang w:val="fr-CH"/>
        </w:rPr>
        <w:t>1988</w:t>
      </w:r>
      <w:r w:rsidRPr="00315439">
        <w:rPr>
          <w:rFonts w:hint="cs"/>
          <w:rtl/>
          <w:lang w:val="fr-CH"/>
        </w:rPr>
        <w:t xml:space="preserve"> النسخة الحالية</w:t>
      </w:r>
      <w:r>
        <w:rPr>
          <w:rFonts w:hint="eastAsia"/>
          <w:rtl/>
          <w:lang w:val="fr-CH"/>
        </w:rPr>
        <w:t> </w:t>
      </w:r>
      <w:r>
        <w:t>(1988)</w:t>
      </w:r>
      <w:r w:rsidRPr="00315439">
        <w:rPr>
          <w:rFonts w:hint="cs"/>
          <w:rtl/>
          <w:lang w:val="fr-CH"/>
        </w:rPr>
        <w:t xml:space="preserve"> من لوائح الاتصالات الدولية</w:t>
      </w:r>
      <w:r w:rsidRPr="00315439">
        <w:rPr>
          <w:rFonts w:hint="eastAsia"/>
          <w:rtl/>
          <w:lang w:val="fr-CH"/>
        </w:rPr>
        <w:t> </w:t>
      </w:r>
      <w:r w:rsidRPr="00315439">
        <w:t>(ITR)</w:t>
      </w:r>
      <w:r w:rsidRPr="00315439">
        <w:rPr>
          <w:rFonts w:hint="cs"/>
          <w:rtl/>
          <w:lang w:val="fr-CH"/>
        </w:rPr>
        <w:t>. وكان الغرض منها هو تحديث المجموعة السابقة من اللوائح الناظمة لخدمات البرق والهاتف التي وُضعت في</w:t>
      </w:r>
      <w:r w:rsidRPr="00315439">
        <w:rPr>
          <w:rFonts w:hint="eastAsia"/>
          <w:rtl/>
          <w:lang w:val="fr-CH"/>
        </w:rPr>
        <w:t> </w:t>
      </w:r>
      <w:r w:rsidRPr="00315439">
        <w:rPr>
          <w:rFonts w:hint="cs"/>
          <w:rtl/>
          <w:lang w:val="fr-CH"/>
        </w:rPr>
        <w:t>عام</w:t>
      </w:r>
      <w:r w:rsidRPr="00315439">
        <w:rPr>
          <w:rFonts w:hint="eastAsia"/>
          <w:rtl/>
          <w:lang w:val="fr-CH"/>
        </w:rPr>
        <w:t> </w:t>
      </w:r>
      <w:r w:rsidRPr="00315439">
        <w:rPr>
          <w:lang w:val="fr-CH"/>
        </w:rPr>
        <w:t>1973</w:t>
      </w:r>
      <w:r w:rsidRPr="00315439">
        <w:rPr>
          <w:rFonts w:hint="cs"/>
          <w:rtl/>
          <w:lang w:val="fr-CH"/>
        </w:rPr>
        <w:t>.</w:t>
      </w:r>
    </w:p>
    <w:p w:rsidR="00DE0C49" w:rsidRDefault="00315439"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rPr>
        <w:t>ولم تخضع نسخة </w:t>
      </w:r>
      <w:r>
        <w:rPr>
          <w:rFonts w:eastAsiaTheme="minorEastAsia"/>
          <w:lang w:eastAsia="zh-CN"/>
        </w:rPr>
        <w:t>1988</w:t>
      </w:r>
      <w:r>
        <w:rPr>
          <w:rFonts w:eastAsiaTheme="minorEastAsia" w:hint="cs"/>
          <w:rtl/>
          <w:lang w:eastAsia="zh-CN" w:bidi="ar-EG"/>
        </w:rPr>
        <w:t xml:space="preserve"> من لوائح الاتصالات الدولية لأي مراجعة جزئية أو كلية لمدة </w:t>
      </w:r>
      <w:r>
        <w:rPr>
          <w:rFonts w:eastAsiaTheme="minorEastAsia"/>
          <w:lang w:eastAsia="zh-CN" w:bidi="ar-EG"/>
        </w:rPr>
        <w:t>24</w:t>
      </w:r>
      <w:r>
        <w:rPr>
          <w:rFonts w:eastAsiaTheme="minorEastAsia" w:hint="eastAsia"/>
          <w:rtl/>
          <w:lang w:eastAsia="zh-CN" w:bidi="ar-EG"/>
        </w:rPr>
        <w:t> عاماً حتى عام </w:t>
      </w:r>
      <w:r>
        <w:rPr>
          <w:rFonts w:eastAsiaTheme="minorEastAsia"/>
          <w:lang w:eastAsia="zh-CN" w:bidi="ar-EG"/>
        </w:rPr>
        <w:t>2012</w:t>
      </w:r>
      <w:r>
        <w:rPr>
          <w:rFonts w:eastAsiaTheme="minorEastAsia" w:hint="cs"/>
          <w:rtl/>
          <w:lang w:eastAsia="zh-CN" w:bidi="ar-EG"/>
        </w:rPr>
        <w:t>، حيث بدأت الدول الأعضاء عملية مراجعة من عام </w:t>
      </w:r>
      <w:r>
        <w:rPr>
          <w:rFonts w:eastAsiaTheme="minorEastAsia"/>
          <w:lang w:eastAsia="zh-CN" w:bidi="ar-EG"/>
        </w:rPr>
        <w:t>1998</w:t>
      </w:r>
      <w:r>
        <w:rPr>
          <w:rFonts w:eastAsiaTheme="minorEastAsia" w:hint="cs"/>
          <w:rtl/>
          <w:lang w:eastAsia="zh-CN" w:bidi="ar-EG"/>
        </w:rPr>
        <w:t xml:space="preserve"> حتى عام </w:t>
      </w:r>
      <w:r>
        <w:rPr>
          <w:rFonts w:eastAsiaTheme="minorEastAsia"/>
          <w:lang w:eastAsia="zh-CN" w:bidi="ar-EG"/>
        </w:rPr>
        <w:t>2012</w:t>
      </w:r>
      <w:r>
        <w:rPr>
          <w:rFonts w:eastAsiaTheme="minorEastAsia" w:hint="cs"/>
          <w:rtl/>
          <w:lang w:eastAsia="zh-CN" w:bidi="ar-EG"/>
        </w:rPr>
        <w:t xml:space="preserve">. وخلال هذه الفترة، أنجز كم كبير من العمل وقدمت أعداد كبيرة من الوثائق وتمت دراستها </w:t>
      </w:r>
      <w:r w:rsidRPr="00DE0C49">
        <w:rPr>
          <w:rFonts w:eastAsiaTheme="minorEastAsia" w:hint="cs"/>
          <w:rtl/>
          <w:lang w:eastAsia="zh-CN" w:bidi="ar-EG"/>
        </w:rPr>
        <w:t>وأجريت</w:t>
      </w:r>
      <w:r>
        <w:rPr>
          <w:rFonts w:eastAsiaTheme="minorEastAsia" w:hint="cs"/>
          <w:rtl/>
          <w:lang w:eastAsia="zh-CN" w:bidi="ar-EG"/>
        </w:rPr>
        <w:t xml:space="preserve"> استعراضات قانونية لتبعات مراجعة واعتماد لوائح جديدة ل</w:t>
      </w:r>
      <w:r w:rsidR="00DE0C49">
        <w:rPr>
          <w:rFonts w:eastAsiaTheme="minorEastAsia" w:hint="cs"/>
          <w:rtl/>
          <w:lang w:eastAsia="zh-CN" w:bidi="ar-EG"/>
        </w:rPr>
        <w:t>ل</w:t>
      </w:r>
      <w:r>
        <w:rPr>
          <w:rFonts w:eastAsiaTheme="minorEastAsia" w:hint="cs"/>
          <w:rtl/>
          <w:lang w:eastAsia="zh-CN" w:bidi="ar-EG"/>
        </w:rPr>
        <w:t xml:space="preserve">اتصالات الدولية. </w:t>
      </w:r>
    </w:p>
    <w:p w:rsidR="000E4FF0" w:rsidRDefault="00315439"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واستكمالاً لهذه الع</w:t>
      </w:r>
      <w:r w:rsidR="00DE0C49">
        <w:rPr>
          <w:rFonts w:eastAsiaTheme="minorEastAsia" w:hint="cs"/>
          <w:rtl/>
          <w:lang w:eastAsia="zh-CN" w:bidi="ar-EG"/>
        </w:rPr>
        <w:t>ملية، راجع المؤتمر العالمي للاتص</w:t>
      </w:r>
      <w:r>
        <w:rPr>
          <w:rFonts w:eastAsiaTheme="minorEastAsia" w:hint="cs"/>
          <w:rtl/>
          <w:lang w:eastAsia="zh-CN" w:bidi="ar-EG"/>
        </w:rPr>
        <w:t>الات الدولية لعام </w:t>
      </w:r>
      <w:r>
        <w:rPr>
          <w:rFonts w:eastAsiaTheme="minorEastAsia"/>
          <w:lang w:eastAsia="zh-CN" w:bidi="ar-EG"/>
        </w:rPr>
        <w:t>2012</w:t>
      </w:r>
      <w:r w:rsidR="00DE0C49">
        <w:rPr>
          <w:rFonts w:eastAsiaTheme="minorEastAsia" w:hint="cs"/>
          <w:rtl/>
          <w:lang w:eastAsia="zh-CN" w:bidi="ar-EG"/>
        </w:rPr>
        <w:t> </w:t>
      </w:r>
      <w:r w:rsidR="00DE0C49">
        <w:rPr>
          <w:rFonts w:eastAsiaTheme="minorEastAsia"/>
          <w:lang w:eastAsia="zh-CN" w:bidi="ar-EG"/>
        </w:rPr>
        <w:t>(WCIT 2012)</w:t>
      </w:r>
      <w:r>
        <w:rPr>
          <w:rFonts w:eastAsiaTheme="minorEastAsia" w:hint="cs"/>
          <w:rtl/>
          <w:lang w:eastAsia="zh-CN" w:bidi="ar-EG"/>
        </w:rPr>
        <w:t xml:space="preserve"> (دبي، الإمارات العربية المتحدة) نسخة </w:t>
      </w:r>
      <w:r>
        <w:rPr>
          <w:rFonts w:eastAsiaTheme="minorEastAsia"/>
          <w:lang w:eastAsia="zh-CN" w:bidi="ar-EG"/>
        </w:rPr>
        <w:t>1988</w:t>
      </w:r>
      <w:r>
        <w:rPr>
          <w:rFonts w:eastAsiaTheme="minorEastAsia" w:hint="cs"/>
          <w:rtl/>
          <w:lang w:eastAsia="zh-CN" w:bidi="ar-EG"/>
        </w:rPr>
        <w:t xml:space="preserve"> من لوائح الاتصالات الدولية والتي سيتوقف العمل بها اعتباراً من </w:t>
      </w:r>
      <w:r>
        <w:rPr>
          <w:rFonts w:eastAsiaTheme="minorEastAsia"/>
          <w:lang w:eastAsia="zh-CN" w:bidi="ar-EG"/>
        </w:rPr>
        <w:t>31</w:t>
      </w:r>
      <w:r>
        <w:rPr>
          <w:rFonts w:eastAsiaTheme="minorEastAsia" w:hint="eastAsia"/>
          <w:rtl/>
          <w:lang w:eastAsia="zh-CN" w:bidi="ar-EG"/>
        </w:rPr>
        <w:t> ديسمبر </w:t>
      </w:r>
      <w:r>
        <w:rPr>
          <w:rFonts w:eastAsiaTheme="minorEastAsia"/>
          <w:lang w:eastAsia="zh-CN" w:bidi="ar-EG"/>
        </w:rPr>
        <w:t>2017</w:t>
      </w:r>
      <w:r>
        <w:rPr>
          <w:rFonts w:eastAsiaTheme="minorEastAsia" w:hint="cs"/>
          <w:rtl/>
          <w:lang w:eastAsia="zh-CN" w:bidi="ar-EG"/>
        </w:rPr>
        <w:t>.</w:t>
      </w:r>
    </w:p>
    <w:p w:rsidR="00315439" w:rsidRDefault="00315439" w:rsidP="00315439">
      <w:pPr>
        <w:pStyle w:val="Headingb"/>
        <w:rPr>
          <w:rFonts w:eastAsiaTheme="minorEastAsia"/>
          <w:rtl/>
          <w:lang w:eastAsia="zh-CN"/>
        </w:rPr>
      </w:pPr>
      <w:r>
        <w:rPr>
          <w:rFonts w:eastAsiaTheme="minorEastAsia" w:hint="cs"/>
          <w:rtl/>
          <w:lang w:eastAsia="zh-CN"/>
        </w:rPr>
        <w:lastRenderedPageBreak/>
        <w:t>المناقشة</w:t>
      </w:r>
    </w:p>
    <w:p w:rsidR="00BA0887" w:rsidRDefault="00BA0887" w:rsidP="00762D85">
      <w:pPr>
        <w:rPr>
          <w:rFonts w:eastAsiaTheme="minorEastAsia"/>
          <w:rtl/>
          <w:lang w:eastAsia="zh-CN" w:bidi="ar-EG"/>
        </w:rPr>
      </w:pPr>
      <w:r>
        <w:rPr>
          <w:rFonts w:eastAsiaTheme="minorEastAsia" w:hint="cs"/>
          <w:rtl/>
          <w:lang w:eastAsia="zh-CN"/>
        </w:rPr>
        <w:t>ترى دول أعضاء كثير</w:t>
      </w:r>
      <w:r w:rsidR="00762D85">
        <w:rPr>
          <w:rFonts w:eastAsiaTheme="minorEastAsia" w:hint="cs"/>
          <w:rtl/>
          <w:lang w:eastAsia="zh-CN"/>
        </w:rPr>
        <w:t>ة</w:t>
      </w:r>
      <w:r>
        <w:rPr>
          <w:rFonts w:eastAsiaTheme="minorEastAsia" w:hint="cs"/>
          <w:rtl/>
          <w:lang w:eastAsia="zh-CN"/>
        </w:rPr>
        <w:t>، معظمها من الدول النامية</w:t>
      </w:r>
      <w:r>
        <w:rPr>
          <w:rStyle w:val="FootnoteReference"/>
          <w:rFonts w:eastAsiaTheme="minorEastAsia"/>
          <w:rtl/>
          <w:lang w:eastAsia="zh-CN"/>
        </w:rPr>
        <w:footnoteReference w:id="1"/>
      </w:r>
      <w:r>
        <w:rPr>
          <w:rFonts w:eastAsiaTheme="minorEastAsia" w:hint="cs"/>
          <w:rtl/>
          <w:lang w:eastAsia="zh-CN"/>
        </w:rPr>
        <w:t>، أن المؤتمر </w:t>
      </w:r>
      <w:r>
        <w:rPr>
          <w:rFonts w:eastAsiaTheme="minorEastAsia"/>
          <w:lang w:eastAsia="zh-CN"/>
        </w:rPr>
        <w:t>WCIT 2012</w:t>
      </w:r>
      <w:r>
        <w:rPr>
          <w:rFonts w:eastAsiaTheme="minorEastAsia" w:hint="cs"/>
          <w:rtl/>
          <w:lang w:eastAsia="zh-CN" w:bidi="ar-EG"/>
        </w:rPr>
        <w:t>، لم يتسن له، لأسباب موضوعية ولعدم مراجعة لوائح الاتصالات الدولية لمدة </w:t>
      </w:r>
      <w:r>
        <w:rPr>
          <w:rFonts w:eastAsiaTheme="minorEastAsia"/>
          <w:lang w:eastAsia="zh-CN" w:bidi="ar-EG"/>
        </w:rPr>
        <w:t>24</w:t>
      </w:r>
      <w:r>
        <w:rPr>
          <w:rFonts w:eastAsiaTheme="minorEastAsia" w:hint="eastAsia"/>
          <w:rtl/>
          <w:lang w:eastAsia="zh-CN" w:bidi="ar-EG"/>
        </w:rPr>
        <w:t xml:space="preserve"> عاماً، إجراء نقاش متعمق والتوصل إلى حلول توافقية بشأن جميع المسائل الحالية ومراعاة الاتجاهات المعاصرة الأساسية </w:t>
      </w:r>
      <w:r>
        <w:rPr>
          <w:rFonts w:eastAsiaTheme="minorEastAsia" w:hint="cs"/>
          <w:rtl/>
          <w:lang w:eastAsia="zh-CN" w:bidi="ar-EG"/>
        </w:rPr>
        <w:t>للاتصالات/تكنولوجيا المعلومات والاتصالات في لوائح الاتصالات الدولية الجديدة لعام </w:t>
      </w:r>
      <w:r>
        <w:rPr>
          <w:rFonts w:eastAsiaTheme="minorEastAsia"/>
          <w:lang w:eastAsia="zh-CN" w:bidi="ar-EG"/>
        </w:rPr>
        <w:t>2012</w:t>
      </w:r>
      <w:r>
        <w:rPr>
          <w:rFonts w:eastAsiaTheme="minorEastAsia" w:hint="cs"/>
          <w:rtl/>
          <w:lang w:eastAsia="zh-CN" w:bidi="ar-EG"/>
        </w:rPr>
        <w:t>.</w:t>
      </w:r>
    </w:p>
    <w:p w:rsidR="00BA0887" w:rsidRDefault="00BA0887" w:rsidP="00762D85">
      <w:pPr>
        <w:rPr>
          <w:noProof/>
          <w:rtl/>
          <w:lang w:bidi="ar-EG"/>
        </w:rPr>
      </w:pPr>
      <w:r w:rsidRPr="00BA0887">
        <w:rPr>
          <w:rFonts w:eastAsiaTheme="minorEastAsia" w:hint="cs"/>
          <w:rtl/>
          <w:lang w:eastAsia="zh-CN" w:bidi="ar-EG"/>
        </w:rPr>
        <w:t>ومع الوضع في الاعتبار الاهتمام الكبير للدول الأعضاء، خاصة البلدان النامية، بتحديث لوائح الاتصالات الدولية لعام </w:t>
      </w:r>
      <w:r w:rsidRPr="00BA0887">
        <w:rPr>
          <w:rFonts w:eastAsiaTheme="minorEastAsia"/>
          <w:lang w:eastAsia="zh-CN" w:bidi="ar-EG"/>
        </w:rPr>
        <w:t>2012</w:t>
      </w:r>
      <w:r w:rsidRPr="00BA0887">
        <w:rPr>
          <w:rFonts w:eastAsiaTheme="minorEastAsia" w:hint="cs"/>
          <w:rtl/>
          <w:lang w:eastAsia="zh-CN" w:bidi="ar-EG"/>
        </w:rPr>
        <w:t>، اعتمد مؤتمر المندوبين المفوضين لعام </w:t>
      </w:r>
      <w:r w:rsidRPr="00BA0887">
        <w:rPr>
          <w:rFonts w:eastAsiaTheme="minorEastAsia"/>
          <w:lang w:eastAsia="zh-CN" w:bidi="ar-EG"/>
        </w:rPr>
        <w:t>2014</w:t>
      </w:r>
      <w:r w:rsidRPr="00BA0887">
        <w:rPr>
          <w:rFonts w:eastAsiaTheme="minorEastAsia" w:hint="cs"/>
          <w:rtl/>
          <w:lang w:eastAsia="zh-CN" w:bidi="ar-EG"/>
        </w:rPr>
        <w:t xml:space="preserve"> (بوسان، جمهورية كوريا)، في ضوء المساهمات المتلقاة من الدول الأعضاء ونتيجة للعمل الذي أنجزه المؤتمر </w:t>
      </w:r>
      <w:r w:rsidRPr="00BA0887">
        <w:rPr>
          <w:rFonts w:eastAsiaTheme="minorEastAsia"/>
          <w:lang w:eastAsia="zh-CN" w:bidi="ar-EG"/>
        </w:rPr>
        <w:t>WCIT</w:t>
      </w:r>
      <w:r w:rsidR="00911E6A">
        <w:rPr>
          <w:rFonts w:eastAsiaTheme="minorEastAsia"/>
          <w:lang w:eastAsia="zh-CN" w:bidi="ar-EG"/>
        </w:rPr>
        <w:t> 2012</w:t>
      </w:r>
      <w:r w:rsidRPr="00BA0887">
        <w:rPr>
          <w:rFonts w:eastAsiaTheme="minorEastAsia" w:hint="cs"/>
          <w:rtl/>
          <w:lang w:eastAsia="zh-CN" w:bidi="ar-EG"/>
        </w:rPr>
        <w:t>، القرار </w:t>
      </w:r>
      <w:r w:rsidRPr="00BA0887">
        <w:rPr>
          <w:rFonts w:eastAsiaTheme="minorEastAsia"/>
          <w:lang w:eastAsia="zh-CN" w:bidi="ar-EG"/>
        </w:rPr>
        <w:t>146</w:t>
      </w:r>
      <w:r w:rsidRPr="00BA0887">
        <w:rPr>
          <w:rFonts w:eastAsiaTheme="minorEastAsia" w:hint="cs"/>
          <w:rtl/>
          <w:lang w:eastAsia="zh-CN" w:bidi="ar-EG"/>
        </w:rPr>
        <w:t xml:space="preserve"> "استعراض ومراجعة لوائح الاتصالات الدولية دورياً"، والذي قرر أن يُجرى استعراض دوري بصورة عادية للوائح كل ثمانية أعوام على أن تبدأ هذه العملية في </w:t>
      </w:r>
      <w:r w:rsidRPr="00BA0887">
        <w:rPr>
          <w:rFonts w:eastAsiaTheme="minorEastAsia"/>
          <w:lang w:eastAsia="zh-CN" w:bidi="ar-EG"/>
        </w:rPr>
        <w:t>2017</w:t>
      </w:r>
      <w:r w:rsidRPr="00BA0887">
        <w:rPr>
          <w:rFonts w:eastAsiaTheme="minorEastAsia" w:hint="cs"/>
          <w:rtl/>
          <w:lang w:eastAsia="zh-CN" w:bidi="ar-EG"/>
        </w:rPr>
        <w:t>. وطبقاً لأحكام القرار، ك</w:t>
      </w:r>
      <w:r w:rsidR="00762D85">
        <w:rPr>
          <w:rFonts w:eastAsiaTheme="minorEastAsia" w:hint="cs"/>
          <w:rtl/>
          <w:lang w:eastAsia="zh-CN" w:bidi="ar-EG"/>
        </w:rPr>
        <w:t>ُ</w:t>
      </w:r>
      <w:r w:rsidRPr="00BA0887">
        <w:rPr>
          <w:rFonts w:eastAsiaTheme="minorEastAsia" w:hint="cs"/>
          <w:rtl/>
          <w:lang w:eastAsia="zh-CN" w:bidi="ar-EG"/>
        </w:rPr>
        <w:t xml:space="preserve">لف </w:t>
      </w:r>
      <w:r w:rsidRPr="00BA0887">
        <w:rPr>
          <w:rFonts w:hint="cs"/>
          <w:noProof/>
          <w:rtl/>
          <w:lang w:bidi="ar-EG"/>
        </w:rPr>
        <w:t>الأمين العام بالدعوة لاجتماع فريق خبراء معني بلوائح الاتصالات الدولية </w:t>
      </w:r>
      <w:r w:rsidRPr="00BA0887">
        <w:rPr>
          <w:noProof/>
          <w:lang w:bidi="ar-EG"/>
        </w:rPr>
        <w:t>(EG</w:t>
      </w:r>
      <w:r w:rsidRPr="00BA0887">
        <w:rPr>
          <w:noProof/>
          <w:lang w:bidi="ar-EG"/>
        </w:rPr>
        <w:noBreakHyphen/>
        <w:t>ITR)</w:t>
      </w:r>
      <w:r w:rsidRPr="00BA0887">
        <w:rPr>
          <w:rFonts w:hint="cs"/>
          <w:noProof/>
          <w:rtl/>
          <w:lang w:bidi="ar-EG"/>
        </w:rPr>
        <w:t xml:space="preserve"> لمراجعة </w:t>
      </w:r>
      <w:r w:rsidR="00762D85">
        <w:rPr>
          <w:rFonts w:hint="cs"/>
          <w:noProof/>
          <w:rtl/>
          <w:lang w:bidi="ar-EG"/>
        </w:rPr>
        <w:t>لوائح عام </w:t>
      </w:r>
      <w:r w:rsidR="00762D85">
        <w:rPr>
          <w:noProof/>
          <w:lang w:bidi="ar-EG"/>
        </w:rPr>
        <w:t>2012</w:t>
      </w:r>
      <w:r w:rsidRPr="00BA0887">
        <w:rPr>
          <w:rFonts w:hint="cs"/>
          <w:noProof/>
          <w:rtl/>
          <w:lang w:bidi="ar-EG"/>
        </w:rPr>
        <w:t>، وتُفتح أبوابه للدول الأعضاء وأعضاء القطاعات في</w:t>
      </w:r>
      <w:r>
        <w:rPr>
          <w:rFonts w:hint="eastAsia"/>
          <w:noProof/>
          <w:rtl/>
          <w:lang w:bidi="ar-EG"/>
        </w:rPr>
        <w:t> </w:t>
      </w:r>
      <w:r w:rsidRPr="00BA0887">
        <w:rPr>
          <w:rFonts w:hint="cs"/>
          <w:noProof/>
          <w:rtl/>
          <w:lang w:bidi="ar-EG"/>
        </w:rPr>
        <w:t>الاتحاد ويحدد مجلس الاتحاد اختصاصات هذا الفريق وأساليب عمله.</w:t>
      </w:r>
    </w:p>
    <w:p w:rsidR="00BA0887" w:rsidRDefault="00BA0887" w:rsidP="00911E6A">
      <w:pPr>
        <w:rPr>
          <w:noProof/>
          <w:rtl/>
          <w:lang w:bidi="ar-EG"/>
        </w:rPr>
      </w:pPr>
      <w:r>
        <w:rPr>
          <w:rFonts w:hint="cs"/>
          <w:noProof/>
          <w:rtl/>
          <w:lang w:bidi="ar-EG"/>
        </w:rPr>
        <w:t>واعتمد المجلس في دورته لعام </w:t>
      </w:r>
      <w:r>
        <w:rPr>
          <w:noProof/>
          <w:lang w:bidi="ar-EG"/>
        </w:rPr>
        <w:t>2016</w:t>
      </w:r>
      <w:r>
        <w:rPr>
          <w:rFonts w:hint="cs"/>
          <w:noProof/>
          <w:rtl/>
          <w:lang w:bidi="ar-EG"/>
        </w:rPr>
        <w:t xml:space="preserve"> القرار </w:t>
      </w:r>
      <w:r>
        <w:rPr>
          <w:noProof/>
          <w:lang w:bidi="ar-EG"/>
        </w:rPr>
        <w:t>1379</w:t>
      </w:r>
      <w:r>
        <w:rPr>
          <w:rFonts w:hint="cs"/>
          <w:noProof/>
          <w:rtl/>
          <w:lang w:bidi="ar-EG"/>
        </w:rPr>
        <w:t xml:space="preserve"> والذي تشكل بموجبه الفريق </w:t>
      </w:r>
      <w:r w:rsidR="00911E6A">
        <w:rPr>
          <w:noProof/>
          <w:lang w:bidi="ar-EG"/>
        </w:rPr>
        <w:t>EG</w:t>
      </w:r>
      <w:r>
        <w:rPr>
          <w:noProof/>
          <w:lang w:bidi="ar-EG"/>
        </w:rPr>
        <w:t>-ITR</w:t>
      </w:r>
      <w:r>
        <w:rPr>
          <w:rFonts w:hint="cs"/>
          <w:noProof/>
          <w:rtl/>
          <w:lang w:bidi="ar-EG"/>
        </w:rPr>
        <w:t xml:space="preserve"> وتحددت فيه اختصاصاته وأساليب عمله.</w:t>
      </w:r>
    </w:p>
    <w:p w:rsidR="00BA0887" w:rsidRDefault="00BA0887" w:rsidP="00BA0887">
      <w:pPr>
        <w:rPr>
          <w:noProof/>
          <w:rtl/>
          <w:lang w:bidi="ar-EG"/>
        </w:rPr>
      </w:pPr>
      <w:r>
        <w:rPr>
          <w:rFonts w:hint="cs"/>
          <w:noProof/>
          <w:rtl/>
          <w:lang w:bidi="ar-EG"/>
        </w:rPr>
        <w:t>وفي دورة المجلس هذه، قدم عدد من الدول الأعضاء مساهمات بشأن مسألة مراجعة لوائح الاتصالات الدولية لعام </w:t>
      </w:r>
      <w:r>
        <w:rPr>
          <w:noProof/>
          <w:lang w:bidi="ar-EG"/>
        </w:rPr>
        <w:t>2012</w:t>
      </w:r>
      <w:r>
        <w:rPr>
          <w:rFonts w:hint="cs"/>
          <w:noProof/>
          <w:rtl/>
          <w:lang w:bidi="ar-EG"/>
        </w:rPr>
        <w:t xml:space="preserve"> وأشارت إلى ضرورة وجود معلومات بشأن الجوانب القانونية والجوانب الأخرى لعملية مراجعة هذه اللوائح ووضعها القانوني والتبعات التي يرجح أن تقع على الاتحاد وعلى الدول الأعضاء وأعضاء القطاعات ومستعملي خدمات الاتصالات الدولية في شتى أنحاء العالم. بيد أن عدداً من الدول الأعضاء وممثلين عن الأمانة العامة أشاروا إلى أن هذه المسائل درست على نطاق واسع أثناء العملية المطولة لمراجعة نسخة </w:t>
      </w:r>
      <w:r>
        <w:rPr>
          <w:noProof/>
          <w:lang w:bidi="ar-EG"/>
        </w:rPr>
        <w:t>1988</w:t>
      </w:r>
      <w:r>
        <w:rPr>
          <w:rFonts w:hint="cs"/>
          <w:noProof/>
          <w:rtl/>
          <w:lang w:bidi="ar-EG"/>
        </w:rPr>
        <w:t xml:space="preserve"> من اللوائح في أفرقة مختلفة في الفترة بين </w:t>
      </w:r>
      <w:r>
        <w:rPr>
          <w:noProof/>
          <w:lang w:bidi="ar-EG"/>
        </w:rPr>
        <w:t>1998</w:t>
      </w:r>
      <w:r>
        <w:rPr>
          <w:rFonts w:hint="cs"/>
          <w:noProof/>
          <w:rtl/>
          <w:lang w:bidi="ar-EG"/>
        </w:rPr>
        <w:t xml:space="preserve"> و</w:t>
      </w:r>
      <w:r>
        <w:rPr>
          <w:noProof/>
          <w:lang w:bidi="ar-EG"/>
        </w:rPr>
        <w:t>2012</w:t>
      </w:r>
      <w:r>
        <w:rPr>
          <w:rFonts w:hint="cs"/>
          <w:noProof/>
          <w:rtl/>
          <w:lang w:bidi="ar-EG"/>
        </w:rPr>
        <w:t>.</w:t>
      </w:r>
    </w:p>
    <w:p w:rsidR="00BA0887" w:rsidRDefault="00BA0887" w:rsidP="00BA0887">
      <w:pPr>
        <w:rPr>
          <w:noProof/>
          <w:rtl/>
          <w:lang w:bidi="ar-EG"/>
        </w:rPr>
      </w:pPr>
      <w:r>
        <w:rPr>
          <w:rFonts w:hint="cs"/>
          <w:noProof/>
          <w:rtl/>
          <w:lang w:bidi="ar-EG"/>
        </w:rPr>
        <w:t>وتتضمن تقارير هذه الأفرقة والمساهمات المقدمة من الدول الأعضاء وأعضاء القطاعات ووثائق الأمانة العامة</w:t>
      </w:r>
      <w:r w:rsidR="00696DC8">
        <w:rPr>
          <w:rFonts w:hint="cs"/>
          <w:noProof/>
          <w:rtl/>
          <w:lang w:bidi="ar-EG"/>
        </w:rPr>
        <w:t xml:space="preserve"> معلومات عن المسائل التي</w:t>
      </w:r>
      <w:r w:rsidR="00696DC8">
        <w:rPr>
          <w:rFonts w:hint="eastAsia"/>
          <w:noProof/>
          <w:rtl/>
          <w:lang w:bidi="ar-EG"/>
        </w:rPr>
        <w:t> </w:t>
      </w:r>
      <w:r w:rsidR="00696DC8">
        <w:rPr>
          <w:rFonts w:hint="cs"/>
          <w:noProof/>
          <w:rtl/>
          <w:lang w:bidi="ar-EG"/>
        </w:rPr>
        <w:t>نوقشت.</w:t>
      </w:r>
    </w:p>
    <w:p w:rsidR="00BA0887" w:rsidRDefault="00BA0887" w:rsidP="00911E6A">
      <w:pPr>
        <w:pStyle w:val="Headingb"/>
        <w:rPr>
          <w:noProof/>
          <w:rtl/>
        </w:rPr>
      </w:pPr>
      <w:r>
        <w:rPr>
          <w:rFonts w:hint="cs"/>
          <w:noProof/>
          <w:rtl/>
        </w:rPr>
        <w:t>المقترحات</w:t>
      </w:r>
    </w:p>
    <w:p w:rsidR="00BA0887" w:rsidRDefault="00BA0887" w:rsidP="00911E6A">
      <w:pPr>
        <w:rPr>
          <w:noProof/>
          <w:rtl/>
          <w:lang w:bidi="ar-EG"/>
        </w:rPr>
      </w:pPr>
      <w:r>
        <w:rPr>
          <w:rFonts w:hint="cs"/>
          <w:noProof/>
          <w:rtl/>
          <w:lang w:bidi="ar-EG"/>
        </w:rPr>
        <w:t>في ضوء ما سبق، ومع ملاحظة الكم الكبير من المواد المتاحة التي أعدتها الأمانة العامة للاتحاد خلال العملية التحضيرية للمؤتمر </w:t>
      </w:r>
      <w:r>
        <w:rPr>
          <w:noProof/>
          <w:lang w:bidi="ar-EG"/>
        </w:rPr>
        <w:t>WCIT 2012</w:t>
      </w:r>
      <w:r>
        <w:rPr>
          <w:rFonts w:hint="cs"/>
          <w:noProof/>
          <w:rtl/>
          <w:lang w:bidi="ar-EG"/>
        </w:rPr>
        <w:t>، نقترح ما يلي:</w:t>
      </w:r>
    </w:p>
    <w:p w:rsidR="00BA0887" w:rsidRDefault="00BA0887" w:rsidP="00C025AC">
      <w:pPr>
        <w:pStyle w:val="enumlev1"/>
        <w:rPr>
          <w:noProof/>
          <w:rtl/>
        </w:rPr>
      </w:pPr>
      <w:r>
        <w:rPr>
          <w:noProof/>
        </w:rPr>
        <w:t>1</w:t>
      </w:r>
      <w:r>
        <w:rPr>
          <w:noProof/>
          <w:rtl/>
        </w:rPr>
        <w:tab/>
      </w:r>
      <w:r>
        <w:rPr>
          <w:rFonts w:hint="cs"/>
          <w:noProof/>
          <w:rtl/>
        </w:rPr>
        <w:t xml:space="preserve">نطلب من الأمانة العامة استعراض جميع الوثائق التي وضعتها في الفترة من </w:t>
      </w:r>
      <w:r>
        <w:rPr>
          <w:noProof/>
        </w:rPr>
        <w:t>1998</w:t>
      </w:r>
      <w:r>
        <w:rPr>
          <w:rFonts w:hint="cs"/>
          <w:noProof/>
          <w:rtl/>
        </w:rPr>
        <w:t xml:space="preserve"> إلى </w:t>
      </w:r>
      <w:r>
        <w:rPr>
          <w:noProof/>
        </w:rPr>
        <w:t>2012</w:t>
      </w:r>
      <w:r>
        <w:rPr>
          <w:rFonts w:hint="cs"/>
          <w:noProof/>
          <w:rtl/>
        </w:rPr>
        <w:t xml:space="preserve"> والمتعلقة بالجوانب القانونية والجوانب الأخرى للوائح الاتصالات الدولية ومراجعتها.</w:t>
      </w:r>
    </w:p>
    <w:p w:rsidR="00BA0887" w:rsidRPr="00C025AC" w:rsidRDefault="00BA0887" w:rsidP="00C025AC">
      <w:pPr>
        <w:pStyle w:val="enumlev1"/>
        <w:rPr>
          <w:rFonts w:eastAsiaTheme="minorEastAsia"/>
          <w:rtl/>
        </w:rPr>
      </w:pPr>
      <w:r>
        <w:rPr>
          <w:rFonts w:eastAsiaTheme="minorEastAsia"/>
        </w:rPr>
        <w:t>2</w:t>
      </w:r>
      <w:r>
        <w:rPr>
          <w:rFonts w:eastAsiaTheme="minorEastAsia"/>
          <w:rtl/>
        </w:rPr>
        <w:tab/>
      </w:r>
      <w:r>
        <w:rPr>
          <w:rFonts w:eastAsiaTheme="minorEastAsia" w:hint="cs"/>
          <w:rtl/>
        </w:rPr>
        <w:t>من بين الوثائق المشار إليها في النقطة </w:t>
      </w:r>
      <w:r>
        <w:rPr>
          <w:rFonts w:eastAsiaTheme="minorEastAsia"/>
        </w:rPr>
        <w:t>1</w:t>
      </w:r>
      <w:r>
        <w:rPr>
          <w:rFonts w:eastAsiaTheme="minorEastAsia" w:hint="cs"/>
          <w:rtl/>
        </w:rPr>
        <w:t>، تراجع بادئ ذي بدء الوثائق القانونية والتنظيمية القائمة والمعلومات الأساسية والبيانات التحليلية وتحديث حالتها طبقاً للظروف الحالية </w:t>
      </w:r>
      <w:r>
        <w:rPr>
          <w:rFonts w:eastAsiaTheme="minorEastAsia"/>
        </w:rPr>
        <w:t>(2017)</w:t>
      </w:r>
      <w:r>
        <w:rPr>
          <w:rFonts w:eastAsiaTheme="minorEastAsia" w:hint="cs"/>
          <w:rtl/>
        </w:rPr>
        <w:t xml:space="preserve"> وإجراء تحليل يشمل على سبيل الذكر وليس الحصر </w:t>
      </w:r>
      <w:r w:rsidRPr="00C025AC">
        <w:rPr>
          <w:rFonts w:eastAsiaTheme="minorEastAsia" w:hint="cs"/>
          <w:rtl/>
        </w:rPr>
        <w:t>الوثائق التالية:</w:t>
      </w:r>
    </w:p>
    <w:p w:rsidR="00C025AC" w:rsidRPr="00C025AC" w:rsidRDefault="00C025AC" w:rsidP="006E2C1A">
      <w:pPr>
        <w:pStyle w:val="enumlev2"/>
        <w:rPr>
          <w:noProof/>
          <w:rtl/>
        </w:rPr>
      </w:pPr>
      <w:r w:rsidRPr="00762D85">
        <w:rPr>
          <w:rFonts w:hint="cs"/>
          <w:noProof/>
          <w:rtl/>
        </w:rPr>
        <w:t> أ )</w:t>
      </w:r>
      <w:r w:rsidRPr="00C025AC">
        <w:rPr>
          <w:rFonts w:hint="cs"/>
          <w:noProof/>
          <w:rtl/>
        </w:rPr>
        <w:tab/>
      </w:r>
      <w:hyperlink r:id="rId11" w:tgtFrame="_blank" w:history="1">
        <w:r w:rsidRPr="00C025AC">
          <w:rPr>
            <w:rStyle w:val="Hyperlink"/>
            <w:bCs/>
            <w:noProof/>
            <w:lang w:bidi="ar-EG"/>
          </w:rPr>
          <w:t>CWG-WCIT12/TD-4</w:t>
        </w:r>
      </w:hyperlink>
      <w:r w:rsidRPr="00C025AC">
        <w:rPr>
          <w:rFonts w:hint="cs"/>
          <w:noProof/>
          <w:rtl/>
        </w:rPr>
        <w:t xml:space="preserve"> - </w:t>
      </w:r>
      <w:r w:rsidRPr="00C025AC">
        <w:rPr>
          <w:rFonts w:hint="cs"/>
          <w:rtl/>
        </w:rPr>
        <w:t>اتفاقية فيينا لقانون المعاهدات</w:t>
      </w:r>
      <w:r>
        <w:rPr>
          <w:rFonts w:hint="cs"/>
          <w:rtl/>
        </w:rPr>
        <w:t xml:space="preserve"> لعام </w:t>
      </w:r>
      <w:r>
        <w:t>1969</w:t>
      </w:r>
      <w:r>
        <w:rPr>
          <w:rFonts w:hint="cs"/>
          <w:rtl/>
        </w:rPr>
        <w:t xml:space="preserve">. وتستنسخ الوثيقة للعلم نص </w:t>
      </w:r>
      <w:r w:rsidRPr="00C025AC">
        <w:rPr>
          <w:rFonts w:hint="cs"/>
          <w:rtl/>
        </w:rPr>
        <w:t>اتفاقية فيينا لقانون المعاهدات</w:t>
      </w:r>
      <w:r w:rsidR="00762D85">
        <w:rPr>
          <w:rFonts w:hint="cs"/>
          <w:rtl/>
        </w:rPr>
        <w:t>.</w:t>
      </w:r>
      <w:r>
        <w:rPr>
          <w:rFonts w:hint="cs"/>
          <w:rtl/>
        </w:rPr>
        <w:t xml:space="preserve"> وتتعلق </w:t>
      </w:r>
      <w:r w:rsidR="006E2C1A">
        <w:rPr>
          <w:rFonts w:hint="cs"/>
          <w:rtl/>
        </w:rPr>
        <w:t>المواد من</w:t>
      </w:r>
      <w:r>
        <w:rPr>
          <w:rFonts w:hint="cs"/>
          <w:rtl/>
        </w:rPr>
        <w:t xml:space="preserve"> </w:t>
      </w:r>
      <w:r>
        <w:t>26</w:t>
      </w:r>
      <w:r>
        <w:rPr>
          <w:rFonts w:hint="cs"/>
          <w:rtl/>
        </w:rPr>
        <w:t xml:space="preserve"> </w:t>
      </w:r>
      <w:r w:rsidR="006E2C1A">
        <w:rPr>
          <w:rFonts w:hint="cs"/>
          <w:rtl/>
        </w:rPr>
        <w:t xml:space="preserve">إلى </w:t>
      </w:r>
      <w:r w:rsidR="006E2C1A">
        <w:t>38</w:t>
      </w:r>
      <w:r w:rsidR="006E2C1A">
        <w:rPr>
          <w:rFonts w:hint="cs"/>
          <w:rtl/>
          <w:lang w:bidi="ar-EG"/>
        </w:rPr>
        <w:t xml:space="preserve"> </w:t>
      </w:r>
      <w:r>
        <w:rPr>
          <w:rFonts w:hint="cs"/>
          <w:rtl/>
        </w:rPr>
        <w:t>باحترام المعاهدات وتنفيذها وتفسيرها.</w:t>
      </w:r>
    </w:p>
    <w:p w:rsidR="00C025AC" w:rsidRPr="00C025AC" w:rsidRDefault="00C025AC" w:rsidP="002918D7">
      <w:pPr>
        <w:pStyle w:val="enumlev2"/>
        <w:rPr>
          <w:noProof/>
          <w:rtl/>
        </w:rPr>
      </w:pPr>
      <w:r w:rsidRPr="00762D85">
        <w:rPr>
          <w:rFonts w:hint="cs"/>
          <w:noProof/>
          <w:rtl/>
        </w:rPr>
        <w:t>ب)</w:t>
      </w:r>
      <w:r w:rsidRPr="00C025AC">
        <w:rPr>
          <w:rFonts w:hint="cs"/>
          <w:noProof/>
          <w:rtl/>
        </w:rPr>
        <w:tab/>
      </w:r>
      <w:hyperlink r:id="rId12" w:tgtFrame="_blank" w:history="1">
        <w:r w:rsidRPr="00C025AC">
          <w:rPr>
            <w:rStyle w:val="Hyperlink"/>
            <w:bCs/>
            <w:noProof/>
          </w:rPr>
          <w:t>CWG-WCIT12/TD-5</w:t>
        </w:r>
      </w:hyperlink>
      <w:r w:rsidRPr="00C025AC">
        <w:rPr>
          <w:rFonts w:hint="cs"/>
          <w:noProof/>
          <w:rtl/>
        </w:rPr>
        <w:t xml:space="preserve"> - </w:t>
      </w:r>
      <w:r>
        <w:rPr>
          <w:rFonts w:hint="cs"/>
          <w:rtl/>
        </w:rPr>
        <w:t>معلومات أساسية ذات طابع قانوني.</w:t>
      </w:r>
      <w:r w:rsidRPr="00C025AC">
        <w:rPr>
          <w:rFonts w:hint="cs"/>
          <w:rtl/>
        </w:rPr>
        <w:t xml:space="preserve"> </w:t>
      </w:r>
      <w:r w:rsidRPr="00C025AC">
        <w:rPr>
          <w:rFonts w:hint="cs"/>
          <w:noProof/>
          <w:rtl/>
        </w:rPr>
        <w:t>خلال المناقشات التي دارت في</w:t>
      </w:r>
      <w:r>
        <w:rPr>
          <w:rFonts w:hint="eastAsia"/>
          <w:noProof/>
          <w:rtl/>
        </w:rPr>
        <w:t> </w:t>
      </w:r>
      <w:r w:rsidRPr="00C025AC">
        <w:rPr>
          <w:rFonts w:hint="cs"/>
          <w:noProof/>
          <w:rtl/>
        </w:rPr>
        <w:t>الاجتماعات السابقة ل</w:t>
      </w:r>
      <w:r w:rsidRPr="00C025AC">
        <w:rPr>
          <w:noProof/>
          <w:rtl/>
        </w:rPr>
        <w:t>فريق الخبراء المعني باستعراض لوائح الاتصالات الدولية</w:t>
      </w:r>
      <w:r w:rsidR="002918D7">
        <w:rPr>
          <w:rFonts w:hint="eastAsia"/>
          <w:noProof/>
          <w:rtl/>
        </w:rPr>
        <w:t> </w:t>
      </w:r>
      <w:bookmarkStart w:id="1" w:name="_GoBack"/>
      <w:bookmarkEnd w:id="1"/>
      <w:r w:rsidRPr="00C025AC">
        <w:rPr>
          <w:noProof/>
        </w:rPr>
        <w:t>(ITR-EG)</w:t>
      </w:r>
      <w:r w:rsidRPr="00C025AC">
        <w:rPr>
          <w:rFonts w:hint="cs"/>
          <w:noProof/>
          <w:rtl/>
        </w:rPr>
        <w:t xml:space="preserve"> تمثل أحد الأسئلة المتكررة فيما يلي: "ما هي التبعات القانونية لهذه اللغة أو تلك في المعاهدة؟". يتمثل الهدف من هذه الورقة في وضع بعض الاعتبارات لتؤخذ في الحسبان عند الإجابة على مثل هذه الأسئلة.</w:t>
      </w:r>
    </w:p>
    <w:p w:rsidR="00C025AC" w:rsidRPr="00A2039E" w:rsidRDefault="00C025AC" w:rsidP="00673BEE">
      <w:pPr>
        <w:pStyle w:val="enumlev2"/>
        <w:keepLines/>
        <w:rPr>
          <w:noProof/>
          <w:rtl/>
        </w:rPr>
      </w:pPr>
      <w:r w:rsidRPr="00762D85">
        <w:rPr>
          <w:rFonts w:hint="cs"/>
          <w:noProof/>
          <w:rtl/>
        </w:rPr>
        <w:lastRenderedPageBreak/>
        <w:t>ج)</w:t>
      </w:r>
      <w:r w:rsidRPr="00C025AC">
        <w:rPr>
          <w:rFonts w:hint="cs"/>
          <w:noProof/>
          <w:rtl/>
        </w:rPr>
        <w:tab/>
      </w:r>
      <w:hyperlink r:id="rId13" w:tgtFrame="_blank" w:history="1">
        <w:r w:rsidR="00911E6A" w:rsidRPr="00911E6A">
          <w:rPr>
            <w:rStyle w:val="Hyperlink"/>
            <w:bCs/>
            <w:noProof/>
          </w:rPr>
          <w:t>CWG-WCIT12/TD-16</w:t>
        </w:r>
      </w:hyperlink>
      <w:r w:rsidR="00911E6A">
        <w:rPr>
          <w:rFonts w:hint="cs"/>
          <w:noProof/>
          <w:rtl/>
          <w:lang w:bidi="ar-EG"/>
        </w:rPr>
        <w:t xml:space="preserve"> - </w:t>
      </w:r>
      <w:r>
        <w:rPr>
          <w:rFonts w:hint="cs"/>
          <w:noProof/>
          <w:rtl/>
        </w:rPr>
        <w:t xml:space="preserve">التصرفات أحادية الجانب </w:t>
      </w:r>
      <w:r w:rsidRPr="00C025AC">
        <w:rPr>
          <w:rFonts w:hint="cs"/>
          <w:noProof/>
          <w:rtl/>
        </w:rPr>
        <w:t xml:space="preserve">للمنظمات الدولية بوصفها تعبيراً عن سلطتها التشريعية. </w:t>
      </w:r>
      <w:r>
        <w:rPr>
          <w:rFonts w:hint="cs"/>
          <w:noProof/>
          <w:rtl/>
        </w:rPr>
        <w:t xml:space="preserve">تفسيرات بخصوص السلطة التشريعية للمنظمات </w:t>
      </w:r>
      <w:r w:rsidRPr="00C025AC">
        <w:rPr>
          <w:rFonts w:hint="cs"/>
          <w:noProof/>
          <w:rtl/>
        </w:rPr>
        <w:t xml:space="preserve">الدولية، مثل الاتحاد الدولي للاتصالات </w:t>
      </w:r>
      <w:r>
        <w:rPr>
          <w:rFonts w:hint="cs"/>
          <w:noProof/>
          <w:rtl/>
        </w:rPr>
        <w:t>في</w:t>
      </w:r>
      <w:r w:rsidR="00911E6A">
        <w:rPr>
          <w:rFonts w:hint="eastAsia"/>
          <w:noProof/>
          <w:rtl/>
        </w:rPr>
        <w:t> </w:t>
      </w:r>
      <w:r>
        <w:rPr>
          <w:rFonts w:hint="cs"/>
          <w:noProof/>
          <w:rtl/>
        </w:rPr>
        <w:t>هذه الحالة بعينها</w:t>
      </w:r>
      <w:r w:rsidR="00911E6A">
        <w:rPr>
          <w:rFonts w:hint="cs"/>
          <w:noProof/>
          <w:rtl/>
        </w:rPr>
        <w:t>،</w:t>
      </w:r>
      <w:r>
        <w:rPr>
          <w:rFonts w:hint="cs"/>
          <w:noProof/>
          <w:rtl/>
        </w:rPr>
        <w:t xml:space="preserve"> وتبعات القرارات التي تعتمدها عندما تضع المنظمات الدولية أحكاماً للقانون الدولي تكون ملزمة لدولها الأعضاء.</w:t>
      </w:r>
    </w:p>
    <w:p w:rsidR="00C025AC" w:rsidRDefault="00C025AC" w:rsidP="00911E6A">
      <w:pPr>
        <w:pStyle w:val="enumlev2"/>
        <w:rPr>
          <w:noProof/>
          <w:rtl/>
        </w:rPr>
      </w:pPr>
      <w:r w:rsidRPr="00762D85">
        <w:rPr>
          <w:rFonts w:hint="cs"/>
          <w:noProof/>
          <w:rtl/>
        </w:rPr>
        <w:t>د</w:t>
      </w:r>
      <w:r w:rsidRPr="00762D85">
        <w:rPr>
          <w:rFonts w:hint="eastAsia"/>
          <w:noProof/>
          <w:rtl/>
        </w:rPr>
        <w:t> </w:t>
      </w:r>
      <w:r w:rsidRPr="00762D85">
        <w:rPr>
          <w:rFonts w:hint="cs"/>
          <w:noProof/>
          <w:rtl/>
        </w:rPr>
        <w:t>)</w:t>
      </w:r>
      <w:r>
        <w:rPr>
          <w:rFonts w:hint="cs"/>
          <w:noProof/>
          <w:rtl/>
        </w:rPr>
        <w:tab/>
      </w:r>
      <w:hyperlink r:id="rId14" w:tgtFrame="_blank" w:history="1">
        <w:r w:rsidRPr="00A2039E">
          <w:rPr>
            <w:rStyle w:val="Hyperlink"/>
            <w:bCs/>
            <w:noProof/>
            <w:lang w:val="en-GB" w:bidi="ar-EG"/>
          </w:rPr>
          <w:t>TD</w:t>
        </w:r>
        <w:r w:rsidRPr="00A2039E">
          <w:rPr>
            <w:rStyle w:val="Hyperlink"/>
            <w:bCs/>
            <w:noProof/>
            <w:lang w:bidi="ar-EG"/>
          </w:rPr>
          <w:t xml:space="preserve"> 30 (</w:t>
        </w:r>
        <w:r w:rsidRPr="00A2039E">
          <w:rPr>
            <w:rStyle w:val="Hyperlink"/>
            <w:bCs/>
            <w:noProof/>
            <w:lang w:val="en-GB" w:bidi="ar-EG"/>
          </w:rPr>
          <w:t>PLEN</w:t>
        </w:r>
        <w:r w:rsidRPr="00A2039E">
          <w:rPr>
            <w:rStyle w:val="Hyperlink"/>
            <w:bCs/>
            <w:noProof/>
            <w:lang w:bidi="ar-EG"/>
          </w:rPr>
          <w:t>/</w:t>
        </w:r>
        <w:r w:rsidRPr="00A2039E">
          <w:rPr>
            <w:rStyle w:val="Hyperlink"/>
            <w:bCs/>
            <w:noProof/>
            <w:lang w:val="en-GB" w:bidi="ar-EG"/>
          </w:rPr>
          <w:t>ITR</w:t>
        </w:r>
        <w:r w:rsidRPr="00A2039E">
          <w:rPr>
            <w:rStyle w:val="Hyperlink"/>
            <w:bCs/>
            <w:noProof/>
            <w:lang w:bidi="ar-EG"/>
          </w:rPr>
          <w:t>-</w:t>
        </w:r>
        <w:r w:rsidRPr="00A2039E">
          <w:rPr>
            <w:rStyle w:val="Hyperlink"/>
            <w:bCs/>
            <w:noProof/>
            <w:lang w:val="en-GB" w:bidi="ar-EG"/>
          </w:rPr>
          <w:t>EG</w:t>
        </w:r>
        <w:r w:rsidRPr="00A2039E">
          <w:rPr>
            <w:rStyle w:val="Hyperlink"/>
            <w:bCs/>
            <w:noProof/>
            <w:lang w:bidi="ar-EG"/>
          </w:rPr>
          <w:t>)</w:t>
        </w:r>
      </w:hyperlink>
      <w:r>
        <w:rPr>
          <w:rFonts w:hint="cs"/>
          <w:noProof/>
          <w:rtl/>
        </w:rPr>
        <w:t xml:space="preserve"> - روافد للتفكير بخصوص الموافقة على الالتزام بلوائح الاتصالات الدولية. تبحث في</w:t>
      </w:r>
      <w:r w:rsidR="00911E6A">
        <w:rPr>
          <w:rFonts w:hint="eastAsia"/>
          <w:noProof/>
          <w:rtl/>
        </w:rPr>
        <w:t> </w:t>
      </w:r>
      <w:r>
        <w:rPr>
          <w:rFonts w:hint="cs"/>
          <w:noProof/>
          <w:rtl/>
        </w:rPr>
        <w:t>مسألة قبول أي دولة عضو الالتزام بتطبيق اللوائح طبقاً لدستور الاتحاد واتفاقيته.</w:t>
      </w:r>
    </w:p>
    <w:p w:rsidR="00C025AC" w:rsidRDefault="00C025AC" w:rsidP="00C025AC">
      <w:pPr>
        <w:pStyle w:val="enumlev2"/>
        <w:rPr>
          <w:noProof/>
          <w:rtl/>
        </w:rPr>
      </w:pPr>
      <w:r w:rsidRPr="00762D85">
        <w:rPr>
          <w:rFonts w:hint="cs"/>
          <w:noProof/>
          <w:rtl/>
        </w:rPr>
        <w:t>ه</w:t>
      </w:r>
      <w:r w:rsidRPr="00762D85">
        <w:rPr>
          <w:rFonts w:hint="eastAsia"/>
          <w:noProof/>
          <w:rtl/>
        </w:rPr>
        <w:t> </w:t>
      </w:r>
      <w:r w:rsidRPr="00762D85">
        <w:rPr>
          <w:rFonts w:hint="cs"/>
          <w:noProof/>
          <w:rtl/>
        </w:rPr>
        <w:t>)</w:t>
      </w:r>
      <w:r w:rsidRPr="00FC0575">
        <w:rPr>
          <w:rFonts w:hint="cs"/>
          <w:i/>
          <w:iCs/>
          <w:noProof/>
          <w:rtl/>
        </w:rPr>
        <w:tab/>
      </w:r>
      <w:hyperlink r:id="rId15" w:history="1">
        <w:r w:rsidRPr="00A2039E">
          <w:rPr>
            <w:rStyle w:val="Hyperlink"/>
            <w:bCs/>
            <w:noProof/>
            <w:lang w:bidi="ar-EG"/>
          </w:rPr>
          <w:t>CWG-WCIT12/INF-1</w:t>
        </w:r>
      </w:hyperlink>
      <w:r>
        <w:rPr>
          <w:rFonts w:hint="cs"/>
          <w:noProof/>
          <w:rtl/>
        </w:rPr>
        <w:t xml:space="preserve"> - النسخة السابقة للوائح الحالية </w:t>
      </w:r>
      <w:r>
        <w:rPr>
          <w:noProof/>
        </w:rPr>
        <w:t>(1988)</w:t>
      </w:r>
      <w:r>
        <w:rPr>
          <w:rFonts w:hint="cs"/>
          <w:noProof/>
          <w:rtl/>
        </w:rPr>
        <w:t>.</w:t>
      </w:r>
    </w:p>
    <w:p w:rsidR="00C025AC" w:rsidRDefault="00C025AC" w:rsidP="00C025AC">
      <w:pPr>
        <w:pStyle w:val="enumlev2"/>
        <w:rPr>
          <w:noProof/>
          <w:rtl/>
          <w:lang w:bidi="ar-EG"/>
        </w:rPr>
      </w:pPr>
      <w:r w:rsidRPr="00762D85">
        <w:rPr>
          <w:rFonts w:hint="cs"/>
          <w:noProof/>
          <w:rtl/>
        </w:rPr>
        <w:t>و</w:t>
      </w:r>
      <w:r w:rsidRPr="00762D85">
        <w:rPr>
          <w:rFonts w:hint="eastAsia"/>
          <w:noProof/>
          <w:rtl/>
        </w:rPr>
        <w:t> </w:t>
      </w:r>
      <w:r w:rsidRPr="00762D85">
        <w:rPr>
          <w:rFonts w:hint="cs"/>
          <w:noProof/>
          <w:rtl/>
        </w:rPr>
        <w:t>)</w:t>
      </w:r>
      <w:r>
        <w:rPr>
          <w:rFonts w:hint="cs"/>
          <w:noProof/>
          <w:rtl/>
        </w:rPr>
        <w:tab/>
      </w:r>
      <w:hyperlink r:id="rId16" w:history="1">
        <w:r w:rsidRPr="00A2039E">
          <w:rPr>
            <w:rStyle w:val="Hyperlink"/>
            <w:bCs/>
            <w:noProof/>
            <w:lang w:bidi="ar-EG"/>
          </w:rPr>
          <w:t>CWG-WCIT12/INF-2</w:t>
        </w:r>
      </w:hyperlink>
      <w:r>
        <w:rPr>
          <w:rFonts w:hint="cs"/>
          <w:noProof/>
          <w:rtl/>
        </w:rPr>
        <w:t xml:space="preserve"> - حالة التعليمات في نسخة </w:t>
      </w:r>
      <w:r>
        <w:rPr>
          <w:noProof/>
        </w:rPr>
        <w:t>1988</w:t>
      </w:r>
      <w:r>
        <w:rPr>
          <w:rFonts w:hint="cs"/>
          <w:noProof/>
          <w:rtl/>
          <w:lang w:bidi="ar-EG"/>
        </w:rPr>
        <w:t xml:space="preserve"> من اللوائح.</w:t>
      </w:r>
    </w:p>
    <w:p w:rsidR="00C025AC" w:rsidRDefault="00C025AC" w:rsidP="00C025AC">
      <w:pPr>
        <w:pStyle w:val="enumlev2"/>
        <w:rPr>
          <w:noProof/>
          <w:rtl/>
        </w:rPr>
      </w:pPr>
      <w:r w:rsidRPr="00762D85">
        <w:rPr>
          <w:rFonts w:hint="cs"/>
          <w:noProof/>
          <w:rtl/>
        </w:rPr>
        <w:t>ز</w:t>
      </w:r>
      <w:r w:rsidRPr="00762D85">
        <w:rPr>
          <w:rFonts w:hint="eastAsia"/>
          <w:noProof/>
          <w:rtl/>
        </w:rPr>
        <w:t> </w:t>
      </w:r>
      <w:r w:rsidRPr="00762D85">
        <w:rPr>
          <w:rFonts w:hint="cs"/>
          <w:noProof/>
          <w:rtl/>
        </w:rPr>
        <w:t>)</w:t>
      </w:r>
      <w:r>
        <w:rPr>
          <w:noProof/>
          <w:rtl/>
        </w:rPr>
        <w:tab/>
      </w:r>
      <w:hyperlink r:id="rId17" w:history="1">
        <w:r w:rsidRPr="00A2039E">
          <w:rPr>
            <w:rStyle w:val="Hyperlink"/>
          </w:rPr>
          <w:t>CWG-WCIT12/INF-3</w:t>
        </w:r>
      </w:hyperlink>
      <w:r w:rsidRPr="00A2039E">
        <w:rPr>
          <w:rFonts w:hint="cs"/>
          <w:rtl/>
        </w:rPr>
        <w:t xml:space="preserve"> - </w:t>
      </w:r>
      <w:r w:rsidRPr="00911E6A">
        <w:rPr>
          <w:rFonts w:hint="cs"/>
          <w:spacing w:val="-6"/>
          <w:rtl/>
        </w:rPr>
        <w:t>ملخص ورشة عمل الاتحاد بشأن الضرائب عل</w:t>
      </w:r>
      <w:r w:rsidR="006E2478">
        <w:rPr>
          <w:rFonts w:hint="cs"/>
          <w:spacing w:val="-6"/>
          <w:rtl/>
        </w:rPr>
        <w:t>ى خدمات الاتصالات والمنتجات ذات</w:t>
      </w:r>
      <w:r w:rsidR="006E2478">
        <w:rPr>
          <w:rFonts w:hint="eastAsia"/>
          <w:spacing w:val="-6"/>
          <w:rtl/>
        </w:rPr>
        <w:t> </w:t>
      </w:r>
      <w:r w:rsidRPr="00911E6A">
        <w:rPr>
          <w:rFonts w:hint="cs"/>
          <w:spacing w:val="-6"/>
          <w:rtl/>
        </w:rPr>
        <w:t>الصلة.</w:t>
      </w:r>
    </w:p>
    <w:p w:rsidR="00C025AC" w:rsidRDefault="00C025AC" w:rsidP="00C025AC">
      <w:pPr>
        <w:pStyle w:val="enumlev2"/>
        <w:rPr>
          <w:noProof/>
          <w:rtl/>
          <w:lang w:bidi="ar-EG"/>
        </w:rPr>
      </w:pPr>
      <w:r w:rsidRPr="00762D85">
        <w:rPr>
          <w:rFonts w:hint="cs"/>
          <w:noProof/>
          <w:rtl/>
        </w:rPr>
        <w:t>ح)</w:t>
      </w:r>
      <w:r>
        <w:rPr>
          <w:rFonts w:hint="cs"/>
          <w:noProof/>
          <w:rtl/>
        </w:rPr>
        <w:tab/>
      </w:r>
      <w:hyperlink r:id="rId18" w:history="1">
        <w:r w:rsidRPr="00A2039E">
          <w:rPr>
            <w:rStyle w:val="Hyperlink"/>
            <w:noProof/>
            <w:lang w:bidi="ar-EG"/>
          </w:rPr>
          <w:t>CWG-WCIT12/INF-4 Rev.1</w:t>
        </w:r>
      </w:hyperlink>
      <w:r>
        <w:rPr>
          <w:rFonts w:hint="cs"/>
          <w:noProof/>
          <w:rtl/>
        </w:rPr>
        <w:t xml:space="preserve"> </w:t>
      </w:r>
      <w:r w:rsidRPr="00A2039E">
        <w:rPr>
          <w:rFonts w:hint="cs"/>
          <w:rtl/>
        </w:rPr>
        <w:t xml:space="preserve">- </w:t>
      </w:r>
      <w:r>
        <w:rPr>
          <w:rFonts w:hint="cs"/>
          <w:rtl/>
        </w:rPr>
        <w:t>الإضافة </w:t>
      </w:r>
      <w:r>
        <w:t>2</w:t>
      </w:r>
      <w:r>
        <w:rPr>
          <w:rFonts w:hint="cs"/>
          <w:rtl/>
          <w:lang w:bidi="ar-EG"/>
        </w:rPr>
        <w:t xml:space="preserve"> إلى التوصية </w:t>
      </w:r>
      <w:r>
        <w:rPr>
          <w:lang w:bidi="ar-EG"/>
        </w:rPr>
        <w:t>ITU</w:t>
      </w:r>
      <w:r>
        <w:rPr>
          <w:lang w:bidi="ar-EG"/>
        </w:rPr>
        <w:noBreakHyphen/>
        <w:t>T E.156</w:t>
      </w:r>
      <w:r>
        <w:rPr>
          <w:rFonts w:hint="cs"/>
          <w:rtl/>
          <w:lang w:bidi="ar-EG"/>
        </w:rPr>
        <w:t>. المسائل المتعلقة بسوء استعمال موارد الترقيم.</w:t>
      </w:r>
    </w:p>
    <w:p w:rsidR="00C025AC" w:rsidRDefault="00C025AC" w:rsidP="00C025AC">
      <w:pPr>
        <w:pStyle w:val="enumlev2"/>
        <w:rPr>
          <w:noProof/>
          <w:rtl/>
        </w:rPr>
      </w:pPr>
      <w:r w:rsidRPr="00762D85">
        <w:rPr>
          <w:rFonts w:hint="cs"/>
          <w:noProof/>
          <w:rtl/>
        </w:rPr>
        <w:t>ط)</w:t>
      </w:r>
      <w:r>
        <w:rPr>
          <w:rFonts w:hint="cs"/>
          <w:noProof/>
          <w:rtl/>
        </w:rPr>
        <w:tab/>
      </w:r>
      <w:hyperlink r:id="rId19" w:history="1">
        <w:r w:rsidRPr="00A2039E">
          <w:rPr>
            <w:rStyle w:val="Hyperlink"/>
            <w:noProof/>
            <w:lang w:bidi="ar-EG"/>
          </w:rPr>
          <w:t>CWG-WCIT12/INF-5</w:t>
        </w:r>
      </w:hyperlink>
      <w:r>
        <w:rPr>
          <w:rFonts w:hint="cs"/>
          <w:noProof/>
          <w:rtl/>
        </w:rPr>
        <w:t xml:space="preserve"> - نظرة عامة على جودة الخدمة.</w:t>
      </w:r>
    </w:p>
    <w:p w:rsidR="00C025AC" w:rsidRDefault="00C025AC" w:rsidP="00C025AC">
      <w:pPr>
        <w:pStyle w:val="enumlev2"/>
        <w:rPr>
          <w:noProof/>
          <w:rtl/>
        </w:rPr>
      </w:pPr>
      <w:r w:rsidRPr="00762D85">
        <w:rPr>
          <w:rFonts w:hint="cs"/>
          <w:noProof/>
          <w:rtl/>
        </w:rPr>
        <w:t>ي)</w:t>
      </w:r>
      <w:r>
        <w:rPr>
          <w:rFonts w:hint="cs"/>
          <w:noProof/>
          <w:rtl/>
        </w:rPr>
        <w:tab/>
      </w:r>
      <w:hyperlink r:id="rId20" w:history="1">
        <w:r w:rsidRPr="00A2039E">
          <w:rPr>
            <w:rStyle w:val="Hyperlink"/>
            <w:noProof/>
            <w:lang w:bidi="ar-EG"/>
          </w:rPr>
          <w:t>CWG-WCIT12/INF-6</w:t>
        </w:r>
      </w:hyperlink>
      <w:r>
        <w:rPr>
          <w:rFonts w:hint="cs"/>
          <w:noProof/>
          <w:rtl/>
        </w:rPr>
        <w:t xml:space="preserve"> - نظرة عامة على التقارب.</w:t>
      </w:r>
    </w:p>
    <w:p w:rsidR="00C025AC" w:rsidRDefault="00C025AC" w:rsidP="00C025AC">
      <w:pPr>
        <w:pStyle w:val="enumlev2"/>
        <w:rPr>
          <w:noProof/>
          <w:rtl/>
        </w:rPr>
      </w:pPr>
      <w:r w:rsidRPr="00762D85">
        <w:rPr>
          <w:rFonts w:hint="cs"/>
          <w:noProof/>
          <w:rtl/>
        </w:rPr>
        <w:t>ك)</w:t>
      </w:r>
      <w:r>
        <w:rPr>
          <w:rFonts w:hint="cs"/>
          <w:noProof/>
          <w:rtl/>
        </w:rPr>
        <w:tab/>
      </w:r>
      <w:hyperlink r:id="rId21" w:history="1">
        <w:r w:rsidRPr="00A2039E">
          <w:rPr>
            <w:rStyle w:val="Hyperlink"/>
            <w:noProof/>
            <w:lang w:val="en-GB" w:bidi="ar-EG"/>
          </w:rPr>
          <w:t>CWG</w:t>
        </w:r>
        <w:r w:rsidRPr="00A2039E">
          <w:rPr>
            <w:rStyle w:val="Hyperlink"/>
            <w:noProof/>
            <w:lang w:bidi="ar-EG"/>
          </w:rPr>
          <w:t>-</w:t>
        </w:r>
        <w:r w:rsidRPr="00A2039E">
          <w:rPr>
            <w:rStyle w:val="Hyperlink"/>
            <w:noProof/>
            <w:lang w:val="en-GB" w:bidi="ar-EG"/>
          </w:rPr>
          <w:t>WCIT</w:t>
        </w:r>
        <w:r w:rsidRPr="00A2039E">
          <w:rPr>
            <w:rStyle w:val="Hyperlink"/>
            <w:noProof/>
            <w:lang w:bidi="ar-EG"/>
          </w:rPr>
          <w:t>12/</w:t>
        </w:r>
        <w:r w:rsidRPr="00A2039E">
          <w:rPr>
            <w:rStyle w:val="Hyperlink"/>
            <w:noProof/>
            <w:lang w:val="en-GB" w:bidi="ar-EG"/>
          </w:rPr>
          <w:t>INF</w:t>
        </w:r>
        <w:r w:rsidRPr="00A2039E">
          <w:rPr>
            <w:rStyle w:val="Hyperlink"/>
            <w:noProof/>
            <w:lang w:bidi="ar-EG"/>
          </w:rPr>
          <w:t>-7</w:t>
        </w:r>
      </w:hyperlink>
      <w:r>
        <w:rPr>
          <w:rFonts w:hint="cs"/>
          <w:noProof/>
          <w:rtl/>
        </w:rPr>
        <w:t xml:space="preserve"> - الأمن في استعمال تكن</w:t>
      </w:r>
      <w:r w:rsidR="00911E6A">
        <w:rPr>
          <w:rFonts w:hint="cs"/>
          <w:noProof/>
          <w:rtl/>
        </w:rPr>
        <w:t>و</w:t>
      </w:r>
      <w:r>
        <w:rPr>
          <w:rFonts w:hint="cs"/>
          <w:noProof/>
          <w:rtl/>
        </w:rPr>
        <w:t>لوجيا المعلومات والاتصالات.</w:t>
      </w:r>
    </w:p>
    <w:p w:rsidR="00C025AC" w:rsidRDefault="00C025AC" w:rsidP="00911E6A">
      <w:pPr>
        <w:pStyle w:val="enumlev2"/>
        <w:rPr>
          <w:noProof/>
          <w:rtl/>
        </w:rPr>
      </w:pPr>
      <w:r w:rsidRPr="00762D85">
        <w:rPr>
          <w:rFonts w:hint="cs"/>
          <w:noProof/>
          <w:rtl/>
        </w:rPr>
        <w:t>ل)</w:t>
      </w:r>
      <w:r>
        <w:rPr>
          <w:rFonts w:hint="cs"/>
          <w:noProof/>
          <w:rtl/>
        </w:rPr>
        <w:tab/>
      </w:r>
      <w:hyperlink r:id="rId22" w:history="1">
        <w:r w:rsidRPr="00A2039E">
          <w:rPr>
            <w:rStyle w:val="Hyperlink"/>
            <w:noProof/>
            <w:lang w:bidi="ar-EG"/>
          </w:rPr>
          <w:t>CWG-WCIT12/INF-8</w:t>
        </w:r>
      </w:hyperlink>
      <w:r w:rsidR="00762D85">
        <w:rPr>
          <w:rFonts w:hint="cs"/>
          <w:noProof/>
          <w:rtl/>
        </w:rPr>
        <w:t xml:space="preserve"> - نظرة عامة على مسائل الإنف</w:t>
      </w:r>
      <w:r>
        <w:rPr>
          <w:rFonts w:hint="cs"/>
          <w:noProof/>
          <w:rtl/>
        </w:rPr>
        <w:t>اذ، بما</w:t>
      </w:r>
      <w:r w:rsidR="00911E6A">
        <w:rPr>
          <w:rFonts w:hint="cs"/>
          <w:noProof/>
          <w:rtl/>
        </w:rPr>
        <w:t xml:space="preserve"> </w:t>
      </w:r>
      <w:r>
        <w:rPr>
          <w:rFonts w:hint="cs"/>
          <w:noProof/>
          <w:rtl/>
        </w:rPr>
        <w:t>في</w:t>
      </w:r>
      <w:r w:rsidR="00911E6A">
        <w:rPr>
          <w:rFonts w:hint="cs"/>
          <w:noProof/>
          <w:rtl/>
        </w:rPr>
        <w:t xml:space="preserve"> </w:t>
      </w:r>
      <w:r>
        <w:rPr>
          <w:rFonts w:hint="cs"/>
          <w:noProof/>
          <w:rtl/>
        </w:rPr>
        <w:t>ذلك حالة توصيات قطاع تقييس الاتصالات في</w:t>
      </w:r>
      <w:r>
        <w:rPr>
          <w:rFonts w:hint="eastAsia"/>
          <w:noProof/>
          <w:rtl/>
        </w:rPr>
        <w:t> </w:t>
      </w:r>
      <w:r>
        <w:rPr>
          <w:rFonts w:hint="cs"/>
          <w:noProof/>
          <w:rtl/>
        </w:rPr>
        <w:t>الاتحاد.</w:t>
      </w:r>
    </w:p>
    <w:p w:rsidR="00C025AC" w:rsidRPr="004C6889" w:rsidRDefault="00C025AC" w:rsidP="004C6889">
      <w:pPr>
        <w:pStyle w:val="enumlev2"/>
        <w:rPr>
          <w:noProof/>
          <w:rtl/>
        </w:rPr>
      </w:pPr>
      <w:r w:rsidRPr="00762D85">
        <w:rPr>
          <w:rFonts w:hint="cs"/>
          <w:noProof/>
          <w:rtl/>
        </w:rPr>
        <w:t>م )</w:t>
      </w:r>
      <w:r w:rsidRPr="004C6889">
        <w:rPr>
          <w:rFonts w:hint="cs"/>
          <w:noProof/>
          <w:rtl/>
        </w:rPr>
        <w:tab/>
      </w:r>
      <w:hyperlink r:id="rId23" w:history="1">
        <w:r w:rsidRPr="004C6889">
          <w:rPr>
            <w:rStyle w:val="Hyperlink"/>
            <w:noProof/>
            <w:lang w:bidi="ar-EG"/>
          </w:rPr>
          <w:t>CWG-WCIT12/INF-9</w:t>
        </w:r>
      </w:hyperlink>
      <w:r w:rsidRPr="004C6889">
        <w:rPr>
          <w:rFonts w:hint="cs"/>
          <w:noProof/>
          <w:rtl/>
        </w:rPr>
        <w:t xml:space="preserve"> - </w:t>
      </w:r>
      <w:r w:rsidR="004C6889" w:rsidRPr="004C6889">
        <w:rPr>
          <w:rFonts w:hint="cs"/>
          <w:noProof/>
          <w:spacing w:val="-8"/>
          <w:rtl/>
        </w:rPr>
        <w:t>الأطر الدولية. وثيقة معلومات بشأن لوائح الاتصالات الدولية والأطر الدولية الأخرى.</w:t>
      </w:r>
    </w:p>
    <w:p w:rsidR="00C025AC" w:rsidRDefault="00C025AC" w:rsidP="004C6889">
      <w:pPr>
        <w:pStyle w:val="enumlev2"/>
        <w:rPr>
          <w:noProof/>
          <w:rtl/>
        </w:rPr>
      </w:pPr>
      <w:r w:rsidRPr="00762D85">
        <w:rPr>
          <w:rFonts w:hint="cs"/>
          <w:noProof/>
          <w:rtl/>
        </w:rPr>
        <w:t>ن)</w:t>
      </w:r>
      <w:r>
        <w:rPr>
          <w:rFonts w:hint="cs"/>
          <w:noProof/>
          <w:rtl/>
        </w:rPr>
        <w:tab/>
      </w:r>
      <w:hyperlink r:id="rId24" w:history="1">
        <w:r w:rsidRPr="00A2039E">
          <w:rPr>
            <w:rStyle w:val="Hyperlink"/>
            <w:noProof/>
            <w:lang w:bidi="ar-EG"/>
          </w:rPr>
          <w:t>CWG-WCIT12/INF-10</w:t>
        </w:r>
      </w:hyperlink>
      <w:r>
        <w:rPr>
          <w:rFonts w:hint="cs"/>
          <w:noProof/>
          <w:rtl/>
        </w:rPr>
        <w:t xml:space="preserve"> - </w:t>
      </w:r>
      <w:r w:rsidR="004C6889">
        <w:rPr>
          <w:rFonts w:hint="cs"/>
          <w:noProof/>
          <w:rtl/>
        </w:rPr>
        <w:t>حق الإنسان في النفاذ إلى الاتصالات.</w:t>
      </w:r>
    </w:p>
    <w:p w:rsidR="00C025AC" w:rsidRDefault="00C025AC" w:rsidP="004C6889">
      <w:pPr>
        <w:pStyle w:val="enumlev2"/>
        <w:rPr>
          <w:noProof/>
          <w:rtl/>
        </w:rPr>
      </w:pPr>
      <w:r w:rsidRPr="00762D85">
        <w:rPr>
          <w:rFonts w:hint="cs"/>
          <w:noProof/>
          <w:rtl/>
        </w:rPr>
        <w:t>س)</w:t>
      </w:r>
      <w:r>
        <w:rPr>
          <w:rFonts w:hint="cs"/>
          <w:noProof/>
          <w:rtl/>
        </w:rPr>
        <w:tab/>
      </w:r>
      <w:hyperlink r:id="rId25" w:history="1">
        <w:r w:rsidRPr="00A2039E">
          <w:rPr>
            <w:rStyle w:val="Hyperlink"/>
            <w:noProof/>
            <w:lang w:bidi="ar-EG"/>
          </w:rPr>
          <w:t>CWG-WCIT12/INF-11 Rev.1</w:t>
        </w:r>
      </w:hyperlink>
      <w:r>
        <w:rPr>
          <w:rFonts w:hint="cs"/>
          <w:noProof/>
          <w:rtl/>
        </w:rPr>
        <w:t xml:space="preserve"> - </w:t>
      </w:r>
      <w:r w:rsidR="004C6889">
        <w:rPr>
          <w:rFonts w:hint="cs"/>
          <w:noProof/>
          <w:rtl/>
        </w:rPr>
        <w:t>حماية البنى التحتية الوطنية الحرجة.</w:t>
      </w:r>
    </w:p>
    <w:p w:rsidR="00C025AC" w:rsidRDefault="00C025AC" w:rsidP="004C6889">
      <w:pPr>
        <w:pStyle w:val="enumlev2"/>
        <w:rPr>
          <w:noProof/>
          <w:rtl/>
        </w:rPr>
      </w:pPr>
      <w:r w:rsidRPr="00762D85">
        <w:rPr>
          <w:rFonts w:hint="cs"/>
          <w:noProof/>
          <w:rtl/>
        </w:rPr>
        <w:t>ع)</w:t>
      </w:r>
      <w:r>
        <w:rPr>
          <w:rFonts w:hint="cs"/>
          <w:noProof/>
          <w:rtl/>
        </w:rPr>
        <w:tab/>
      </w:r>
      <w:hyperlink r:id="rId26" w:history="1">
        <w:r w:rsidRPr="00A2039E">
          <w:rPr>
            <w:rStyle w:val="Hyperlink"/>
            <w:noProof/>
            <w:lang w:bidi="ar-EG"/>
          </w:rPr>
          <w:t>CWG-WCIT12/INF-12</w:t>
        </w:r>
      </w:hyperlink>
      <w:r>
        <w:rPr>
          <w:rFonts w:hint="cs"/>
          <w:noProof/>
          <w:rtl/>
        </w:rPr>
        <w:t xml:space="preserve"> - </w:t>
      </w:r>
      <w:r w:rsidR="004C6889">
        <w:rPr>
          <w:rFonts w:hint="cs"/>
          <w:noProof/>
          <w:rtl/>
        </w:rPr>
        <w:t>نظرة عامة على عمل الاتحاد بشأن التعريفات ومسائل المحاسبة، بما في ذلك التجوال الدولي المتنقل والتوصيل</w:t>
      </w:r>
      <w:r w:rsidR="00762D85">
        <w:rPr>
          <w:rFonts w:hint="cs"/>
          <w:noProof/>
          <w:rtl/>
        </w:rPr>
        <w:t>ي</w:t>
      </w:r>
      <w:r w:rsidR="004C6889">
        <w:rPr>
          <w:rFonts w:hint="cs"/>
          <w:noProof/>
          <w:rtl/>
        </w:rPr>
        <w:t>ة الدولية للإنترنت ومسائل الضرائب.</w:t>
      </w:r>
    </w:p>
    <w:p w:rsidR="00C025AC" w:rsidRDefault="00C025AC" w:rsidP="004C6889">
      <w:pPr>
        <w:pStyle w:val="enumlev2"/>
        <w:rPr>
          <w:noProof/>
          <w:rtl/>
        </w:rPr>
      </w:pPr>
      <w:r w:rsidRPr="00762D85">
        <w:rPr>
          <w:rFonts w:hint="cs"/>
          <w:noProof/>
          <w:rtl/>
        </w:rPr>
        <w:t>ف)</w:t>
      </w:r>
      <w:r>
        <w:rPr>
          <w:rFonts w:hint="cs"/>
          <w:noProof/>
          <w:rtl/>
        </w:rPr>
        <w:tab/>
      </w:r>
      <w:hyperlink r:id="rId27" w:history="1">
        <w:r w:rsidRPr="00A2039E">
          <w:rPr>
            <w:rStyle w:val="Hyperlink"/>
            <w:noProof/>
            <w:lang w:bidi="ar-EG"/>
          </w:rPr>
          <w:t>CWG-WCIT12/INF-13</w:t>
        </w:r>
      </w:hyperlink>
      <w:r>
        <w:rPr>
          <w:rFonts w:hint="cs"/>
          <w:noProof/>
          <w:rtl/>
        </w:rPr>
        <w:t xml:space="preserve"> - </w:t>
      </w:r>
      <w:r w:rsidR="004C6889">
        <w:rPr>
          <w:rFonts w:hint="cs"/>
          <w:noProof/>
          <w:rtl/>
        </w:rPr>
        <w:t>التوصيل البيني وإمكانية التشغيل البيني.</w:t>
      </w:r>
    </w:p>
    <w:p w:rsidR="00C025AC" w:rsidRDefault="00C025AC" w:rsidP="004C6889">
      <w:pPr>
        <w:pStyle w:val="enumlev2"/>
        <w:rPr>
          <w:noProof/>
          <w:rtl/>
        </w:rPr>
      </w:pPr>
      <w:r w:rsidRPr="00762D85">
        <w:rPr>
          <w:rFonts w:hint="cs"/>
          <w:noProof/>
          <w:rtl/>
        </w:rPr>
        <w:t>ص)</w:t>
      </w:r>
      <w:r>
        <w:rPr>
          <w:rFonts w:hint="cs"/>
          <w:noProof/>
          <w:rtl/>
        </w:rPr>
        <w:tab/>
      </w:r>
      <w:hyperlink r:id="rId28" w:history="1">
        <w:r w:rsidRPr="00A2039E">
          <w:rPr>
            <w:rStyle w:val="Hyperlink"/>
            <w:noProof/>
            <w:lang w:bidi="ar-EG"/>
          </w:rPr>
          <w:t>CWG-WCIT12/INF–15</w:t>
        </w:r>
      </w:hyperlink>
      <w:r>
        <w:rPr>
          <w:rFonts w:hint="cs"/>
          <w:noProof/>
          <w:rtl/>
        </w:rPr>
        <w:t xml:space="preserve"> - </w:t>
      </w:r>
      <w:r w:rsidR="004C6889" w:rsidRPr="004C6889">
        <w:rPr>
          <w:rFonts w:hint="cs"/>
          <w:noProof/>
          <w:spacing w:val="-4"/>
          <w:rtl/>
        </w:rPr>
        <w:t>تقرير موجز لورشة عمل الاتحاد بشأن تعرف هوية المنشأ وإجراءات النداء البديلة.</w:t>
      </w:r>
    </w:p>
    <w:p w:rsidR="00C025AC" w:rsidRDefault="00673BEE" w:rsidP="004C6889">
      <w:pPr>
        <w:pStyle w:val="enumlev1"/>
        <w:rPr>
          <w:noProof/>
          <w:rtl/>
          <w:lang w:bidi="ar-EG"/>
        </w:rPr>
      </w:pPr>
      <w:r>
        <w:rPr>
          <w:noProof/>
          <w:lang w:bidi="ar-EG"/>
        </w:rPr>
        <w:t>3</w:t>
      </w:r>
      <w:r w:rsidR="00C025AC">
        <w:rPr>
          <w:noProof/>
          <w:rtl/>
          <w:lang w:bidi="ar-EG"/>
        </w:rPr>
        <w:tab/>
      </w:r>
      <w:r w:rsidR="00DE0C49">
        <w:rPr>
          <w:rFonts w:hint="cs"/>
          <w:noProof/>
          <w:rtl/>
          <w:lang w:bidi="ar-EG"/>
        </w:rPr>
        <w:t xml:space="preserve">أن تتم </w:t>
      </w:r>
      <w:r w:rsidR="004C6889">
        <w:rPr>
          <w:rFonts w:hint="cs"/>
          <w:noProof/>
          <w:rtl/>
          <w:lang w:bidi="ar-EG"/>
        </w:rPr>
        <w:t>بناء</w:t>
      </w:r>
      <w:r w:rsidR="00762D85">
        <w:rPr>
          <w:rFonts w:hint="cs"/>
          <w:noProof/>
          <w:rtl/>
          <w:lang w:bidi="ar-EG"/>
        </w:rPr>
        <w:t>ً</w:t>
      </w:r>
      <w:r w:rsidR="004C6889">
        <w:rPr>
          <w:rFonts w:hint="cs"/>
          <w:noProof/>
          <w:rtl/>
          <w:lang w:bidi="ar-EG"/>
        </w:rPr>
        <w:t xml:space="preserve"> على ما تم إنجازه، وما تلقاه الفريق </w:t>
      </w:r>
      <w:r w:rsidR="004C6889">
        <w:rPr>
          <w:noProof/>
          <w:lang w:bidi="ar-EG"/>
        </w:rPr>
        <w:t>EG</w:t>
      </w:r>
      <w:r w:rsidR="004C6889">
        <w:rPr>
          <w:noProof/>
          <w:lang w:bidi="ar-EG"/>
        </w:rPr>
        <w:noBreakHyphen/>
        <w:t>ITR</w:t>
      </w:r>
      <w:r w:rsidR="004C6889">
        <w:rPr>
          <w:rFonts w:hint="cs"/>
          <w:noProof/>
          <w:rtl/>
          <w:lang w:bidi="ar-EG"/>
        </w:rPr>
        <w:t xml:space="preserve"> من الدول الأعضاء،</w:t>
      </w:r>
      <w:r w:rsidR="00762D85">
        <w:rPr>
          <w:rFonts w:hint="cs"/>
          <w:noProof/>
          <w:rtl/>
          <w:lang w:bidi="ar-EG"/>
        </w:rPr>
        <w:t xml:space="preserve"> صياغة مواد بشأن المسائل المتعلق</w:t>
      </w:r>
      <w:r w:rsidR="004C6889">
        <w:rPr>
          <w:rFonts w:hint="cs"/>
          <w:noProof/>
          <w:rtl/>
          <w:lang w:bidi="ar-EG"/>
        </w:rPr>
        <w:t>ة بتنفيذ القانون في</w:t>
      </w:r>
      <w:r w:rsidR="004C6889">
        <w:rPr>
          <w:rFonts w:hint="eastAsia"/>
          <w:noProof/>
          <w:rtl/>
          <w:lang w:bidi="ar-EG"/>
        </w:rPr>
        <w:t> </w:t>
      </w:r>
      <w:r w:rsidR="004C6889">
        <w:rPr>
          <w:rFonts w:hint="cs"/>
          <w:noProof/>
          <w:rtl/>
          <w:lang w:bidi="ar-EG"/>
        </w:rPr>
        <w:t>حل القضايا الناشئة عن انضمام الدول الأعضاء إلى لوائح الاتصالات الدولية لعام </w:t>
      </w:r>
      <w:r w:rsidR="004C6889">
        <w:rPr>
          <w:noProof/>
          <w:lang w:bidi="ar-EG"/>
        </w:rPr>
        <w:t>2012</w:t>
      </w:r>
      <w:r w:rsidR="004C6889">
        <w:rPr>
          <w:rFonts w:hint="cs"/>
          <w:noProof/>
          <w:rtl/>
          <w:lang w:bidi="ar-EG"/>
        </w:rPr>
        <w:t>.</w:t>
      </w:r>
    </w:p>
    <w:p w:rsidR="00C025AC" w:rsidRDefault="00673BEE" w:rsidP="004C6889">
      <w:pPr>
        <w:pStyle w:val="enumlev1"/>
        <w:rPr>
          <w:noProof/>
          <w:rtl/>
          <w:lang w:bidi="ar-EG"/>
        </w:rPr>
      </w:pPr>
      <w:r>
        <w:rPr>
          <w:noProof/>
          <w:lang w:bidi="ar-EG"/>
        </w:rPr>
        <w:t>4</w:t>
      </w:r>
      <w:r w:rsidR="00C025AC">
        <w:rPr>
          <w:noProof/>
          <w:rtl/>
          <w:lang w:bidi="ar-EG"/>
        </w:rPr>
        <w:tab/>
      </w:r>
      <w:r w:rsidR="004C6889">
        <w:rPr>
          <w:rFonts w:hint="cs"/>
          <w:noProof/>
          <w:rtl/>
          <w:lang w:bidi="ar-EG"/>
        </w:rPr>
        <w:t>إدراج جميع المواد المتلقاة لكي ينظر فيها الفريق </w:t>
      </w:r>
      <w:r w:rsidR="004C6889">
        <w:rPr>
          <w:noProof/>
          <w:lang w:bidi="ar-EG"/>
        </w:rPr>
        <w:t>EG</w:t>
      </w:r>
      <w:r w:rsidR="004C6889">
        <w:rPr>
          <w:noProof/>
          <w:lang w:bidi="ar-EG"/>
        </w:rPr>
        <w:noBreakHyphen/>
        <w:t>ITR</w:t>
      </w:r>
      <w:r w:rsidR="004C6889">
        <w:rPr>
          <w:rFonts w:hint="cs"/>
          <w:noProof/>
          <w:rtl/>
          <w:lang w:bidi="ar-EG"/>
        </w:rPr>
        <w:t xml:space="preserve"> في الفترة </w:t>
      </w:r>
      <w:r w:rsidR="004C6889">
        <w:rPr>
          <w:noProof/>
          <w:lang w:bidi="ar-EG"/>
        </w:rPr>
        <w:t>2018</w:t>
      </w:r>
      <w:r w:rsidR="004C6889">
        <w:rPr>
          <w:noProof/>
          <w:lang w:bidi="ar-EG"/>
        </w:rPr>
        <w:noBreakHyphen/>
        <w:t>2017</w:t>
      </w:r>
      <w:r w:rsidR="004C6889">
        <w:rPr>
          <w:rFonts w:hint="cs"/>
          <w:noProof/>
          <w:rtl/>
          <w:lang w:bidi="ar-EG"/>
        </w:rPr>
        <w:t>، كما أشير إليها في النقاط أعلاه، بما في ذلك المواد المنبثقة عن مساهمات الدول الأعضاء وأعضاء القطاعات، في وثيقة واحدة يمكن استعمالها عند إعداد تقرير نهائي للفريق </w:t>
      </w:r>
      <w:r w:rsidR="004C6889">
        <w:rPr>
          <w:noProof/>
          <w:lang w:bidi="ar-EG"/>
        </w:rPr>
        <w:t>EG</w:t>
      </w:r>
      <w:r w:rsidR="004C6889">
        <w:rPr>
          <w:noProof/>
          <w:lang w:bidi="ar-EG"/>
        </w:rPr>
        <w:noBreakHyphen/>
        <w:t>ITR</w:t>
      </w:r>
      <w:r w:rsidR="004C6889">
        <w:rPr>
          <w:rFonts w:hint="cs"/>
          <w:noProof/>
          <w:rtl/>
          <w:lang w:bidi="ar-EG"/>
        </w:rPr>
        <w:t xml:space="preserve"> لرفعه إلى المجلس في دورته لعام </w:t>
      </w:r>
      <w:r w:rsidR="004C6889">
        <w:rPr>
          <w:noProof/>
          <w:lang w:bidi="ar-EG"/>
        </w:rPr>
        <w:t>2018</w:t>
      </w:r>
      <w:r w:rsidR="004C6889">
        <w:rPr>
          <w:rFonts w:hint="cs"/>
          <w:noProof/>
          <w:rtl/>
          <w:lang w:bidi="ar-EG"/>
        </w:rPr>
        <w:t>.</w:t>
      </w:r>
    </w:p>
    <w:p w:rsidR="00C025AC" w:rsidRPr="00A05EFE" w:rsidRDefault="00C025AC" w:rsidP="00C025AC">
      <w:pPr>
        <w:spacing w:before="600"/>
        <w:jc w:val="center"/>
        <w:rPr>
          <w:rtl/>
        </w:rPr>
      </w:pPr>
      <w:r>
        <w:rPr>
          <w:rFonts w:hint="cs"/>
          <w:noProof/>
          <w:rtl/>
          <w:lang w:bidi="ar-EG"/>
        </w:rPr>
        <w:t>___________</w:t>
      </w:r>
    </w:p>
    <w:sectPr w:rsidR="00C025AC" w:rsidRPr="00A05EFE" w:rsidSect="008B5B5D">
      <w:headerReference w:type="default" r:id="rId29"/>
      <w:footerReference w:type="defaul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439" w:rsidRDefault="00315439" w:rsidP="00E07379">
      <w:pPr>
        <w:spacing w:before="0" w:line="240" w:lineRule="auto"/>
      </w:pPr>
      <w:r>
        <w:separator/>
      </w:r>
    </w:p>
  </w:endnote>
  <w:endnote w:type="continuationSeparator" w:id="0">
    <w:p w:rsidR="00315439" w:rsidRDefault="0031543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BA0887" w:rsidRDefault="00476123" w:rsidP="00093759">
    <w:pPr>
      <w:pStyle w:val="Footer"/>
      <w:tabs>
        <w:tab w:val="clear" w:pos="5812"/>
        <w:tab w:val="right" w:pos="5670"/>
      </w:tabs>
      <w:rPr>
        <w:lang w:val="fr-CH"/>
      </w:rPr>
    </w:pPr>
    <w:r>
      <w:fldChar w:fldCharType="begin"/>
    </w:r>
    <w:r w:rsidRPr="00BA0887">
      <w:rPr>
        <w:lang w:val="fr-CH"/>
      </w:rPr>
      <w:instrText xml:space="preserve"> FILENAME \p \* MERGEFORMAT </w:instrText>
    </w:r>
    <w:r>
      <w:fldChar w:fldCharType="separate"/>
    </w:r>
    <w:r w:rsidR="00093759">
      <w:rPr>
        <w:noProof/>
        <w:lang w:val="fr-CH"/>
      </w:rPr>
      <w:t>P:\ARA\SG\CONSEIL\EG-ITR-1\000\007A.docx</w:t>
    </w:r>
    <w:r>
      <w:rPr>
        <w:noProof/>
      </w:rPr>
      <w:fldChar w:fldCharType="end"/>
    </w:r>
    <w:r w:rsidR="00093759">
      <w:rPr>
        <w:lang w:val="fr-CH"/>
      </w:rPr>
      <w:t>   </w:t>
    </w:r>
    <w:r w:rsidR="00BD0C50" w:rsidRPr="00BA0887">
      <w:rPr>
        <w:lang w:val="fr-CH"/>
      </w:rPr>
      <w:t>(</w:t>
    </w:r>
    <w:r w:rsidR="00BA0887" w:rsidRPr="00BA0887">
      <w:rPr>
        <w:lang w:val="fr-CH"/>
      </w:rPr>
      <w:t>411804</w:t>
    </w:r>
    <w:r w:rsidR="00BD0C50" w:rsidRPr="00BA0887">
      <w:rPr>
        <w:lang w:val="fr-CH"/>
      </w:rPr>
      <w:t>)</w:t>
    </w:r>
    <w:r w:rsidR="00BD0C50" w:rsidRPr="00BA0887">
      <w:rPr>
        <w:lang w:val="fr-CH"/>
      </w:rPr>
      <w:tab/>
    </w:r>
    <w:r w:rsidR="00BD0C50" w:rsidRPr="00665956">
      <w:fldChar w:fldCharType="begin"/>
    </w:r>
    <w:r w:rsidR="00BD0C50" w:rsidRPr="00665956">
      <w:instrText xml:space="preserve"> savedate \@ dd.MM.yy </w:instrText>
    </w:r>
    <w:r w:rsidR="00BD0C50" w:rsidRPr="00665956">
      <w:fldChar w:fldCharType="separate"/>
    </w:r>
    <w:r w:rsidR="00093759">
      <w:rPr>
        <w:noProof/>
      </w:rPr>
      <w:t>31.01.17</w:t>
    </w:r>
    <w:r w:rsidR="00BD0C50" w:rsidRPr="00665956">
      <w:fldChar w:fldCharType="end"/>
    </w:r>
    <w:r w:rsidR="00BD0C50" w:rsidRPr="00BA0887">
      <w:rPr>
        <w:lang w:val="fr-CH"/>
      </w:rPr>
      <w:tab/>
    </w:r>
    <w:r w:rsidR="00BD0C50" w:rsidRPr="00665956">
      <w:fldChar w:fldCharType="begin"/>
    </w:r>
    <w:r w:rsidR="00BD0C50" w:rsidRPr="00665956">
      <w:instrText xml:space="preserve"> printdate \@ dd.MM.yy </w:instrText>
    </w:r>
    <w:r w:rsidR="00BD0C50" w:rsidRPr="00665956">
      <w:fldChar w:fldCharType="separate"/>
    </w:r>
    <w:r w:rsidR="00093759">
      <w:rPr>
        <w:noProof/>
      </w:rPr>
      <w:t>30.01.17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476123" w:rsidRDefault="000E4FF0" w:rsidP="00BA0887">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673BEE">
      <w:rPr>
        <w:rFonts w:cs="Calibri"/>
        <w:noProof/>
        <w:lang w:val="fr-FR"/>
      </w:rPr>
      <w:t>P:\ARA\SG\CONSEIL\EG-ITR-1\000\007A.docx</w:t>
    </w:r>
    <w:r w:rsidRPr="00476123">
      <w:rPr>
        <w:rFonts w:cs="Calibri"/>
      </w:rPr>
      <w:fldChar w:fldCharType="end"/>
    </w:r>
    <w:r w:rsidRPr="00BA0887">
      <w:rPr>
        <w:rFonts w:cs="Calibri"/>
        <w:lang w:val="fr-CH"/>
      </w:rPr>
      <w:t xml:space="preserve">  </w:t>
    </w:r>
    <w:r w:rsidRPr="00476123">
      <w:rPr>
        <w:rFonts w:cs="Calibri"/>
        <w:lang w:val="fr-FR"/>
      </w:rPr>
      <w:t xml:space="preserve"> (</w:t>
    </w:r>
    <w:r w:rsidR="00BA0887">
      <w:rPr>
        <w:rFonts w:cs="Calibri"/>
        <w:lang w:val="fr-FR"/>
      </w:rPr>
      <w:t>411804</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6E2C1A">
      <w:rPr>
        <w:rFonts w:cs="Calibri"/>
        <w:noProof/>
        <w:lang w:val="fr-FR"/>
      </w:rPr>
      <w:t>31.01.17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673BEE">
      <w:rPr>
        <w:rFonts w:cs="Calibri"/>
        <w:noProof/>
        <w:lang w:val="fr-FR"/>
      </w:rPr>
      <w:t>30.01.17</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439" w:rsidRDefault="00315439" w:rsidP="00E07379">
      <w:pPr>
        <w:spacing w:before="0" w:line="240" w:lineRule="auto"/>
      </w:pPr>
      <w:r>
        <w:separator/>
      </w:r>
    </w:p>
  </w:footnote>
  <w:footnote w:type="continuationSeparator" w:id="0">
    <w:p w:rsidR="00315439" w:rsidRDefault="00315439" w:rsidP="00E07379">
      <w:pPr>
        <w:spacing w:before="0" w:line="240" w:lineRule="auto"/>
      </w:pPr>
      <w:r>
        <w:continuationSeparator/>
      </w:r>
    </w:p>
  </w:footnote>
  <w:footnote w:id="1">
    <w:p w:rsidR="00BA0887" w:rsidRPr="00673BEE" w:rsidRDefault="00BA0887">
      <w:pPr>
        <w:pStyle w:val="FootnoteText"/>
      </w:pPr>
      <w:r w:rsidRPr="00673BEE">
        <w:rPr>
          <w:rStyle w:val="FootnoteReference"/>
        </w:rPr>
        <w:footnoteRef/>
      </w:r>
      <w:r w:rsidR="00673BEE" w:rsidRPr="00673BEE">
        <w:rPr>
          <w:rtl/>
        </w:rPr>
        <w:tab/>
      </w:r>
      <w:r w:rsidR="00673BEE" w:rsidRPr="00673BEE">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2918D7"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2918D7">
          <w:rPr>
            <w:rFonts w:eastAsiaTheme="minorEastAsia" w:cs="Calibri"/>
            <w:noProof/>
            <w:sz w:val="20"/>
            <w:szCs w:val="20"/>
            <w:rtl/>
            <w:lang w:eastAsia="zh-CN"/>
          </w:rPr>
          <w:t>3</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39"/>
    <w:rsid w:val="000124CC"/>
    <w:rsid w:val="00041F8B"/>
    <w:rsid w:val="00046444"/>
    <w:rsid w:val="0006023B"/>
    <w:rsid w:val="0008638B"/>
    <w:rsid w:val="00090574"/>
    <w:rsid w:val="00092FC2"/>
    <w:rsid w:val="00093759"/>
    <w:rsid w:val="000A1677"/>
    <w:rsid w:val="000B407F"/>
    <w:rsid w:val="000C13C2"/>
    <w:rsid w:val="000D4C64"/>
    <w:rsid w:val="000E4FF0"/>
    <w:rsid w:val="000F0B1C"/>
    <w:rsid w:val="000F1D42"/>
    <w:rsid w:val="000F4D07"/>
    <w:rsid w:val="00102A03"/>
    <w:rsid w:val="001040A3"/>
    <w:rsid w:val="00173915"/>
    <w:rsid w:val="00187219"/>
    <w:rsid w:val="0022345D"/>
    <w:rsid w:val="00225854"/>
    <w:rsid w:val="0023283D"/>
    <w:rsid w:val="00252E0C"/>
    <w:rsid w:val="00276881"/>
    <w:rsid w:val="002916BE"/>
    <w:rsid w:val="002918D7"/>
    <w:rsid w:val="002978F4"/>
    <w:rsid w:val="002B028D"/>
    <w:rsid w:val="002B435E"/>
    <w:rsid w:val="002C4DAE"/>
    <w:rsid w:val="002D6669"/>
    <w:rsid w:val="002E6541"/>
    <w:rsid w:val="002F5560"/>
    <w:rsid w:val="0030486B"/>
    <w:rsid w:val="00315439"/>
    <w:rsid w:val="003231B9"/>
    <w:rsid w:val="003275AC"/>
    <w:rsid w:val="00333D29"/>
    <w:rsid w:val="003409F4"/>
    <w:rsid w:val="00357185"/>
    <w:rsid w:val="003C106D"/>
    <w:rsid w:val="003C475F"/>
    <w:rsid w:val="003E4132"/>
    <w:rsid w:val="003F678F"/>
    <w:rsid w:val="0042686F"/>
    <w:rsid w:val="004367CE"/>
    <w:rsid w:val="00443869"/>
    <w:rsid w:val="004712C6"/>
    <w:rsid w:val="00476123"/>
    <w:rsid w:val="00497703"/>
    <w:rsid w:val="004C6889"/>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73BEE"/>
    <w:rsid w:val="00684534"/>
    <w:rsid w:val="00696DC8"/>
    <w:rsid w:val="006C1556"/>
    <w:rsid w:val="006E2478"/>
    <w:rsid w:val="006E2C1A"/>
    <w:rsid w:val="006F267F"/>
    <w:rsid w:val="006F63F7"/>
    <w:rsid w:val="006F6F03"/>
    <w:rsid w:val="00706D7A"/>
    <w:rsid w:val="00726AEC"/>
    <w:rsid w:val="007530CA"/>
    <w:rsid w:val="00760E68"/>
    <w:rsid w:val="00762D85"/>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8B6995"/>
    <w:rsid w:val="00911E6A"/>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0887"/>
    <w:rsid w:val="00BA1427"/>
    <w:rsid w:val="00BD0C50"/>
    <w:rsid w:val="00BE49D0"/>
    <w:rsid w:val="00BF2C38"/>
    <w:rsid w:val="00C025AC"/>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E0C49"/>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00343E6-827F-4EC4-AE1D-BF16B8E5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qFormat/>
    <w:rsid w:val="00315439"/>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 w:type="paragraph" w:customStyle="1" w:styleId="enumlev10">
    <w:name w:val="enumlev 1"/>
    <w:basedOn w:val="Normal"/>
    <w:qFormat/>
    <w:rsid w:val="00C025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enumlev10"/>
    <w:rsid w:val="00C025AC"/>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09-CWG.WCIT12-100412-TD-PLEN-0016/en" TargetMode="External"/><Relationship Id="rId18" Type="http://schemas.openxmlformats.org/officeDocument/2006/relationships/hyperlink" Target="http://www.itu.int/md/T09-CWG.WCIT12-INF-0004/en" TargetMode="External"/><Relationship Id="rId26" Type="http://schemas.openxmlformats.org/officeDocument/2006/relationships/hyperlink" Target="http://www.itu.int/md/T09-CWG.WCIT12-INF-0012/en" TargetMode="External"/><Relationship Id="rId3" Type="http://schemas.openxmlformats.org/officeDocument/2006/relationships/customXml" Target="../customXml/item3.xml"/><Relationship Id="rId21" Type="http://schemas.openxmlformats.org/officeDocument/2006/relationships/hyperlink" Target="http://www.itu.int/md/T09-CWG.WCIT12-INF-0007/en" TargetMode="External"/><Relationship Id="rId7" Type="http://schemas.openxmlformats.org/officeDocument/2006/relationships/webSettings" Target="webSettings.xml"/><Relationship Id="rId12" Type="http://schemas.openxmlformats.org/officeDocument/2006/relationships/hyperlink" Target="http://www.itu.int/md/T09-CWG.WCIT12-100125-TD-PLEN-0005/en" TargetMode="External"/><Relationship Id="rId17" Type="http://schemas.openxmlformats.org/officeDocument/2006/relationships/hyperlink" Target="http://www.itu.int/md/T09-CWG.WCIT12-INF-0003/en" TargetMode="External"/><Relationship Id="rId25" Type="http://schemas.openxmlformats.org/officeDocument/2006/relationships/hyperlink" Target="http://www.itu.int/md/T09-CWG.WCIT12-INF-0011/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T09-CWG.WCIT12-INF-0002/en" TargetMode="External"/><Relationship Id="rId20" Type="http://schemas.openxmlformats.org/officeDocument/2006/relationships/hyperlink" Target="http://www.itu.int/md/T09-CWG.WCIT12-INF-0006/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T09-CWG.WCIT12-100125-TD-PLEN-0004/en" TargetMode="External"/><Relationship Id="rId24" Type="http://schemas.openxmlformats.org/officeDocument/2006/relationships/hyperlink" Target="http://www.itu.int/md/T09-CWG.WCIT12-INF-0010/e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md/T09-CWG.WCIT12-INF-0001/en" TargetMode="External"/><Relationship Id="rId23" Type="http://schemas.openxmlformats.org/officeDocument/2006/relationships/hyperlink" Target="http://www.itu.int/md/T09-CWG.WCIT12-INF-0009/en" TargetMode="External"/><Relationship Id="rId28" Type="http://schemas.openxmlformats.org/officeDocument/2006/relationships/hyperlink" Target="http://www.itu.int/md/T09-CWG.WCIT12-INF-0015/en" TargetMode="External"/><Relationship Id="rId10" Type="http://schemas.openxmlformats.org/officeDocument/2006/relationships/image" Target="media/image1.jpeg"/><Relationship Id="rId19" Type="http://schemas.openxmlformats.org/officeDocument/2006/relationships/hyperlink" Target="http://www.itu.int/md/T09-CWG.WCIT12-INF-0005/en"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T09-ITR.EG-090602-TD-PLEN-0030/en" TargetMode="External"/><Relationship Id="rId22" Type="http://schemas.openxmlformats.org/officeDocument/2006/relationships/hyperlink" Target="http://www.itu.int/md/T09-CWG.WCIT12-INF-0008/en" TargetMode="External"/><Relationship Id="rId27" Type="http://schemas.openxmlformats.org/officeDocument/2006/relationships/hyperlink" Target="http://www.itu.int/md/T09-CWG.WCIT12-INF-0013/en"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EG-IT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EE0CF4E8-0F7A-45A4-93F1-7D42EC4C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PA_EG-ITR-1.dotx</Template>
  <TotalTime>73</TotalTime>
  <Pages>3</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11</cp:revision>
  <cp:lastPrinted>2017-01-30T20:02:00Z</cp:lastPrinted>
  <dcterms:created xsi:type="dcterms:W3CDTF">2017-01-30T19:06:00Z</dcterms:created>
  <dcterms:modified xsi:type="dcterms:W3CDTF">2017-01-31T16:33:00Z</dcterms:modified>
  <cp:category>Conference document</cp:category>
</cp:coreProperties>
</file>