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F83EE7" w:rsidRPr="00C67C21" w:rsidTr="00587A3A">
        <w:trPr>
          <w:cantSplit/>
        </w:trPr>
        <w:tc>
          <w:tcPr>
            <w:tcW w:w="6912" w:type="dxa"/>
            <w:vAlign w:val="center"/>
          </w:tcPr>
          <w:p w:rsidR="00F83EE7" w:rsidRPr="00C67C21" w:rsidRDefault="00F83EE7" w:rsidP="00587A3A">
            <w:pPr>
              <w:spacing w:before="0"/>
              <w:rPr>
                <w:szCs w:val="24"/>
              </w:rPr>
            </w:pPr>
            <w:bookmarkStart w:id="0" w:name="dbluepink" w:colFirst="0" w:colLast="0"/>
            <w:r w:rsidRPr="00C67C21">
              <w:rPr>
                <w:b/>
                <w:bCs/>
                <w:sz w:val="30"/>
                <w:szCs w:val="30"/>
              </w:rPr>
              <w:t xml:space="preserve">Grupo de Expertos sobre el Reglamento de las </w:t>
            </w:r>
            <w:r w:rsidRPr="00C67C21">
              <w:rPr>
                <w:b/>
                <w:bCs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:rsidR="00F83EE7" w:rsidRPr="00C67C21" w:rsidRDefault="00F83EE7" w:rsidP="00F83EE7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C67C21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EE7" w:rsidRPr="00C67C21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F83EE7" w:rsidRPr="00C67C21" w:rsidRDefault="00F83EE7">
            <w:pPr>
              <w:spacing w:before="0"/>
              <w:rPr>
                <w:b/>
                <w:bCs/>
                <w:szCs w:val="24"/>
              </w:rPr>
            </w:pPr>
            <w:r w:rsidRPr="00C67C21">
              <w:rPr>
                <w:b/>
                <w:bCs/>
                <w:szCs w:val="24"/>
              </w:rPr>
              <w:t>Primera reunión – Ginebra, 9-10 de febrero de 2017</w:t>
            </w:r>
          </w:p>
        </w:tc>
      </w:tr>
      <w:tr w:rsidR="00F83EE7" w:rsidRPr="00C67C21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F83EE7" w:rsidRPr="00C67C21" w:rsidRDefault="00F83EE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F83EE7" w:rsidRPr="00C67C21" w:rsidRDefault="00F83EE7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F83EE7" w:rsidRPr="00C67C21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F83EE7" w:rsidRPr="00C67C21" w:rsidRDefault="00F83EE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F83EE7" w:rsidRPr="00C67C21" w:rsidRDefault="00F83EE7" w:rsidP="00F83EE7">
            <w:pPr>
              <w:spacing w:before="0"/>
              <w:rPr>
                <w:b/>
                <w:bCs/>
                <w:szCs w:val="24"/>
              </w:rPr>
            </w:pPr>
            <w:bookmarkStart w:id="4" w:name="_GoBack"/>
            <w:bookmarkEnd w:id="4"/>
          </w:p>
        </w:tc>
      </w:tr>
      <w:tr w:rsidR="00F83EE7" w:rsidRPr="00C67C21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F83EE7" w:rsidRPr="00C67C21" w:rsidRDefault="00F83EE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F83EE7" w:rsidRPr="00C67C21" w:rsidRDefault="005817A9" w:rsidP="00F83EE7">
            <w:pPr>
              <w:spacing w:before="0"/>
              <w:rPr>
                <w:b/>
                <w:bCs/>
                <w:szCs w:val="24"/>
              </w:rPr>
            </w:pPr>
            <w:r w:rsidRPr="00C67C21">
              <w:rPr>
                <w:b/>
                <w:bCs/>
                <w:szCs w:val="24"/>
              </w:rPr>
              <w:t>10</w:t>
            </w:r>
            <w:r w:rsidR="00F83EE7" w:rsidRPr="00C67C21">
              <w:rPr>
                <w:b/>
                <w:bCs/>
                <w:szCs w:val="24"/>
              </w:rPr>
              <w:t xml:space="preserve"> de enero de 2017</w:t>
            </w:r>
          </w:p>
        </w:tc>
      </w:tr>
      <w:tr w:rsidR="00F83EE7" w:rsidRPr="00C67C21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F83EE7" w:rsidRPr="00C67C21" w:rsidRDefault="00F83EE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F83EE7" w:rsidRPr="00C67C21" w:rsidRDefault="00F83EE7" w:rsidP="005817A9">
            <w:pPr>
              <w:spacing w:before="0"/>
              <w:rPr>
                <w:b/>
                <w:bCs/>
                <w:szCs w:val="24"/>
              </w:rPr>
            </w:pPr>
            <w:r w:rsidRPr="00C67C21">
              <w:rPr>
                <w:b/>
                <w:bCs/>
                <w:szCs w:val="24"/>
              </w:rPr>
              <w:t xml:space="preserve">Original: </w:t>
            </w:r>
            <w:r w:rsidR="005817A9" w:rsidRPr="00C67C21">
              <w:rPr>
                <w:b/>
                <w:bCs/>
                <w:szCs w:val="24"/>
              </w:rPr>
              <w:t>ruso</w:t>
            </w:r>
          </w:p>
        </w:tc>
      </w:tr>
      <w:tr w:rsidR="00F83EE7" w:rsidRPr="0028436F">
        <w:trPr>
          <w:cantSplit/>
        </w:trPr>
        <w:tc>
          <w:tcPr>
            <w:tcW w:w="10173" w:type="dxa"/>
            <w:gridSpan w:val="2"/>
          </w:tcPr>
          <w:p w:rsidR="00F83EE7" w:rsidRPr="0028436F" w:rsidRDefault="000B1963" w:rsidP="0028436F">
            <w:pPr>
              <w:pStyle w:val="Source"/>
            </w:pPr>
            <w:bookmarkStart w:id="7" w:name="dsource" w:colFirst="0" w:colLast="0"/>
            <w:bookmarkEnd w:id="0"/>
            <w:bookmarkEnd w:id="6"/>
            <w:r w:rsidRPr="000B1963">
              <w:t>GE-RTI</w:t>
            </w:r>
          </w:p>
        </w:tc>
      </w:tr>
      <w:tr w:rsidR="00F83EE7" w:rsidRPr="00C67C21">
        <w:trPr>
          <w:cantSplit/>
        </w:trPr>
        <w:tc>
          <w:tcPr>
            <w:tcW w:w="10173" w:type="dxa"/>
            <w:gridSpan w:val="2"/>
          </w:tcPr>
          <w:p w:rsidR="00F83EE7" w:rsidRPr="00943D11" w:rsidRDefault="000B1963" w:rsidP="00943D11">
            <w:pPr>
              <w:pStyle w:val="Title1"/>
            </w:pPr>
            <w:bookmarkStart w:id="8" w:name="dtitle1" w:colFirst="0" w:colLast="0"/>
            <w:bookmarkEnd w:id="7"/>
            <w:r w:rsidRPr="000B1963">
              <w:t>Declaración de coordinación</w:t>
            </w:r>
          </w:p>
        </w:tc>
      </w:tr>
      <w:tr w:rsidR="0028436F" w:rsidRPr="00C67C21">
        <w:trPr>
          <w:cantSplit/>
        </w:trPr>
        <w:tc>
          <w:tcPr>
            <w:tcW w:w="10173" w:type="dxa"/>
            <w:gridSpan w:val="2"/>
          </w:tcPr>
          <w:p w:rsidR="0028436F" w:rsidRDefault="000B1963" w:rsidP="0028436F">
            <w:pPr>
              <w:pStyle w:val="Title2"/>
            </w:pPr>
            <w:r w:rsidRPr="000B1963">
              <w:t xml:space="preserve">PARTICIPACIÓN DE LOS GRUPOS ASESORES Y DE LAS COMISIONES DE ESTUDIO DE LOS TRES SECTORES DE LA UNIÓN EN LOS TRABAJOS DEL GRUPO DE EXPERTOS SOBRE </w:t>
            </w:r>
            <w:r w:rsidR="0009201B">
              <w:br/>
            </w:r>
            <w:r w:rsidRPr="000B1963">
              <w:t>EL REGLAMENTO DE LAS TELECOMUNICACIONES INTERNACIONALES</w:t>
            </w:r>
          </w:p>
        </w:tc>
      </w:tr>
    </w:tbl>
    <w:p w:rsidR="00AF721B" w:rsidRPr="00353DEC" w:rsidRDefault="00AF721B" w:rsidP="0009201B">
      <w:pPr>
        <w:pStyle w:val="Normalaftertitle"/>
      </w:pPr>
      <w:bookmarkStart w:id="9" w:name="h.erbxq0yh2qlt" w:colFirst="0" w:colLast="0"/>
      <w:bookmarkEnd w:id="8"/>
      <w:bookmarkEnd w:id="9"/>
      <w:r w:rsidRPr="00353DEC">
        <w:t xml:space="preserve">El </w:t>
      </w:r>
      <w:hyperlink r:id="rId9" w:history="1">
        <w:r w:rsidRPr="0009201B">
          <w:rPr>
            <w:rStyle w:val="Hyperlink"/>
          </w:rPr>
          <w:t>Reglamento de las Telecomunicaciones Internacionales (RTI)</w:t>
        </w:r>
      </w:hyperlink>
      <w:r w:rsidRPr="00943D11">
        <w:rPr>
          <w:szCs w:val="24"/>
        </w:rPr>
        <w:t xml:space="preserve"> </w:t>
      </w:r>
      <w:r w:rsidRPr="00353DEC">
        <w:t>es uno de los instrumentos de la Unión, a saber, el reglamento administrativo que rige la utilización de las telecomunicaciones y que tendrá carácter vinculante para todos los Estados Miembros (CS</w:t>
      </w:r>
      <w:r w:rsidR="000B1963">
        <w:t>/</w:t>
      </w:r>
      <w:r w:rsidRPr="00353DEC">
        <w:t>29 y CS/31).</w:t>
      </w:r>
    </w:p>
    <w:p w:rsidR="00AF721B" w:rsidRPr="00353DEC" w:rsidRDefault="00AF721B" w:rsidP="00943D11">
      <w:r w:rsidRPr="00353DEC">
        <w:t>La Conferencia Mundial de Telecomunicaciones Internacionales (CMTI) puede revisar parcialmente o, en casos excepcionales, totalmente el RTI, y tratar cualquier otra cuestión de carácter mundial que sea de su competencia y guarde relación con su orden del día (CS/146).</w:t>
      </w:r>
    </w:p>
    <w:p w:rsidR="00AF721B" w:rsidRPr="00353DEC" w:rsidRDefault="00AF721B" w:rsidP="00943D11">
      <w:r w:rsidRPr="00353DEC">
        <w:t xml:space="preserve">La </w:t>
      </w:r>
      <w:hyperlink r:id="rId10" w:history="1">
        <w:r w:rsidRPr="0009201B">
          <w:rPr>
            <w:rStyle w:val="Hyperlink"/>
            <w:szCs w:val="24"/>
          </w:rPr>
          <w:t>CMTI-12</w:t>
        </w:r>
      </w:hyperlink>
      <w:r w:rsidRPr="00943D11">
        <w:rPr>
          <w:szCs w:val="24"/>
        </w:rPr>
        <w:t xml:space="preserve"> </w:t>
      </w:r>
      <w:r w:rsidRPr="00353DEC">
        <w:t>(Dubái, Emiratos Árabes Unidos) adoptó la Resolución 4 (Dubái, 2012) sobre el examen periódico del RTI, en la que se reconoce:</w:t>
      </w:r>
    </w:p>
    <w:p w:rsidR="00AF721B" w:rsidRPr="00353DEC" w:rsidRDefault="00AF721B" w:rsidP="00943D11">
      <w:pPr>
        <w:pStyle w:val="enumlev1"/>
      </w:pPr>
      <w:r w:rsidRPr="00353DEC">
        <w:t>a)</w:t>
      </w:r>
      <w:r w:rsidRPr="00353DEC">
        <w:tab/>
        <w:t>que el RTI es uno de los pilares que soporta la misión de la UIT;</w:t>
      </w:r>
    </w:p>
    <w:p w:rsidR="00AF721B" w:rsidRPr="00353DEC" w:rsidRDefault="00AF721B" w:rsidP="00943D11">
      <w:pPr>
        <w:pStyle w:val="enumlev1"/>
      </w:pPr>
      <w:r w:rsidRPr="00353DEC">
        <w:t>b)</w:t>
      </w:r>
      <w:r w:rsidRPr="00353DEC">
        <w:tab/>
        <w:t>que el RTI consta de principios rectores de alto nivel que no deberían requerir una modificación frecuente pero que en el sector dinámico de las telecomunicaciones/TIC puede ser necesario revisarlos con periodicidad</w:t>
      </w:r>
      <w:r w:rsidR="0029097F">
        <w:t>;</w:t>
      </w:r>
    </w:p>
    <w:p w:rsidR="00AF721B" w:rsidRPr="00353DEC" w:rsidRDefault="00AF721B" w:rsidP="00943D11">
      <w:proofErr w:type="gramStart"/>
      <w:r w:rsidRPr="00353DEC">
        <w:t>y</w:t>
      </w:r>
      <w:proofErr w:type="gramEnd"/>
      <w:r w:rsidRPr="00353DEC">
        <w:t xml:space="preserve"> observó que el RTI:</w:t>
      </w:r>
    </w:p>
    <w:p w:rsidR="00AF721B" w:rsidRPr="00353DEC" w:rsidRDefault="00AF721B" w:rsidP="00943D11">
      <w:pPr>
        <w:pStyle w:val="enumlev1"/>
      </w:pPr>
      <w:r w:rsidRPr="00943D11">
        <w:t>a)</w:t>
      </w:r>
      <w:r w:rsidRPr="00353DEC">
        <w:tab/>
        <w:t>establece principios generales relativos a la prestación y explotación de las telecomunicaciones internacionales;</w:t>
      </w:r>
    </w:p>
    <w:p w:rsidR="00AF721B" w:rsidRPr="00353DEC" w:rsidRDefault="00AF721B" w:rsidP="00943D11">
      <w:pPr>
        <w:pStyle w:val="enumlev1"/>
      </w:pPr>
      <w:r w:rsidRPr="00943D11">
        <w:t>b)</w:t>
      </w:r>
      <w:r w:rsidRPr="00353DEC">
        <w:tab/>
        <w:t>facilita la interconexión y el interfuncionamiento a escala mundial;</w:t>
      </w:r>
    </w:p>
    <w:p w:rsidR="00AF721B" w:rsidRPr="00353DEC" w:rsidRDefault="00AF721B" w:rsidP="00943D11">
      <w:pPr>
        <w:pStyle w:val="enumlev1"/>
      </w:pPr>
      <w:r w:rsidRPr="00943D11">
        <w:t>c)</w:t>
      </w:r>
      <w:r w:rsidRPr="00943D11">
        <w:tab/>
      </w:r>
      <w:r w:rsidRPr="00353DEC">
        <w:t>promueve la eficacia, utilidad y disponibilidad de los servicios internacionales de telecomunicación.</w:t>
      </w:r>
    </w:p>
    <w:p w:rsidR="00AF721B" w:rsidRPr="00353DEC" w:rsidRDefault="00AF721B" w:rsidP="000B1963">
      <w:r w:rsidRPr="00353DEC">
        <w:t xml:space="preserve">La </w:t>
      </w:r>
      <w:hyperlink r:id="rId11" w:history="1">
        <w:r w:rsidRPr="0009201B">
          <w:rPr>
            <w:rStyle w:val="Hyperlink"/>
            <w:szCs w:val="24"/>
          </w:rPr>
          <w:t>Conferencia de Plenipotenciarios (Busán, 2014)</w:t>
        </w:r>
      </w:hyperlink>
      <w:r w:rsidRPr="00943D11">
        <w:rPr>
          <w:szCs w:val="24"/>
        </w:rPr>
        <w:t xml:space="preserve"> </w:t>
      </w:r>
      <w:r w:rsidRPr="00353DEC">
        <w:t>(PP-14), tras examinar los resultados de la CMTI-12, adoptó la Resolución 146 (Rev. Busán</w:t>
      </w:r>
      <w:r w:rsidR="000B1963">
        <w:t>,</w:t>
      </w:r>
      <w:r w:rsidRPr="00353DEC">
        <w:t xml:space="preserve"> 2014), relativa al examen periódico y revisión del</w:t>
      </w:r>
      <w:r w:rsidR="000B1963">
        <w:t> </w:t>
      </w:r>
      <w:r w:rsidRPr="00353DEC">
        <w:t xml:space="preserve">RTI, en la que se resuelve que se lleve a cabo un examen periódico del Reglamento de las Telecomunicaciones Internacionales cada ocho años y que el proceso de revisión del Reglamento de las Telecomunicaciones Internacionales comience en 2017, preferentemente a principios de año. A tal efecto, la PP-14 encargó al Secretario General que convoque un Grupo de Expertos sobre el Reglamento de las Telecomunicaciones Internacionales (GE-RTI) abierto a la participación de los Estados Miembros y Miembros de Sector de la UIT, cuyo mandato y métodos de trabajo </w:t>
      </w:r>
      <w:r w:rsidRPr="00353DEC">
        <w:lastRenderedPageBreak/>
        <w:t>establecerá el Consejo de la UIT, para efectuar el examen de dicho Reglamento y que presente el Informe del GE-RTI al Consejo, en su reunión de 2018, para su examen, publicación y presentación subsiguiente a la PP-18.</w:t>
      </w:r>
    </w:p>
    <w:p w:rsidR="00AF721B" w:rsidRPr="00353DEC" w:rsidRDefault="00AF721B" w:rsidP="00D521F4">
      <w:r>
        <w:t xml:space="preserve">En </w:t>
      </w:r>
      <w:r w:rsidRPr="00943D11">
        <w:rPr>
          <w:szCs w:val="24"/>
        </w:rPr>
        <w:t xml:space="preserve">su </w:t>
      </w:r>
      <w:hyperlink r:id="rId12" w:history="1">
        <w:r w:rsidRPr="0009201B">
          <w:rPr>
            <w:rStyle w:val="Hyperlink"/>
            <w:szCs w:val="24"/>
          </w:rPr>
          <w:t>reunión de 2016</w:t>
        </w:r>
      </w:hyperlink>
      <w:r w:rsidRPr="00943D11">
        <w:rPr>
          <w:szCs w:val="24"/>
        </w:rPr>
        <w:t xml:space="preserve"> </w:t>
      </w:r>
      <w:r w:rsidRPr="00353DEC">
        <w:t>el Consejo adoptó la Resolución 1379, en la que se resuelve:</w:t>
      </w:r>
    </w:p>
    <w:p w:rsidR="00AF721B" w:rsidRPr="00943D11" w:rsidRDefault="00AF721B" w:rsidP="00943D11">
      <w:pPr>
        <w:pStyle w:val="enumlev1"/>
      </w:pPr>
      <w:r w:rsidRPr="00943D11">
        <w:t>a)</w:t>
      </w:r>
      <w:r w:rsidRPr="00943D11">
        <w:tab/>
        <w:t>crear el GE-RTI abierto a todos los Estados Miembros y Miembros de Sector con el mandato que se recoge en el Anexo 1 a dicha Resolución;</w:t>
      </w:r>
    </w:p>
    <w:p w:rsidR="00AF721B" w:rsidRPr="00943D11" w:rsidRDefault="00AF721B" w:rsidP="00943D11">
      <w:pPr>
        <w:pStyle w:val="enumlev1"/>
      </w:pPr>
      <w:r w:rsidRPr="00943D11">
        <w:t>b)</w:t>
      </w:r>
      <w:r w:rsidRPr="00943D11">
        <w:tab/>
        <w:t>que el GE-RTI prepare:</w:t>
      </w:r>
    </w:p>
    <w:p w:rsidR="00AF721B" w:rsidRPr="00353DEC" w:rsidRDefault="00AF721B" w:rsidP="00943D11">
      <w:pPr>
        <w:pStyle w:val="enumlev2"/>
      </w:pPr>
      <w:r w:rsidRPr="00353DEC">
        <w:tab/>
        <w:t>–</w:t>
      </w:r>
      <w:r w:rsidRPr="00353DEC">
        <w:tab/>
        <w:t>un informe provisional para la reunión de 2017 del Consejo;</w:t>
      </w:r>
    </w:p>
    <w:p w:rsidR="00AF721B" w:rsidRPr="00353DEC" w:rsidRDefault="00AF721B" w:rsidP="00943D11">
      <w:pPr>
        <w:pStyle w:val="enumlev2"/>
      </w:pPr>
      <w:r w:rsidRPr="00353DEC">
        <w:tab/>
        <w:t>–</w:t>
      </w:r>
      <w:r w:rsidRPr="00353DEC">
        <w:tab/>
        <w:t>un Informe final para la reunión de 2018 del Consejo para su presentación a la PP-18 con los comentarios del Consejo;</w:t>
      </w:r>
    </w:p>
    <w:p w:rsidR="00AF721B" w:rsidRPr="00943D11" w:rsidRDefault="00AF721B" w:rsidP="00943D11">
      <w:pPr>
        <w:pStyle w:val="enumlev1"/>
      </w:pPr>
      <w:r w:rsidRPr="00943D11">
        <w:t>c)</w:t>
      </w:r>
      <w:r w:rsidRPr="00943D11">
        <w:tab/>
        <w:t>encargar a los Directores de las Oficinas:</w:t>
      </w:r>
    </w:p>
    <w:p w:rsidR="00AF721B" w:rsidRPr="00353DEC" w:rsidRDefault="00AF721B" w:rsidP="00943D11">
      <w:pPr>
        <w:pStyle w:val="enumlev2"/>
      </w:pPr>
      <w:r w:rsidRPr="00353DEC">
        <w:tab/>
        <w:t>–</w:t>
      </w:r>
      <w:r w:rsidRPr="00353DEC">
        <w:tab/>
        <w:t>que, en su ámbito de competencia y con el asesoramiento de los grupos asesores correspondientes, contribuyan a los trabajos del GE-RTI, reconociendo que son los trabajos del Sector de Normalización de las Telecomunicaciones de la UIT (UIT-T) los más pertinentes al RTI;</w:t>
      </w:r>
    </w:p>
    <w:p w:rsidR="00AF721B" w:rsidRPr="00353DEC" w:rsidRDefault="00AF721B" w:rsidP="00943D11">
      <w:pPr>
        <w:pStyle w:val="enumlev2"/>
      </w:pPr>
      <w:r w:rsidRPr="00353DEC">
        <w:tab/>
        <w:t>–</w:t>
      </w:r>
      <w:r w:rsidRPr="00353DEC">
        <w:tab/>
        <w:t>que presenten los resultados de sus trabajos al GE-RTI.</w:t>
      </w:r>
    </w:p>
    <w:p w:rsidR="00AF721B" w:rsidRPr="00353DEC" w:rsidRDefault="00AF721B" w:rsidP="00943D11">
      <w:r>
        <w:t xml:space="preserve">La </w:t>
      </w:r>
      <w:hyperlink r:id="rId13" w:history="1">
        <w:r w:rsidRPr="0009201B">
          <w:rPr>
            <w:rStyle w:val="Hyperlink"/>
            <w:szCs w:val="24"/>
          </w:rPr>
          <w:t>Asamblea Mundial de Normalización de las Telecomunicaciones (Hammamet, 2016)</w:t>
        </w:r>
      </w:hyperlink>
      <w:r w:rsidRPr="00353DEC">
        <w:t>, teniendo en cuenta el reconocido liderazgo del UIT-T en la labor de examen y revisión del RTI, adoptado en la Resolución 87 (Hammamet, 2016), sobre la participación del UIT-T en el examen periódico y revisión del RTI, en el que, reconociendo en particular el importante papel de las Comisiones de Estudio del UIT en el proceso de contribución al UIT-T para el G</w:t>
      </w:r>
      <w:r>
        <w:t>E</w:t>
      </w:r>
      <w:r w:rsidRPr="00353DEC">
        <w:t>-RTI, según proceda y sea necesario, resolvió presentar el resultado de tales actividades al GE-RTI.</w:t>
      </w:r>
    </w:p>
    <w:p w:rsidR="00AF721B" w:rsidRPr="00353DEC" w:rsidRDefault="00AF721B" w:rsidP="00943D11">
      <w:r>
        <w:t>En su primera reunión</w:t>
      </w:r>
      <w:r w:rsidRPr="00353DEC">
        <w:t xml:space="preserve">, </w:t>
      </w:r>
      <w:r>
        <w:t>el GE-RTI convino en que, de conformidad</w:t>
      </w:r>
      <w:r w:rsidR="00943D11">
        <w:t xml:space="preserve"> </w:t>
      </w:r>
      <w:r>
        <w:t>con lo anterior, los Directores de las Oficinas deben invitar a las Comisiones de Estudio pertinentes de su respectivo Sector de la UIT a preparar contribuciones para el GE-RTI</w:t>
      </w:r>
      <w:r w:rsidRPr="00353DEC">
        <w:t>.</w:t>
      </w:r>
    </w:p>
    <w:p w:rsidR="00AF721B" w:rsidRPr="00353DEC" w:rsidRDefault="00AF721B" w:rsidP="00943D11">
      <w:r>
        <w:t>En consecuencia</w:t>
      </w:r>
      <w:r w:rsidRPr="00353DEC">
        <w:t xml:space="preserve">, </w:t>
      </w:r>
      <w:r>
        <w:t>se invita por la presente a las Comisiones de Estudio a preparar tales contribuciones</w:t>
      </w:r>
      <w:r w:rsidRPr="00353DEC">
        <w:t>.</w:t>
      </w:r>
    </w:p>
    <w:p w:rsidR="00AF721B" w:rsidRPr="00353DEC" w:rsidRDefault="00AF721B" w:rsidP="00943D11">
      <w:r>
        <w:t>En el sitio web del GE-RTI</w:t>
      </w:r>
      <w:r w:rsidRPr="00353DEC">
        <w:t xml:space="preserve">: </w:t>
      </w:r>
      <w:hyperlink r:id="rId14" w:history="1">
        <w:r w:rsidRPr="0009201B">
          <w:rPr>
            <w:rStyle w:val="Hyperlink"/>
            <w:szCs w:val="24"/>
          </w:rPr>
          <w:t>http://www.itu.int/en/council/eg-itrs/Pages/default.aspx</w:t>
        </w:r>
      </w:hyperlink>
      <w:r w:rsidRPr="00943D11">
        <w:rPr>
          <w:szCs w:val="24"/>
        </w:rPr>
        <w:t xml:space="preserve"> f</w:t>
      </w:r>
      <w:r>
        <w:t>igura toda la información pertinente, así como enlaces a sitios web de anteriores grupos que han ex</w:t>
      </w:r>
      <w:r w:rsidR="00943D11">
        <w:t>amina</w:t>
      </w:r>
      <w:r>
        <w:t>do este tema</w:t>
      </w:r>
      <w:r w:rsidRPr="00353DEC">
        <w:t>.</w:t>
      </w:r>
    </w:p>
    <w:p w:rsidR="00AF721B" w:rsidRDefault="00AF721B" w:rsidP="00943D11">
      <w:r>
        <w:t>Las contribuciones, cuestiones y otro material que podrían examinar el GE-RTI en sus actividades de examen y revisión del RTI de 2012 deben presentarse a los correspondientes grupos asesores para que los transmitan al GE-RTI</w:t>
      </w:r>
      <w:r w:rsidRPr="00353DEC">
        <w:t>.</w:t>
      </w:r>
    </w:p>
    <w:p w:rsidR="00D521F4" w:rsidRDefault="00D521F4" w:rsidP="0032202E">
      <w:pPr>
        <w:pStyle w:val="Reasons"/>
      </w:pPr>
    </w:p>
    <w:p w:rsidR="00D521F4" w:rsidRDefault="00D521F4">
      <w:pPr>
        <w:jc w:val="center"/>
      </w:pPr>
      <w:r>
        <w:t>______________</w:t>
      </w:r>
    </w:p>
    <w:sectPr w:rsidR="00D521F4" w:rsidSect="006710F6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E7" w:rsidRDefault="00F83EE7">
      <w:r>
        <w:separator/>
      </w:r>
    </w:p>
  </w:endnote>
  <w:endnote w:type="continuationSeparator" w:id="0">
    <w:p w:rsidR="00F83EE7" w:rsidRDefault="00F8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141B83" w:rsidRDefault="00E20008" w:rsidP="00AF721B">
    <w:pPr>
      <w:pStyle w:val="Footer"/>
      <w:rPr>
        <w:lang w:val="fr-CH"/>
      </w:rPr>
    </w:pPr>
    <w:r>
      <w:fldChar w:fldCharType="begin"/>
    </w:r>
    <w:r w:rsidRPr="00141B83">
      <w:rPr>
        <w:lang w:val="fr-CH"/>
      </w:rPr>
      <w:instrText xml:space="preserve"> F</w:instrText>
    </w:r>
    <w:r w:rsidRPr="00141B83">
      <w:rPr>
        <w:lang w:val="fr-CH"/>
      </w:rPr>
      <w:instrText xml:space="preserve">ILENAME \p  \* MERGEFORMAT </w:instrText>
    </w:r>
    <w:r>
      <w:fldChar w:fldCharType="separate"/>
    </w:r>
    <w:r w:rsidR="0028436F" w:rsidRPr="00141B83">
      <w:rPr>
        <w:lang w:val="fr-CH"/>
      </w:rPr>
      <w:t>P:\ESP\SG\CONSEIL\EG-ITR-1\000\008S.docx</w:t>
    </w:r>
    <w:r>
      <w:fldChar w:fldCharType="end"/>
    </w:r>
    <w:r w:rsidR="00AF721B" w:rsidRPr="00141B83">
      <w:rPr>
        <w:lang w:val="fr-CH"/>
      </w:rPr>
      <w:t xml:space="preserve"> (411805</w:t>
    </w:r>
    <w:r w:rsidR="00653D52" w:rsidRPr="00141B83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141B83" w:rsidRDefault="00E20008" w:rsidP="00AF721B">
    <w:pPr>
      <w:pStyle w:val="Footer"/>
      <w:rPr>
        <w:lang w:val="fr-CH"/>
      </w:rPr>
    </w:pPr>
    <w:r>
      <w:fldChar w:fldCharType="begin"/>
    </w:r>
    <w:r w:rsidRPr="00141B83">
      <w:rPr>
        <w:lang w:val="fr-CH"/>
      </w:rPr>
      <w:instrText xml:space="preserve"> FILENAME \p  \* MERGEFORMAT </w:instrText>
    </w:r>
    <w:r>
      <w:fldChar w:fldCharType="separate"/>
    </w:r>
    <w:r w:rsidR="0028436F" w:rsidRPr="00141B83">
      <w:rPr>
        <w:lang w:val="fr-CH"/>
      </w:rPr>
      <w:t>P:\ESP\SG\CONSEIL\EG-ITR-1\000\008S.docx</w:t>
    </w:r>
    <w:r>
      <w:fldChar w:fldCharType="end"/>
    </w:r>
    <w:r w:rsidR="00AF721B" w:rsidRPr="00141B83">
      <w:rPr>
        <w:lang w:val="fr-CH"/>
      </w:rPr>
      <w:t xml:space="preserve"> (411805)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E7" w:rsidRDefault="00F83EE7">
      <w:r>
        <w:t>____________________</w:t>
      </w:r>
    </w:p>
  </w:footnote>
  <w:footnote w:type="continuationSeparator" w:id="0">
    <w:p w:rsidR="00F83EE7" w:rsidRDefault="00F83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E2000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C2EAF"/>
    <w:multiLevelType w:val="hybridMultilevel"/>
    <w:tmpl w:val="7CC623D8"/>
    <w:lvl w:ilvl="0" w:tplc="1EBC6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3FD4"/>
    <w:multiLevelType w:val="hybridMultilevel"/>
    <w:tmpl w:val="AE5222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0D4E"/>
    <w:multiLevelType w:val="hybridMultilevel"/>
    <w:tmpl w:val="C87A9930"/>
    <w:lvl w:ilvl="0" w:tplc="F0907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9BAF30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22BE"/>
    <w:multiLevelType w:val="hybridMultilevel"/>
    <w:tmpl w:val="8EC6D446"/>
    <w:lvl w:ilvl="0" w:tplc="19A66168">
      <w:start w:val="1"/>
      <w:numFmt w:val="lowerLetter"/>
      <w:pStyle w:val="enumBodyCalibri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57F20"/>
    <w:multiLevelType w:val="hybridMultilevel"/>
    <w:tmpl w:val="97B684EC"/>
    <w:lvl w:ilvl="0" w:tplc="F0907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9BAF30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176F"/>
    <w:multiLevelType w:val="hybridMultilevel"/>
    <w:tmpl w:val="38044096"/>
    <w:lvl w:ilvl="0" w:tplc="328444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E7"/>
    <w:rsid w:val="0009201B"/>
    <w:rsid w:val="000B0D00"/>
    <w:rsid w:val="000B1963"/>
    <w:rsid w:val="000B7C15"/>
    <w:rsid w:val="000D1D0F"/>
    <w:rsid w:val="000F5290"/>
    <w:rsid w:val="0010165C"/>
    <w:rsid w:val="00141B83"/>
    <w:rsid w:val="00146BFB"/>
    <w:rsid w:val="00177CE2"/>
    <w:rsid w:val="001A24A8"/>
    <w:rsid w:val="001F14A2"/>
    <w:rsid w:val="002801AA"/>
    <w:rsid w:val="0028436F"/>
    <w:rsid w:val="0029097F"/>
    <w:rsid w:val="002A6CE5"/>
    <w:rsid w:val="002C0A4D"/>
    <w:rsid w:val="002C4676"/>
    <w:rsid w:val="002C70B0"/>
    <w:rsid w:val="002F3CC4"/>
    <w:rsid w:val="00374835"/>
    <w:rsid w:val="00407B9B"/>
    <w:rsid w:val="004C5079"/>
    <w:rsid w:val="00513630"/>
    <w:rsid w:val="00515182"/>
    <w:rsid w:val="00560125"/>
    <w:rsid w:val="005817A9"/>
    <w:rsid w:val="00585553"/>
    <w:rsid w:val="00587A3A"/>
    <w:rsid w:val="005B34D9"/>
    <w:rsid w:val="005D0CCF"/>
    <w:rsid w:val="005F410F"/>
    <w:rsid w:val="0060149A"/>
    <w:rsid w:val="00601924"/>
    <w:rsid w:val="006447EA"/>
    <w:rsid w:val="0064731F"/>
    <w:rsid w:val="00653D52"/>
    <w:rsid w:val="00655A9F"/>
    <w:rsid w:val="006710F6"/>
    <w:rsid w:val="00693AD6"/>
    <w:rsid w:val="006C1B56"/>
    <w:rsid w:val="006D4761"/>
    <w:rsid w:val="00726872"/>
    <w:rsid w:val="00760F1C"/>
    <w:rsid w:val="007657F0"/>
    <w:rsid w:val="007E5DD3"/>
    <w:rsid w:val="007F350B"/>
    <w:rsid w:val="00820BE4"/>
    <w:rsid w:val="008451E8"/>
    <w:rsid w:val="00913B9C"/>
    <w:rsid w:val="00943D11"/>
    <w:rsid w:val="00956E77"/>
    <w:rsid w:val="00AA390C"/>
    <w:rsid w:val="00AF721B"/>
    <w:rsid w:val="00B0200A"/>
    <w:rsid w:val="00B574DB"/>
    <w:rsid w:val="00B826C2"/>
    <w:rsid w:val="00B8298E"/>
    <w:rsid w:val="00B86D8D"/>
    <w:rsid w:val="00BC5B0A"/>
    <w:rsid w:val="00BD0723"/>
    <w:rsid w:val="00BD2518"/>
    <w:rsid w:val="00BF1D1C"/>
    <w:rsid w:val="00C20C59"/>
    <w:rsid w:val="00C55B1F"/>
    <w:rsid w:val="00C67C21"/>
    <w:rsid w:val="00C8430E"/>
    <w:rsid w:val="00CF1A67"/>
    <w:rsid w:val="00D2750E"/>
    <w:rsid w:val="00D35723"/>
    <w:rsid w:val="00D521F4"/>
    <w:rsid w:val="00D62446"/>
    <w:rsid w:val="00D9541A"/>
    <w:rsid w:val="00D967E2"/>
    <w:rsid w:val="00DA4EA2"/>
    <w:rsid w:val="00DC3D3E"/>
    <w:rsid w:val="00DE2C90"/>
    <w:rsid w:val="00DE3B24"/>
    <w:rsid w:val="00E06947"/>
    <w:rsid w:val="00E20008"/>
    <w:rsid w:val="00E27D2A"/>
    <w:rsid w:val="00E3592D"/>
    <w:rsid w:val="00E92DE8"/>
    <w:rsid w:val="00E944A3"/>
    <w:rsid w:val="00EB1212"/>
    <w:rsid w:val="00ED65AB"/>
    <w:rsid w:val="00F12850"/>
    <w:rsid w:val="00F33BF4"/>
    <w:rsid w:val="00F7105E"/>
    <w:rsid w:val="00F75F57"/>
    <w:rsid w:val="00F82FEE"/>
    <w:rsid w:val="00F83EE7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A3C2DFC-5850-462E-8FAF-20567482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F83EE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5817A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  <w:lang w:val="en-GB"/>
    </w:rPr>
  </w:style>
  <w:style w:type="paragraph" w:customStyle="1" w:styleId="enumBodyCalibri">
    <w:name w:val="enum + +Body (Calibri)"/>
    <w:aliases w:val="14 pt,(Complex) Bold"/>
    <w:basedOn w:val="ListParagraph"/>
    <w:rsid w:val="005817A9"/>
    <w:pPr>
      <w:numPr>
        <w:numId w:val="1"/>
      </w:numPr>
    </w:pPr>
    <w:rPr>
      <w:rFonts w:asciiTheme="minorHAnsi" w:hAnsiTheme="minorHAnsi"/>
      <w:bCs/>
      <w:sz w:val="28"/>
      <w:szCs w:val="28"/>
      <w:lang w:val="es-ES"/>
    </w:rPr>
  </w:style>
  <w:style w:type="paragraph" w:customStyle="1" w:styleId="Normal1">
    <w:name w:val="Normal1"/>
    <w:rsid w:val="00AF721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s/ITU-T/wtsa16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s/council/2016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s/plenipotentiary/2014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s/wcit-12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WCIT-2012/es" TargetMode="External"/><Relationship Id="rId14" Type="http://schemas.openxmlformats.org/officeDocument/2006/relationships/hyperlink" Target="http://www.itu.int/en/council/eg-itr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D458-11D6-4036-99C4-81D834ED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PS_C17.dotm</Template>
  <TotalTime>0</TotalTime>
  <Pages>2</Pages>
  <Words>750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DECLARACIÓN DE COORDINACIÓN</vt:lpstr>
    </vt:vector>
  </TitlesOfParts>
  <Manager>Secretaría General - Pool</Manager>
  <Company>Unión Internacional de Telecomunicaciones (UIT)</Company>
  <LinksUpToDate>false</LinksUpToDate>
  <CharactersWithSpaces>5231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COORDINACIÓN</dc:title>
  <dc:subject>Consejo 2010</dc:subject>
  <dc:creator>GE-RTI</dc:creator>
  <cp:keywords>C2010, C10</cp:keywords>
  <dc:description>Documento EG-ITRs 1/8-S  Para: _x000d_Fecha del documento: 10 de enero de 2017_x000d_Registrado por ITU51007802 a 11:44:10 el 01/02/2017</dc:description>
  <cp:lastModifiedBy>Janin</cp:lastModifiedBy>
  <cp:revision>3</cp:revision>
  <cp:lastPrinted>2017-02-01T09:33:00Z</cp:lastPrinted>
  <dcterms:created xsi:type="dcterms:W3CDTF">2017-02-02T08:09:00Z</dcterms:created>
  <dcterms:modified xsi:type="dcterms:W3CDTF">2017-02-02T08:09:00Z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EG-ITRs 1/8-S</vt:lpwstr>
  </property>
  <property fmtid="{D5CDD505-2E9C-101B-9397-08002B2CF9AE}" pid="3" name="Docdate">
    <vt:lpwstr>10 de enero de 2017</vt:lpwstr>
  </property>
  <property fmtid="{D5CDD505-2E9C-101B-9397-08002B2CF9AE}" pid="4" name="Docorlang">
    <vt:lpwstr>Original: ruso</vt:lpwstr>
  </property>
  <property fmtid="{D5CDD505-2E9C-101B-9397-08002B2CF9AE}" pid="5" name="Docbluepink">
    <vt:lpwstr>Grupo de Expertos sobre el Reglamento de las Telecomunicaciones Internacionales (GE-RTI)</vt:lpwstr>
  </property>
  <property fmtid="{D5CDD505-2E9C-101B-9397-08002B2CF9AE}" pid="6" name="Docdest">
    <vt:lpwstr/>
  </property>
  <property fmtid="{D5CDD505-2E9C-101B-9397-08002B2CF9AE}" pid="7" name="Docauthor">
    <vt:lpwstr>GE-RTI</vt:lpwstr>
  </property>
</Properties>
</file>