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E37F8E" w:rsidRPr="0092392D">
        <w:trPr>
          <w:cantSplit/>
        </w:trPr>
        <w:tc>
          <w:tcPr>
            <w:tcW w:w="6912" w:type="dxa"/>
          </w:tcPr>
          <w:p w:rsidR="00E37F8E" w:rsidRPr="00453BB7" w:rsidRDefault="00E37F8E" w:rsidP="00B4739E">
            <w:pPr>
              <w:spacing w:before="36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sidR="00B4739E">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E37F8E" w:rsidRPr="0092392D" w:rsidRDefault="00E37F8E" w:rsidP="00E37F8E">
            <w:pPr>
              <w:spacing w:before="0"/>
              <w:jc w:val="right"/>
              <w:rPr>
                <w:lang w:val="fr-CH"/>
              </w:rPr>
            </w:pPr>
            <w:bookmarkStart w:id="0" w:name="ditulogo"/>
            <w:bookmarkEnd w:id="0"/>
            <w:r w:rsidRPr="00E37F8E">
              <w:rPr>
                <w:rFonts w:cstheme="minorHAnsi"/>
                <w:b/>
                <w:bCs/>
                <w:noProof/>
                <w:lang w:val="en-US" w:eastAsia="zh-CN"/>
              </w:rPr>
              <w:drawing>
                <wp:inline distT="0" distB="0" distL="0" distR="0" wp14:anchorId="72B3D65A" wp14:editId="7833252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37F8E" w:rsidRPr="0092392D" w:rsidTr="008E4393">
        <w:trPr>
          <w:cantSplit/>
          <w:trHeight w:val="20"/>
        </w:trPr>
        <w:tc>
          <w:tcPr>
            <w:tcW w:w="6912" w:type="dxa"/>
            <w:tcBorders>
              <w:bottom w:val="single" w:sz="12" w:space="0" w:color="auto"/>
            </w:tcBorders>
          </w:tcPr>
          <w:p w:rsidR="00E37F8E" w:rsidRPr="00732045" w:rsidRDefault="00E37F8E" w:rsidP="00E37F8E">
            <w:pPr>
              <w:spacing w:before="160"/>
              <w:rPr>
                <w:smallCaps/>
                <w:sz w:val="22"/>
                <w:lang w:val="fr-CH"/>
              </w:rPr>
            </w:pPr>
            <w:r>
              <w:rPr>
                <w:rFonts w:eastAsia="Calibri" w:cs="Calibri"/>
                <w:b/>
                <w:color w:val="000000"/>
                <w:szCs w:val="24"/>
              </w:rPr>
              <w:t>Première réunion</w:t>
            </w:r>
            <w:r w:rsidRPr="005476DB">
              <w:rPr>
                <w:rFonts w:eastAsia="Calibri" w:cs="Calibri"/>
                <w:b/>
                <w:color w:val="000000"/>
                <w:szCs w:val="24"/>
              </w:rPr>
              <w:t xml:space="preserve"> – Gen</w:t>
            </w:r>
            <w:r>
              <w:rPr>
                <w:rFonts w:eastAsia="Calibri" w:cs="Calibri"/>
                <w:b/>
                <w:color w:val="000000"/>
                <w:szCs w:val="24"/>
              </w:rPr>
              <w:t>è</w:t>
            </w:r>
            <w:r w:rsidRPr="005476DB">
              <w:rPr>
                <w:rFonts w:eastAsia="Calibri" w:cs="Calibri"/>
                <w:b/>
                <w:color w:val="000000"/>
                <w:szCs w:val="24"/>
              </w:rPr>
              <w:t>v</w:t>
            </w:r>
            <w:r>
              <w:rPr>
                <w:rFonts w:eastAsia="Calibri" w:cs="Calibri"/>
                <w:b/>
                <w:color w:val="000000"/>
                <w:szCs w:val="24"/>
              </w:rPr>
              <w:t>e</w:t>
            </w:r>
            <w:r w:rsidRPr="005476DB">
              <w:rPr>
                <w:rFonts w:eastAsia="Calibri" w:cs="Calibri"/>
                <w:b/>
                <w:color w:val="000000"/>
                <w:szCs w:val="24"/>
              </w:rPr>
              <w:t xml:space="preserve">, </w:t>
            </w:r>
            <w:r>
              <w:rPr>
                <w:rFonts w:eastAsia="Calibri" w:cs="Calibri"/>
                <w:b/>
                <w:color w:val="000000"/>
                <w:szCs w:val="24"/>
              </w:rPr>
              <w:t>9</w:t>
            </w:r>
            <w:r w:rsidRPr="005476DB">
              <w:rPr>
                <w:rFonts w:eastAsia="Calibri" w:cs="Calibri"/>
                <w:b/>
                <w:color w:val="000000"/>
                <w:szCs w:val="24"/>
              </w:rPr>
              <w:t>-1</w:t>
            </w:r>
            <w:r>
              <w:rPr>
                <w:rFonts w:eastAsia="Calibri" w:cs="Calibri"/>
                <w:b/>
                <w:color w:val="000000"/>
                <w:szCs w:val="24"/>
              </w:rPr>
              <w:t>0</w:t>
            </w:r>
            <w:r w:rsidRPr="005476DB">
              <w:rPr>
                <w:rFonts w:eastAsia="Calibri" w:cs="Calibri"/>
                <w:b/>
                <w:color w:val="000000"/>
                <w:szCs w:val="24"/>
              </w:rPr>
              <w:t xml:space="preserve"> </w:t>
            </w:r>
            <w:r>
              <w:rPr>
                <w:rFonts w:eastAsia="Calibri" w:cs="Calibri"/>
                <w:b/>
                <w:color w:val="000000"/>
                <w:szCs w:val="24"/>
              </w:rPr>
              <w:t>février 2017</w:t>
            </w:r>
          </w:p>
        </w:tc>
        <w:tc>
          <w:tcPr>
            <w:tcW w:w="3261" w:type="dxa"/>
            <w:tcBorders>
              <w:bottom w:val="single" w:sz="12" w:space="0" w:color="auto"/>
            </w:tcBorders>
          </w:tcPr>
          <w:p w:rsidR="00E37F8E" w:rsidRPr="0092392D" w:rsidRDefault="00E37F8E" w:rsidP="00E37F8E">
            <w:pPr>
              <w:spacing w:before="0"/>
              <w:rPr>
                <w:b/>
                <w:bCs/>
              </w:rPr>
            </w:pPr>
          </w:p>
        </w:tc>
      </w:tr>
      <w:tr w:rsidR="00E37F8E" w:rsidRPr="0092392D">
        <w:trPr>
          <w:cantSplit/>
          <w:trHeight w:val="20"/>
        </w:trPr>
        <w:tc>
          <w:tcPr>
            <w:tcW w:w="6912" w:type="dxa"/>
            <w:tcBorders>
              <w:top w:val="single" w:sz="12" w:space="0" w:color="auto"/>
            </w:tcBorders>
          </w:tcPr>
          <w:p w:rsidR="00E37F8E" w:rsidRPr="0092392D" w:rsidRDefault="00E37F8E" w:rsidP="00DF74DD">
            <w:pPr>
              <w:spacing w:before="0"/>
              <w:rPr>
                <w:smallCaps/>
                <w:sz w:val="22"/>
                <w:lang w:val="fr-CH"/>
              </w:rPr>
            </w:pPr>
          </w:p>
        </w:tc>
        <w:tc>
          <w:tcPr>
            <w:tcW w:w="3261" w:type="dxa"/>
            <w:tcBorders>
              <w:top w:val="single" w:sz="12" w:space="0" w:color="auto"/>
            </w:tcBorders>
          </w:tcPr>
          <w:p w:rsidR="00E37F8E" w:rsidRPr="0092392D" w:rsidRDefault="00E37F8E" w:rsidP="00DF74DD">
            <w:pPr>
              <w:spacing w:before="0"/>
              <w:rPr>
                <w:b/>
                <w:bCs/>
              </w:rPr>
            </w:pPr>
          </w:p>
        </w:tc>
      </w:tr>
      <w:tr w:rsidR="00E37F8E" w:rsidRPr="0092392D">
        <w:trPr>
          <w:cantSplit/>
          <w:trHeight w:val="20"/>
        </w:trPr>
        <w:tc>
          <w:tcPr>
            <w:tcW w:w="6912" w:type="dxa"/>
            <w:vMerge w:val="restart"/>
          </w:tcPr>
          <w:p w:rsidR="00E37F8E" w:rsidRPr="0092392D" w:rsidRDefault="00E37F8E" w:rsidP="00DF74DD">
            <w:pPr>
              <w:shd w:val="solid" w:color="FFFFFF" w:fill="FFFFFF"/>
              <w:spacing w:before="180"/>
              <w:rPr>
                <w:smallCaps/>
                <w:lang w:val="fr-CH"/>
              </w:rPr>
            </w:pPr>
            <w:bookmarkStart w:id="1" w:name="ddate" w:colFirst="1" w:colLast="1"/>
          </w:p>
        </w:tc>
        <w:tc>
          <w:tcPr>
            <w:tcW w:w="3261" w:type="dxa"/>
          </w:tcPr>
          <w:p w:rsidR="00E37F8E" w:rsidRPr="00E37F8E" w:rsidRDefault="00E37F8E" w:rsidP="00486F6B">
            <w:pPr>
              <w:spacing w:before="0"/>
              <w:rPr>
                <w:b/>
                <w:bCs/>
              </w:rPr>
            </w:pPr>
            <w:r>
              <w:rPr>
                <w:b/>
                <w:bCs/>
              </w:rPr>
              <w:t>1</w:t>
            </w:r>
            <w:r w:rsidR="00486F6B">
              <w:rPr>
                <w:b/>
                <w:bCs/>
              </w:rPr>
              <w:t>0</w:t>
            </w:r>
            <w:r>
              <w:rPr>
                <w:b/>
                <w:bCs/>
              </w:rPr>
              <w:t xml:space="preserve"> janvier 2017</w:t>
            </w:r>
          </w:p>
        </w:tc>
      </w:tr>
      <w:tr w:rsidR="00E37F8E" w:rsidRPr="0092392D">
        <w:trPr>
          <w:cantSplit/>
          <w:trHeight w:val="20"/>
        </w:trPr>
        <w:tc>
          <w:tcPr>
            <w:tcW w:w="6912" w:type="dxa"/>
            <w:vMerge/>
          </w:tcPr>
          <w:p w:rsidR="00E37F8E" w:rsidRPr="0092392D" w:rsidRDefault="00E37F8E" w:rsidP="00DF74DD">
            <w:pPr>
              <w:shd w:val="solid" w:color="FFFFFF" w:fill="FFFFFF"/>
              <w:spacing w:before="180"/>
              <w:rPr>
                <w:smallCaps/>
                <w:lang w:val="fr-CH"/>
              </w:rPr>
            </w:pPr>
            <w:bookmarkStart w:id="2" w:name="dorlang" w:colFirst="1" w:colLast="1"/>
            <w:bookmarkEnd w:id="1"/>
          </w:p>
        </w:tc>
        <w:tc>
          <w:tcPr>
            <w:tcW w:w="3261" w:type="dxa"/>
          </w:tcPr>
          <w:p w:rsidR="00E37F8E" w:rsidRPr="00E37F8E" w:rsidRDefault="00E37F8E" w:rsidP="00486F6B">
            <w:pPr>
              <w:spacing w:before="0"/>
              <w:rPr>
                <w:b/>
                <w:bCs/>
              </w:rPr>
            </w:pPr>
            <w:r>
              <w:rPr>
                <w:b/>
                <w:bCs/>
              </w:rPr>
              <w:t xml:space="preserve">Original: </w:t>
            </w:r>
            <w:r w:rsidR="00486F6B">
              <w:rPr>
                <w:b/>
                <w:bCs/>
              </w:rPr>
              <w:t>russe</w:t>
            </w:r>
          </w:p>
        </w:tc>
      </w:tr>
      <w:tr w:rsidR="00E37F8E" w:rsidRPr="0092392D">
        <w:trPr>
          <w:cantSplit/>
        </w:trPr>
        <w:tc>
          <w:tcPr>
            <w:tcW w:w="10173" w:type="dxa"/>
            <w:gridSpan w:val="2"/>
          </w:tcPr>
          <w:p w:rsidR="00403FE2" w:rsidRPr="00403FE2" w:rsidRDefault="0050614C" w:rsidP="0050614C">
            <w:pPr>
              <w:pStyle w:val="Source"/>
              <w:rPr>
                <w:rFonts w:cs="Times New Roman Bold"/>
                <w:caps/>
              </w:rPr>
            </w:pPr>
            <w:bookmarkStart w:id="3" w:name="dsource" w:colFirst="0" w:colLast="0"/>
            <w:bookmarkEnd w:id="2"/>
            <w:r>
              <w:t>Note de liaison</w:t>
            </w:r>
          </w:p>
        </w:tc>
      </w:tr>
      <w:tr w:rsidR="00E37F8E" w:rsidRPr="0092392D">
        <w:trPr>
          <w:cantSplit/>
        </w:trPr>
        <w:tc>
          <w:tcPr>
            <w:tcW w:w="10173" w:type="dxa"/>
            <w:gridSpan w:val="2"/>
          </w:tcPr>
          <w:p w:rsidR="00E37F8E" w:rsidRPr="0092392D" w:rsidRDefault="00403FE2" w:rsidP="0050614C">
            <w:pPr>
              <w:pStyle w:val="Title1"/>
            </w:pPr>
            <w:bookmarkStart w:id="4" w:name="dtitle1" w:colFirst="0" w:colLast="0"/>
            <w:bookmarkEnd w:id="3"/>
            <w:r>
              <w:t xml:space="preserve">Participation des groupes consultatifs et des commissions d'études des trois secteurs de l'UNION aux travaux du groupe d'experts sur </w:t>
            </w:r>
            <w:r w:rsidR="0050614C">
              <w:br/>
            </w:r>
            <w:r>
              <w:t>le règlement des télécommunications internationales</w:t>
            </w:r>
          </w:p>
        </w:tc>
      </w:tr>
    </w:tbl>
    <w:bookmarkEnd w:id="4"/>
    <w:p w:rsidR="008E6C95" w:rsidRPr="005E60B7" w:rsidRDefault="008E6C95" w:rsidP="0050614C">
      <w:pPr>
        <w:pStyle w:val="Headingb"/>
        <w:spacing w:before="320"/>
        <w:rPr>
          <w:lang w:val="fr-CH"/>
        </w:rPr>
      </w:pPr>
      <w:r w:rsidRPr="005E60B7">
        <w:rPr>
          <w:lang w:val="fr-CH"/>
        </w:rPr>
        <w:t>Introduction</w:t>
      </w:r>
    </w:p>
    <w:p w:rsidR="000412BE" w:rsidRPr="00D94983" w:rsidRDefault="000412BE" w:rsidP="00A33B44">
      <w:r w:rsidRPr="00A33B44">
        <w:rPr>
          <w:szCs w:val="24"/>
        </w:rPr>
        <w:t xml:space="preserve">Le </w:t>
      </w:r>
      <w:hyperlink r:id="rId8" w:history="1">
        <w:r w:rsidR="00A33B44" w:rsidRPr="00A33B44">
          <w:rPr>
            <w:rStyle w:val="Hyperlink"/>
            <w:rFonts w:asciiTheme="minorHAnsi" w:hAnsiTheme="minorHAnsi"/>
            <w:szCs w:val="24"/>
            <w:lang w:val="fr-CH"/>
          </w:rPr>
          <w:t>Règlement des télécommunications internationales (RTI)</w:t>
        </w:r>
      </w:hyperlink>
      <w:r>
        <w:t xml:space="preserve"> est l'un des instruments de l'Union </w:t>
      </w:r>
      <w:r w:rsidR="00294E91">
        <w:t>–</w:t>
      </w:r>
      <w:r>
        <w:t xml:space="preserve"> le Règlement administratif qui réglemente l'utilisation des </w:t>
      </w:r>
      <w:r>
        <w:rPr>
          <w:lang w:val="fr-CH"/>
        </w:rPr>
        <w:t xml:space="preserve">télécommunications et qui lie tous les </w:t>
      </w:r>
      <w:r w:rsidRPr="00D94983">
        <w:t>Etats Membres</w:t>
      </w:r>
      <w:r>
        <w:t xml:space="preserve"> (numéros 29 et 31 de la </w:t>
      </w:r>
      <w:r>
        <w:rPr>
          <w:szCs w:val="24"/>
        </w:rPr>
        <w:t>Constitution</w:t>
      </w:r>
      <w:r>
        <w:t>).</w:t>
      </w:r>
    </w:p>
    <w:p w:rsidR="00303812" w:rsidRPr="00D94983" w:rsidRDefault="00303812" w:rsidP="00294E91">
      <w:r w:rsidRPr="00D94983">
        <w:t xml:space="preserve">Une </w:t>
      </w:r>
      <w:r>
        <w:t>c</w:t>
      </w:r>
      <w:r w:rsidRPr="00D94983">
        <w:t>onférence mondiale des télécommunications internationales (CMTI) peut procéder à une révision partielle, ou exceptionnellement totale, du R</w:t>
      </w:r>
      <w:r w:rsidR="00294E91">
        <w:t>TI</w:t>
      </w:r>
      <w:r w:rsidRPr="00D94983">
        <w:t xml:space="preserve"> et traiter de tout</w:t>
      </w:r>
      <w:r>
        <w:t>e</w:t>
      </w:r>
      <w:r w:rsidRPr="00D94983">
        <w:t xml:space="preserve"> autre question </w:t>
      </w:r>
      <w:r>
        <w:t>de caractère mondial relevant de sa compétence ou se rapportant à son ordre du jour</w:t>
      </w:r>
      <w:r w:rsidRPr="00D94983">
        <w:t xml:space="preserve"> (</w:t>
      </w:r>
      <w:r>
        <w:t>numéro </w:t>
      </w:r>
      <w:r w:rsidRPr="00D94983">
        <w:t>146</w:t>
      </w:r>
      <w:r>
        <w:t xml:space="preserve"> </w:t>
      </w:r>
      <w:proofErr w:type="gramStart"/>
      <w:r>
        <w:t>de</w:t>
      </w:r>
      <w:proofErr w:type="gramEnd"/>
      <w:r>
        <w:t xml:space="preserve"> la Constitution</w:t>
      </w:r>
      <w:r w:rsidRPr="00D94983">
        <w:t>).</w:t>
      </w:r>
    </w:p>
    <w:p w:rsidR="00777F7A" w:rsidRDefault="00777F7A" w:rsidP="00A33B44">
      <w:pPr>
        <w:rPr>
          <w:lang w:val="fr-CH"/>
        </w:rPr>
      </w:pPr>
      <w:r>
        <w:rPr>
          <w:lang w:val="fr-CH"/>
        </w:rPr>
        <w:t>La Conférence mondiale des télécommunications internationales de 2012 (</w:t>
      </w:r>
      <w:hyperlink r:id="rId9" w:history="1">
        <w:r w:rsidR="00A33B44" w:rsidRPr="00A33B44">
          <w:rPr>
            <w:rStyle w:val="Hyperlink"/>
            <w:rFonts w:asciiTheme="minorHAnsi" w:hAnsiTheme="minorHAnsi"/>
            <w:szCs w:val="24"/>
            <w:lang w:val="fr-CH"/>
          </w:rPr>
          <w:t>CMTI-12</w:t>
        </w:r>
      </w:hyperlink>
      <w:r>
        <w:rPr>
          <w:lang w:val="fr-CH"/>
        </w:rPr>
        <w:t>), qui a eu lieu à Dubaï (</w:t>
      </w:r>
      <w:r w:rsidR="00294E91">
        <w:rPr>
          <w:lang w:val="fr-CH"/>
        </w:rPr>
        <w:t>E</w:t>
      </w:r>
      <w:r>
        <w:rPr>
          <w:lang w:val="fr-CH"/>
        </w:rPr>
        <w:t>mirats arabes unis)</w:t>
      </w:r>
      <w:r w:rsidR="00294E91">
        <w:rPr>
          <w:lang w:val="fr-CH"/>
        </w:rPr>
        <w:t>,</w:t>
      </w:r>
      <w:r>
        <w:rPr>
          <w:lang w:val="fr-CH"/>
        </w:rPr>
        <w:t xml:space="preserve"> a adopté la Résolution 4 (Dubaï, 2012) sur l'examen périodique du R</w:t>
      </w:r>
      <w:r w:rsidR="00294E91">
        <w:rPr>
          <w:lang w:val="fr-CH"/>
        </w:rPr>
        <w:t>TI</w:t>
      </w:r>
      <w:r>
        <w:rPr>
          <w:lang w:val="fr-CH"/>
        </w:rPr>
        <w:t>, dans laquelle il est reconnu:</w:t>
      </w:r>
    </w:p>
    <w:p w:rsidR="008E6C95" w:rsidRDefault="0050614C" w:rsidP="0050614C">
      <w:pPr>
        <w:pStyle w:val="enumlev1"/>
        <w:rPr>
          <w:lang w:val="fr-CH"/>
        </w:rPr>
      </w:pPr>
      <w:r>
        <w:rPr>
          <w:lang w:val="fr-CH"/>
        </w:rPr>
        <w:t>a)</w:t>
      </w:r>
      <w:r w:rsidR="00384C2A">
        <w:rPr>
          <w:lang w:val="fr-CH"/>
        </w:rPr>
        <w:tab/>
      </w:r>
      <w:r w:rsidR="00777F7A" w:rsidRPr="00777F7A">
        <w:rPr>
          <w:lang w:val="fr-CH"/>
        </w:rPr>
        <w:t>que le RTI est l'un des piliers sur lesquels s'appuie la mission de l'UIT;</w:t>
      </w:r>
    </w:p>
    <w:p w:rsidR="00777F7A" w:rsidRPr="00384C2A" w:rsidRDefault="0050614C" w:rsidP="0050614C">
      <w:pPr>
        <w:pStyle w:val="enumlev1"/>
        <w:rPr>
          <w:lang w:val="fr-CH"/>
        </w:rPr>
      </w:pPr>
      <w:r>
        <w:rPr>
          <w:lang w:val="fr-CH"/>
        </w:rPr>
        <w:t>b)</w:t>
      </w:r>
      <w:r w:rsidR="00384C2A">
        <w:tab/>
      </w:r>
      <w:r w:rsidR="00777F7A" w:rsidRPr="00777F7A">
        <w:t>que le RTI comprend des principes directeurs de haut niveau qui ne devraient pas nécessiter d'amendements fréquents mais qui, au vu de l'évolution rapide du secteur des télécommunications/TIC, devront peut-être faire l'objet d'un examen périodique</w:t>
      </w:r>
      <w:r w:rsidR="00384C2A">
        <w:t>,</w:t>
      </w:r>
    </w:p>
    <w:p w:rsidR="00384C2A" w:rsidRDefault="00384C2A" w:rsidP="0050614C">
      <w:pPr>
        <w:rPr>
          <w:lang w:val="fr-CH"/>
        </w:rPr>
      </w:pPr>
      <w:proofErr w:type="gramStart"/>
      <w:r>
        <w:rPr>
          <w:lang w:val="fr-CH"/>
        </w:rPr>
        <w:t>et</w:t>
      </w:r>
      <w:proofErr w:type="gramEnd"/>
      <w:r>
        <w:rPr>
          <w:lang w:val="fr-CH"/>
        </w:rPr>
        <w:t xml:space="preserve"> il est noté</w:t>
      </w:r>
      <w:r w:rsidR="000C689D">
        <w:rPr>
          <w:lang w:val="fr-CH"/>
        </w:rPr>
        <w:t xml:space="preserve"> que le RTI:</w:t>
      </w:r>
    </w:p>
    <w:p w:rsidR="000C689D" w:rsidRPr="000C689D" w:rsidRDefault="0050614C" w:rsidP="0050614C">
      <w:pPr>
        <w:pStyle w:val="enumlev1"/>
        <w:rPr>
          <w:lang w:val="fr-CH"/>
        </w:rPr>
      </w:pPr>
      <w:r>
        <w:t>a)</w:t>
      </w:r>
      <w:r w:rsidR="004E1D78">
        <w:tab/>
      </w:r>
      <w:r w:rsidR="000C689D" w:rsidRPr="000C689D">
        <w:t>établit les principes généraux qui se rapportent à la fourniture et à l'exploitation des télécommunications internationales</w:t>
      </w:r>
      <w:r w:rsidR="000C689D">
        <w:t>;</w:t>
      </w:r>
    </w:p>
    <w:p w:rsidR="000C689D" w:rsidRPr="000C689D" w:rsidRDefault="0050614C" w:rsidP="0050614C">
      <w:pPr>
        <w:pStyle w:val="enumlev1"/>
        <w:rPr>
          <w:lang w:val="fr-CH"/>
        </w:rPr>
      </w:pPr>
      <w:r>
        <w:rPr>
          <w:lang w:val="fr-CH"/>
        </w:rPr>
        <w:t>b)</w:t>
      </w:r>
      <w:r w:rsidR="004E1D78">
        <w:tab/>
      </w:r>
      <w:r w:rsidR="000C689D" w:rsidRPr="000C689D">
        <w:t>facilite l'interconnexion et l'interopérabilité à l'échelle mondiale</w:t>
      </w:r>
      <w:r w:rsidR="000C689D">
        <w:t>;</w:t>
      </w:r>
    </w:p>
    <w:p w:rsidR="000C689D" w:rsidRPr="004E1D78" w:rsidRDefault="0050614C" w:rsidP="0050614C">
      <w:pPr>
        <w:pStyle w:val="enumlev1"/>
        <w:rPr>
          <w:lang w:val="fr-CH"/>
        </w:rPr>
      </w:pPr>
      <w:r>
        <w:rPr>
          <w:lang w:val="fr-CH"/>
        </w:rPr>
        <w:t>c)</w:t>
      </w:r>
      <w:r w:rsidR="004E1D78">
        <w:tab/>
      </w:r>
      <w:r w:rsidR="000C689D" w:rsidRPr="000C689D">
        <w:t>favorise l'efficacité, l'utilité et la disponibilité des services internationaux de télécommunication</w:t>
      </w:r>
      <w:r w:rsidR="00325D76">
        <w:t>.</w:t>
      </w:r>
    </w:p>
    <w:p w:rsidR="008E6C95" w:rsidRDefault="00325D76" w:rsidP="00A33B44">
      <w:pPr>
        <w:rPr>
          <w:lang w:val="fr-CH"/>
        </w:rPr>
      </w:pPr>
      <w:r>
        <w:rPr>
          <w:lang w:val="fr-CH"/>
        </w:rPr>
        <w:t xml:space="preserve">Après avoir examiné les résultats de la CMTI-12, la </w:t>
      </w:r>
      <w:hyperlink r:id="rId10" w:history="1">
        <w:r w:rsidR="00A33B44" w:rsidRPr="00A33B44">
          <w:rPr>
            <w:rStyle w:val="Hyperlink"/>
            <w:rFonts w:asciiTheme="minorHAnsi" w:hAnsiTheme="minorHAnsi"/>
            <w:szCs w:val="24"/>
            <w:lang w:val="fr-CH"/>
          </w:rPr>
          <w:t>Conférence de plénipotentiaires (Busan, 2014)</w:t>
        </w:r>
      </w:hyperlink>
      <w:r>
        <w:rPr>
          <w:lang w:val="fr-CH"/>
        </w:rPr>
        <w:t xml:space="preserve"> a adopté sa Résolution 146 (Rév. Busan, 2014), relative à l'examen et la révision périodiques du RTI, par laquelle elle a décidé </w:t>
      </w:r>
      <w:r w:rsidRPr="00325D76">
        <w:rPr>
          <w:lang w:val="fr-CH"/>
        </w:rPr>
        <w:t xml:space="preserve">qu'un examen périodique du </w:t>
      </w:r>
      <w:r w:rsidR="00730FBD">
        <w:rPr>
          <w:lang w:val="fr-CH"/>
        </w:rPr>
        <w:t>RTI</w:t>
      </w:r>
      <w:r w:rsidRPr="00325D76">
        <w:rPr>
          <w:lang w:val="fr-CH"/>
        </w:rPr>
        <w:t xml:space="preserve"> sera</w:t>
      </w:r>
      <w:r w:rsidR="00730FBD">
        <w:rPr>
          <w:lang w:val="fr-CH"/>
        </w:rPr>
        <w:t>it</w:t>
      </w:r>
      <w:r w:rsidRPr="00325D76">
        <w:rPr>
          <w:lang w:val="fr-CH"/>
        </w:rPr>
        <w:t xml:space="preserve"> normalement mené à bien tous les huit ans</w:t>
      </w:r>
      <w:r w:rsidR="00730FBD">
        <w:rPr>
          <w:lang w:val="fr-CH"/>
        </w:rPr>
        <w:t xml:space="preserve"> et </w:t>
      </w:r>
      <w:r w:rsidR="00730FBD" w:rsidRPr="00730FBD">
        <w:rPr>
          <w:lang w:val="fr-CH"/>
        </w:rPr>
        <w:t xml:space="preserve">que le processus d'examen du </w:t>
      </w:r>
      <w:r w:rsidR="00730FBD">
        <w:rPr>
          <w:lang w:val="fr-CH"/>
        </w:rPr>
        <w:t>RTI</w:t>
      </w:r>
      <w:r w:rsidR="00730FBD" w:rsidRPr="00730FBD">
        <w:rPr>
          <w:lang w:val="fr-CH"/>
        </w:rPr>
        <w:t xml:space="preserve"> commencera</w:t>
      </w:r>
      <w:r w:rsidR="00730FBD">
        <w:rPr>
          <w:lang w:val="fr-CH"/>
        </w:rPr>
        <w:t>it</w:t>
      </w:r>
      <w:r w:rsidR="00730FBD" w:rsidRPr="00730FBD">
        <w:rPr>
          <w:lang w:val="fr-CH"/>
        </w:rPr>
        <w:t xml:space="preserve"> en 2017</w:t>
      </w:r>
      <w:r w:rsidR="00B36C71">
        <w:rPr>
          <w:lang w:val="fr-CH"/>
        </w:rPr>
        <w:t xml:space="preserve">. </w:t>
      </w:r>
      <w:r w:rsidR="00294E91">
        <w:rPr>
          <w:lang w:val="fr-CH"/>
        </w:rPr>
        <w:t>A cet effet</w:t>
      </w:r>
      <w:r w:rsidR="00B36C71">
        <w:rPr>
          <w:lang w:val="fr-CH"/>
        </w:rPr>
        <w:t xml:space="preserve">, elle a chargé le Secrétaire général </w:t>
      </w:r>
      <w:r w:rsidR="00B36C71" w:rsidRPr="00B36C71">
        <w:rPr>
          <w:lang w:val="fr-CH"/>
        </w:rPr>
        <w:t>de convoquer un Groupe d'experts sur le Règlement des</w:t>
      </w:r>
      <w:r w:rsidR="000176D9">
        <w:rPr>
          <w:lang w:val="fr-CH"/>
        </w:rPr>
        <w:t xml:space="preserve"> </w:t>
      </w:r>
      <w:r w:rsidR="00B36C71" w:rsidRPr="00B36C71">
        <w:rPr>
          <w:lang w:val="fr-CH"/>
        </w:rPr>
        <w:t>télécommunications internationales (</w:t>
      </w:r>
      <w:r w:rsidR="00294E91">
        <w:rPr>
          <w:lang w:val="fr-CH"/>
        </w:rPr>
        <w:t>EG-</w:t>
      </w:r>
      <w:r w:rsidR="00B36C71" w:rsidRPr="00B36C71">
        <w:rPr>
          <w:lang w:val="fr-CH"/>
        </w:rPr>
        <w:t xml:space="preserve">RTI), ouvert à la participation des Etats Membres et des </w:t>
      </w:r>
      <w:r w:rsidR="00B36C71" w:rsidRPr="00B36C71">
        <w:rPr>
          <w:lang w:val="fr-CH"/>
        </w:rPr>
        <w:lastRenderedPageBreak/>
        <w:t>Membres de</w:t>
      </w:r>
      <w:r w:rsidR="000176D9">
        <w:rPr>
          <w:lang w:val="fr-CH"/>
        </w:rPr>
        <w:t xml:space="preserve"> </w:t>
      </w:r>
      <w:r w:rsidR="00B36C71" w:rsidRPr="00B36C71">
        <w:rPr>
          <w:lang w:val="fr-CH"/>
        </w:rPr>
        <w:t>Secteur de l'UIT, dont le mandat et les méthodes de t</w:t>
      </w:r>
      <w:bookmarkStart w:id="5" w:name="_GoBack"/>
      <w:bookmarkEnd w:id="5"/>
      <w:r w:rsidR="00B36C71" w:rsidRPr="00B36C71">
        <w:rPr>
          <w:lang w:val="fr-CH"/>
        </w:rPr>
        <w:t xml:space="preserve">ravail ont </w:t>
      </w:r>
      <w:r w:rsidR="00294E91">
        <w:rPr>
          <w:lang w:val="fr-CH"/>
        </w:rPr>
        <w:t xml:space="preserve">été </w:t>
      </w:r>
      <w:r w:rsidR="00B36C71" w:rsidRPr="00B36C71">
        <w:rPr>
          <w:lang w:val="fr-CH"/>
        </w:rPr>
        <w:t>définis</w:t>
      </w:r>
      <w:r w:rsidR="000176D9">
        <w:rPr>
          <w:lang w:val="fr-CH"/>
        </w:rPr>
        <w:t xml:space="preserve"> </w:t>
      </w:r>
      <w:r w:rsidR="00B36C71" w:rsidRPr="00B36C71">
        <w:rPr>
          <w:lang w:val="fr-CH"/>
        </w:rPr>
        <w:t>par le Conseil de l'UIT, pour examiner ce Règlement</w:t>
      </w:r>
      <w:r w:rsidR="000176D9">
        <w:rPr>
          <w:lang w:val="fr-CH"/>
        </w:rPr>
        <w:t xml:space="preserve">, et </w:t>
      </w:r>
      <w:r w:rsidR="000176D9" w:rsidRPr="000176D9">
        <w:rPr>
          <w:lang w:val="fr-CH"/>
        </w:rPr>
        <w:t xml:space="preserve">de soumettre le rapport du Groupe </w:t>
      </w:r>
      <w:r w:rsidR="00294E91">
        <w:rPr>
          <w:lang w:val="fr-CH"/>
        </w:rPr>
        <w:t>EG-</w:t>
      </w:r>
      <w:r w:rsidR="000176D9" w:rsidRPr="000176D9">
        <w:rPr>
          <w:lang w:val="fr-CH"/>
        </w:rPr>
        <w:t xml:space="preserve">RTI </w:t>
      </w:r>
      <w:r w:rsidR="00294E91">
        <w:rPr>
          <w:lang w:val="fr-CH"/>
        </w:rPr>
        <w:t>a</w:t>
      </w:r>
      <w:r w:rsidR="000176D9" w:rsidRPr="000176D9">
        <w:rPr>
          <w:lang w:val="fr-CH"/>
        </w:rPr>
        <w:t xml:space="preserve">u Conseil </w:t>
      </w:r>
      <w:r w:rsidR="00294E91" w:rsidRPr="000176D9">
        <w:rPr>
          <w:lang w:val="fr-CH"/>
        </w:rPr>
        <w:t xml:space="preserve">à </w:t>
      </w:r>
      <w:r w:rsidR="00294E91">
        <w:rPr>
          <w:lang w:val="fr-CH"/>
        </w:rPr>
        <w:t>s</w:t>
      </w:r>
      <w:r w:rsidR="00294E91" w:rsidRPr="000176D9">
        <w:rPr>
          <w:lang w:val="fr-CH"/>
        </w:rPr>
        <w:t>a session de</w:t>
      </w:r>
      <w:r w:rsidR="00294E91">
        <w:rPr>
          <w:lang w:val="fr-CH"/>
        </w:rPr>
        <w:t xml:space="preserve"> </w:t>
      </w:r>
      <w:r w:rsidR="00294E91" w:rsidRPr="000176D9">
        <w:rPr>
          <w:lang w:val="fr-CH"/>
        </w:rPr>
        <w:t>2018</w:t>
      </w:r>
      <w:r w:rsidR="00294E91">
        <w:rPr>
          <w:lang w:val="fr-CH"/>
        </w:rPr>
        <w:t xml:space="preserve"> </w:t>
      </w:r>
      <w:r w:rsidR="000176D9" w:rsidRPr="000176D9">
        <w:rPr>
          <w:lang w:val="fr-CH"/>
        </w:rPr>
        <w:t>pour qu'il l'examine, le publie et le transmette ensuite à la</w:t>
      </w:r>
      <w:r w:rsidR="000176D9">
        <w:rPr>
          <w:lang w:val="fr-CH"/>
        </w:rPr>
        <w:t xml:space="preserve"> </w:t>
      </w:r>
      <w:r w:rsidR="000176D9" w:rsidRPr="000176D9">
        <w:rPr>
          <w:lang w:val="fr-CH"/>
        </w:rPr>
        <w:t>Conférence de plénipotentiaires de 2018</w:t>
      </w:r>
      <w:r w:rsidR="000176D9">
        <w:rPr>
          <w:lang w:val="fr-CH"/>
        </w:rPr>
        <w:t>.</w:t>
      </w:r>
    </w:p>
    <w:p w:rsidR="000176D9" w:rsidRDefault="0050614C" w:rsidP="00A33B44">
      <w:pPr>
        <w:rPr>
          <w:lang w:val="fr-CH"/>
        </w:rPr>
      </w:pPr>
      <w:r>
        <w:rPr>
          <w:lang w:val="fr-CH"/>
        </w:rPr>
        <w:t>A</w:t>
      </w:r>
      <w:r w:rsidR="000176D9">
        <w:rPr>
          <w:lang w:val="fr-CH"/>
        </w:rPr>
        <w:t xml:space="preserve"> sa </w:t>
      </w:r>
      <w:hyperlink r:id="rId11" w:history="1">
        <w:r w:rsidR="00A33B44" w:rsidRPr="00A33B44">
          <w:rPr>
            <w:rStyle w:val="Hyperlink"/>
            <w:rFonts w:asciiTheme="minorHAnsi" w:hAnsiTheme="minorHAnsi"/>
            <w:szCs w:val="24"/>
            <w:lang w:val="fr-CH"/>
          </w:rPr>
          <w:t>session de 2016</w:t>
        </w:r>
      </w:hyperlink>
      <w:r w:rsidR="000176D9">
        <w:rPr>
          <w:lang w:val="fr-CH"/>
        </w:rPr>
        <w:t xml:space="preserve">, le Conseil de l'UIT a adopté sa Résolution 1379, </w:t>
      </w:r>
      <w:r w:rsidR="00205DD3">
        <w:rPr>
          <w:lang w:val="fr-CH"/>
        </w:rPr>
        <w:t>en vertu de laquelle</w:t>
      </w:r>
      <w:r w:rsidR="000176D9">
        <w:rPr>
          <w:lang w:val="fr-CH"/>
        </w:rPr>
        <w:t>:</w:t>
      </w:r>
    </w:p>
    <w:p w:rsidR="000176D9" w:rsidRDefault="0050614C" w:rsidP="00294E91">
      <w:pPr>
        <w:pStyle w:val="enumlev1"/>
        <w:rPr>
          <w:lang w:val="fr-CH"/>
        </w:rPr>
      </w:pPr>
      <w:r>
        <w:rPr>
          <w:lang w:val="fr-CH"/>
        </w:rPr>
        <w:t>a)</w:t>
      </w:r>
      <w:r w:rsidR="00205DD3">
        <w:rPr>
          <w:lang w:val="fr-CH"/>
        </w:rPr>
        <w:tab/>
        <w:t>le</w:t>
      </w:r>
      <w:r w:rsidR="000176D9">
        <w:rPr>
          <w:lang w:val="fr-CH"/>
        </w:rPr>
        <w:t xml:space="preserve"> </w:t>
      </w:r>
      <w:r w:rsidR="000176D9" w:rsidRPr="000176D9">
        <w:rPr>
          <w:lang w:val="fr-CH"/>
        </w:rPr>
        <w:t>Groupe</w:t>
      </w:r>
      <w:r w:rsidR="00294E91">
        <w:rPr>
          <w:lang w:val="fr-CH"/>
        </w:rPr>
        <w:t xml:space="preserve"> EG-</w:t>
      </w:r>
      <w:r w:rsidR="000176D9" w:rsidRPr="000176D9">
        <w:rPr>
          <w:lang w:val="fr-CH"/>
        </w:rPr>
        <w:t>R</w:t>
      </w:r>
      <w:r w:rsidR="00294E91">
        <w:rPr>
          <w:lang w:val="fr-CH"/>
        </w:rPr>
        <w:t>TI</w:t>
      </w:r>
      <w:r w:rsidR="000176D9">
        <w:rPr>
          <w:lang w:val="fr-CH"/>
        </w:rPr>
        <w:t>,</w:t>
      </w:r>
      <w:r w:rsidR="000176D9" w:rsidRPr="000176D9">
        <w:rPr>
          <w:lang w:val="fr-CH"/>
        </w:rPr>
        <w:t xml:space="preserve"> ouvert à la participation de tous les Etats Membres et Membres de Secteur, dont le mandat est reproduit dans l'Annexe 1 de la</w:t>
      </w:r>
      <w:r w:rsidR="000176D9">
        <w:rPr>
          <w:lang w:val="fr-CH"/>
        </w:rPr>
        <w:t>dite</w:t>
      </w:r>
      <w:r w:rsidR="000176D9" w:rsidRPr="000176D9">
        <w:rPr>
          <w:lang w:val="fr-CH"/>
        </w:rPr>
        <w:t xml:space="preserve"> Résolution</w:t>
      </w:r>
      <w:r w:rsidR="00205DD3">
        <w:rPr>
          <w:lang w:val="fr-CH"/>
        </w:rPr>
        <w:t>, est créé</w:t>
      </w:r>
      <w:r w:rsidR="00F020C1">
        <w:rPr>
          <w:lang w:val="fr-CH"/>
        </w:rPr>
        <w:t>;</w:t>
      </w:r>
    </w:p>
    <w:p w:rsidR="00F020C1" w:rsidRDefault="0050614C" w:rsidP="0050614C">
      <w:pPr>
        <w:pStyle w:val="enumlev1"/>
        <w:rPr>
          <w:lang w:val="fr-CH"/>
        </w:rPr>
      </w:pPr>
      <w:r>
        <w:rPr>
          <w:lang w:val="fr-CH"/>
        </w:rPr>
        <w:t>b)</w:t>
      </w:r>
      <w:r w:rsidR="00205DD3">
        <w:rPr>
          <w:lang w:val="fr-CH"/>
        </w:rPr>
        <w:tab/>
      </w:r>
      <w:r w:rsidR="00205DD3" w:rsidRPr="00205DD3">
        <w:rPr>
          <w:lang w:val="fr-CH"/>
        </w:rPr>
        <w:t xml:space="preserve">le </w:t>
      </w:r>
      <w:r w:rsidR="00294E91" w:rsidRPr="00205DD3">
        <w:rPr>
          <w:lang w:val="fr-CH"/>
        </w:rPr>
        <w:t>G</w:t>
      </w:r>
      <w:r w:rsidR="00205DD3" w:rsidRPr="00205DD3">
        <w:rPr>
          <w:lang w:val="fr-CH"/>
        </w:rPr>
        <w:t>roupe EG-RTI présentera</w:t>
      </w:r>
      <w:r w:rsidR="00043BD0">
        <w:rPr>
          <w:lang w:val="fr-CH"/>
        </w:rPr>
        <w:t>:</w:t>
      </w:r>
    </w:p>
    <w:p w:rsidR="00043BD0" w:rsidRDefault="00043BD0" w:rsidP="0050614C">
      <w:pPr>
        <w:pStyle w:val="enumlev2"/>
        <w:rPr>
          <w:lang w:val="fr-CH"/>
        </w:rPr>
      </w:pPr>
      <w:r>
        <w:rPr>
          <w:lang w:val="fr-CH"/>
        </w:rPr>
        <w:t>–</w:t>
      </w:r>
      <w:r>
        <w:rPr>
          <w:lang w:val="fr-CH"/>
        </w:rPr>
        <w:tab/>
      </w:r>
      <w:r w:rsidRPr="00043BD0">
        <w:rPr>
          <w:lang w:val="fr-CH"/>
        </w:rPr>
        <w:t>un rapport d'activité au Conseil à sa session de 2017</w:t>
      </w:r>
      <w:r>
        <w:rPr>
          <w:lang w:val="fr-CH"/>
        </w:rPr>
        <w:t>;</w:t>
      </w:r>
    </w:p>
    <w:p w:rsidR="00205DD3" w:rsidRDefault="00043BD0" w:rsidP="0050614C">
      <w:pPr>
        <w:pStyle w:val="enumlev2"/>
        <w:rPr>
          <w:lang w:val="fr-CH"/>
        </w:rPr>
      </w:pPr>
      <w:r>
        <w:rPr>
          <w:lang w:val="fr-CH"/>
        </w:rPr>
        <w:t>–</w:t>
      </w:r>
      <w:r>
        <w:rPr>
          <w:lang w:val="fr-CH"/>
        </w:rPr>
        <w:tab/>
      </w:r>
      <w:r w:rsidRPr="00043BD0">
        <w:rPr>
          <w:lang w:val="fr-CH"/>
        </w:rPr>
        <w:t>un rapport final au Conseil à sa session de 2018, afin que celui-ci le soumette à la Conférence de plénipotentiaires de 2018, assorti de ses observations</w:t>
      </w:r>
      <w:r w:rsidR="00205DD3">
        <w:rPr>
          <w:lang w:val="fr-CH"/>
        </w:rPr>
        <w:t>;</w:t>
      </w:r>
    </w:p>
    <w:p w:rsidR="00205DD3" w:rsidRDefault="0050614C" w:rsidP="0050614C">
      <w:pPr>
        <w:pStyle w:val="enumlev1"/>
        <w:rPr>
          <w:lang w:val="fr-CH"/>
        </w:rPr>
      </w:pPr>
      <w:r>
        <w:rPr>
          <w:lang w:val="fr-CH"/>
        </w:rPr>
        <w:t>c)</w:t>
      </w:r>
      <w:r>
        <w:rPr>
          <w:lang w:val="fr-CH"/>
        </w:rPr>
        <w:tab/>
      </w:r>
      <w:r w:rsidR="00205DD3">
        <w:rPr>
          <w:lang w:val="fr-CH"/>
        </w:rPr>
        <w:t>les Directeurs des Bureaux sont chargés:</w:t>
      </w:r>
    </w:p>
    <w:p w:rsidR="00205DD3" w:rsidRDefault="00205DD3" w:rsidP="0050614C">
      <w:pPr>
        <w:pStyle w:val="enumlev1"/>
        <w:rPr>
          <w:lang w:val="fr-CH"/>
        </w:rPr>
      </w:pPr>
      <w:r>
        <w:rPr>
          <w:lang w:val="fr-CH"/>
        </w:rPr>
        <w:t>–</w:t>
      </w:r>
      <w:r>
        <w:rPr>
          <w:lang w:val="fr-CH"/>
        </w:rPr>
        <w:tab/>
      </w:r>
      <w:r w:rsidRPr="00205DD3">
        <w:rPr>
          <w:lang w:val="fr-CH"/>
        </w:rPr>
        <w:t>chacun dans son domaine de compétence, en prenant l'avis des groupes consultatifs concernés, de contribuer aux travaux du groupe, étant entendu que le Secteur de la normalisation des télécommunications de l'UIT effectue la plus grande partie des travaux se rapportant au RTI</w:t>
      </w:r>
      <w:r w:rsidR="00FA42E7">
        <w:rPr>
          <w:lang w:val="fr-CH"/>
        </w:rPr>
        <w:t>;</w:t>
      </w:r>
    </w:p>
    <w:p w:rsidR="00FA42E7" w:rsidRDefault="00FA42E7" w:rsidP="0050614C">
      <w:pPr>
        <w:pStyle w:val="enumlev1"/>
        <w:rPr>
          <w:lang w:val="fr-CH"/>
        </w:rPr>
      </w:pPr>
      <w:r>
        <w:rPr>
          <w:lang w:val="fr-CH"/>
        </w:rPr>
        <w:t>–</w:t>
      </w:r>
      <w:r>
        <w:rPr>
          <w:lang w:val="fr-CH"/>
        </w:rPr>
        <w:tab/>
      </w:r>
      <w:r w:rsidRPr="00FA42E7">
        <w:rPr>
          <w:lang w:val="fr-CH"/>
        </w:rPr>
        <w:t xml:space="preserve">de soumettre les résultats de leurs travaux au </w:t>
      </w:r>
      <w:r w:rsidR="00294E91" w:rsidRPr="00FA42E7">
        <w:rPr>
          <w:lang w:val="fr-CH"/>
        </w:rPr>
        <w:t>G</w:t>
      </w:r>
      <w:r w:rsidRPr="00FA42E7">
        <w:rPr>
          <w:lang w:val="fr-CH"/>
        </w:rPr>
        <w:t>roupe EG-RTI</w:t>
      </w:r>
      <w:r w:rsidR="00072970">
        <w:rPr>
          <w:lang w:val="fr-CH"/>
        </w:rPr>
        <w:t>.</w:t>
      </w:r>
    </w:p>
    <w:p w:rsidR="00072970" w:rsidRDefault="0050614C" w:rsidP="00A33B44">
      <w:pPr>
        <w:rPr>
          <w:lang w:val="fr-CH"/>
        </w:rPr>
      </w:pPr>
      <w:r>
        <w:rPr>
          <w:lang w:val="fr-CH"/>
        </w:rPr>
        <w:t>E</w:t>
      </w:r>
      <w:r w:rsidR="008B063E">
        <w:rPr>
          <w:lang w:val="fr-CH"/>
        </w:rPr>
        <w:t>tant donné qu'il est reconnu que l'UIT-T joue un rôle de premier plan dans l'examen et la révision du RTI, l'</w:t>
      </w:r>
      <w:hyperlink r:id="rId12" w:history="1">
        <w:r w:rsidR="00A33B44" w:rsidRPr="00A33B44">
          <w:rPr>
            <w:rStyle w:val="Hyperlink"/>
            <w:rFonts w:asciiTheme="minorHAnsi" w:hAnsiTheme="minorHAnsi"/>
            <w:szCs w:val="24"/>
            <w:lang w:val="fr-CH"/>
          </w:rPr>
          <w:t>Assemblée mondiale de normalisation des télécommunications (Hammamet, 2016)</w:t>
        </w:r>
      </w:hyperlink>
      <w:r w:rsidR="008B063E">
        <w:rPr>
          <w:lang w:val="fr-CH"/>
        </w:rPr>
        <w:t xml:space="preserve"> a adopté sa Résolution 87 (Hammamet, 2016), relative à la participation</w:t>
      </w:r>
      <w:r w:rsidR="00647F74">
        <w:rPr>
          <w:lang w:val="fr-CH"/>
        </w:rPr>
        <w:t xml:space="preserve"> de l'UIT-T à l'examen et à la révision périodiques du RTI, en vertu de laquelle elle reconnaît, en particulier, </w:t>
      </w:r>
      <w:r w:rsidR="00647F74" w:rsidRPr="00647F74">
        <w:rPr>
          <w:lang w:val="fr-CH"/>
        </w:rPr>
        <w:t>l'importance de la participation des commissions d'études de l'UIT-T au processus</w:t>
      </w:r>
      <w:r w:rsidR="00647F74">
        <w:rPr>
          <w:lang w:val="fr-CH"/>
        </w:rPr>
        <w:t xml:space="preserve"> par lequel </w:t>
      </w:r>
      <w:r w:rsidR="00647F74" w:rsidRPr="00647F74">
        <w:rPr>
          <w:lang w:val="fr-CH"/>
        </w:rPr>
        <w:t>l'UIT-T contribue aux travaux du Groupe EG-RTI, selon qu'il conviendra</w:t>
      </w:r>
      <w:r w:rsidR="00D161D8">
        <w:rPr>
          <w:lang w:val="fr-CH"/>
        </w:rPr>
        <w:t xml:space="preserve">, et </w:t>
      </w:r>
      <w:r w:rsidR="00294E91">
        <w:rPr>
          <w:lang w:val="fr-CH"/>
        </w:rPr>
        <w:t xml:space="preserve">a </w:t>
      </w:r>
      <w:r w:rsidR="00D161D8">
        <w:rPr>
          <w:lang w:val="fr-CH"/>
        </w:rPr>
        <w:t>décid</w:t>
      </w:r>
      <w:r w:rsidR="00294E91">
        <w:rPr>
          <w:lang w:val="fr-CH"/>
        </w:rPr>
        <w:t>é</w:t>
      </w:r>
      <w:r w:rsidR="00D161D8">
        <w:rPr>
          <w:lang w:val="fr-CH"/>
        </w:rPr>
        <w:t xml:space="preserve"> </w:t>
      </w:r>
      <w:r w:rsidR="00D161D8" w:rsidRPr="00D161D8">
        <w:rPr>
          <w:lang w:val="fr-CH"/>
        </w:rPr>
        <w:t>de soumettre les résultats de ces activités au Groupe EG-RTI</w:t>
      </w:r>
      <w:r w:rsidR="0086655A">
        <w:rPr>
          <w:lang w:val="fr-CH"/>
        </w:rPr>
        <w:t>.</w:t>
      </w:r>
    </w:p>
    <w:p w:rsidR="0086655A" w:rsidRDefault="0086423C" w:rsidP="00294E91">
      <w:pPr>
        <w:rPr>
          <w:lang w:val="fr-CH"/>
        </w:rPr>
      </w:pPr>
      <w:r w:rsidRPr="0086423C">
        <w:t xml:space="preserve">A sa première réunion, le Groupe </w:t>
      </w:r>
      <w:r w:rsidR="00294E91" w:rsidRPr="00D161D8">
        <w:rPr>
          <w:lang w:val="fr-CH"/>
        </w:rPr>
        <w:t>EG-RTI</w:t>
      </w:r>
      <w:r w:rsidR="00294E91" w:rsidRPr="0086423C">
        <w:t xml:space="preserve"> </w:t>
      </w:r>
      <w:r w:rsidRPr="0086423C">
        <w:t>a décidé que</w:t>
      </w:r>
      <w:r w:rsidR="00294E91">
        <w:t>, compte tenu de ce qui précède,</w:t>
      </w:r>
      <w:r w:rsidRPr="0086423C">
        <w:t xml:space="preserve"> les Directeurs des Bureaux devraient inviter les commissions d'études concernées de leurs Secteurs respectifs de l'UIT à préparer des contributions aux travaux du</w:t>
      </w:r>
      <w:r w:rsidR="006210E4" w:rsidRPr="006210E4">
        <w:rPr>
          <w:lang w:val="fr-CH"/>
        </w:rPr>
        <w:t xml:space="preserve"> </w:t>
      </w:r>
      <w:r w:rsidR="00294E91">
        <w:rPr>
          <w:lang w:val="fr-CH"/>
        </w:rPr>
        <w:t>G</w:t>
      </w:r>
      <w:r w:rsidR="006210E4" w:rsidRPr="00205DD3">
        <w:rPr>
          <w:lang w:val="fr-CH"/>
        </w:rPr>
        <w:t>roupe EG-RTI</w:t>
      </w:r>
      <w:r w:rsidR="006210E4">
        <w:rPr>
          <w:lang w:val="fr-CH"/>
        </w:rPr>
        <w:t>.</w:t>
      </w:r>
    </w:p>
    <w:p w:rsidR="006210E4" w:rsidRDefault="006210E4" w:rsidP="0050614C">
      <w:r w:rsidRPr="006210E4">
        <w:t>Les commissions d'études concernées sont par conséquent invitées à préparer de telles contributions</w:t>
      </w:r>
      <w:r w:rsidR="00CE57FB">
        <w:t>.</w:t>
      </w:r>
    </w:p>
    <w:p w:rsidR="00CE57FB" w:rsidRDefault="00CE57FB" w:rsidP="0050614C">
      <w:r w:rsidRPr="00CE57FB">
        <w:t>Le site web du Groupe</w:t>
      </w:r>
      <w:r w:rsidR="00294E91">
        <w:t xml:space="preserve"> </w:t>
      </w:r>
      <w:r w:rsidR="00294E91" w:rsidRPr="00D161D8">
        <w:rPr>
          <w:lang w:val="fr-CH"/>
        </w:rPr>
        <w:t>EG-RTI</w:t>
      </w:r>
      <w:r>
        <w:t xml:space="preserve"> (</w:t>
      </w:r>
      <w:hyperlink r:id="rId13" w:history="1">
        <w:r w:rsidRPr="00A33B44">
          <w:rPr>
            <w:rStyle w:val="Hyperlink"/>
            <w:rFonts w:asciiTheme="minorHAnsi" w:hAnsiTheme="minorHAnsi"/>
            <w:szCs w:val="24"/>
            <w:lang w:val="fr-CH"/>
          </w:rPr>
          <w:t>http://www.itu.int/en/council/eg-itrs/Pages/default.aspx</w:t>
        </w:r>
      </w:hyperlink>
      <w:r>
        <w:t xml:space="preserve">) </w:t>
      </w:r>
      <w:r w:rsidRPr="00CE57FB">
        <w:t>contient toutes les informations utiles</w:t>
      </w:r>
      <w:r w:rsidR="00A33B44">
        <w:t>,</w:t>
      </w:r>
      <w:r w:rsidRPr="00CE57FB">
        <w:t xml:space="preserve"> ainsi que des liens vers les sites web des groupes précédemment créés et ayant examiné le sujet en question</w:t>
      </w:r>
      <w:r w:rsidR="0069555A">
        <w:t>.</w:t>
      </w:r>
    </w:p>
    <w:p w:rsidR="0069555A" w:rsidRDefault="0069555A" w:rsidP="00294E91">
      <w:pPr>
        <w:rPr>
          <w:lang w:val="fr-CH"/>
        </w:rPr>
      </w:pPr>
      <w:r>
        <w:rPr>
          <w:lang w:val="fr-CH"/>
        </w:rPr>
        <w:t xml:space="preserve">Les contributions, questions et autres éléments qui pourraient être examinés par le </w:t>
      </w:r>
      <w:r w:rsidR="00294E91">
        <w:rPr>
          <w:lang w:val="fr-CH"/>
        </w:rPr>
        <w:t>G</w:t>
      </w:r>
      <w:r>
        <w:rPr>
          <w:lang w:val="fr-CH"/>
        </w:rPr>
        <w:t>roupe</w:t>
      </w:r>
      <w:r w:rsidRPr="0069555A">
        <w:rPr>
          <w:lang w:val="fr-CH"/>
        </w:rPr>
        <w:t xml:space="preserve"> </w:t>
      </w:r>
      <w:r w:rsidRPr="00205DD3">
        <w:rPr>
          <w:lang w:val="fr-CH"/>
        </w:rPr>
        <w:t>EG</w:t>
      </w:r>
      <w:r w:rsidR="00294E91">
        <w:rPr>
          <w:lang w:val="fr-CH"/>
        </w:rPr>
        <w:noBreakHyphen/>
      </w:r>
      <w:r w:rsidRPr="00205DD3">
        <w:rPr>
          <w:lang w:val="fr-CH"/>
        </w:rPr>
        <w:t>RTI</w:t>
      </w:r>
      <w:r>
        <w:rPr>
          <w:lang w:val="fr-CH"/>
        </w:rPr>
        <w:t xml:space="preserve"> dans le cadre de ses travaux d'examen et de révision de la version de 2012 du RTI devrai</w:t>
      </w:r>
      <w:r w:rsidR="00294E91">
        <w:rPr>
          <w:lang w:val="fr-CH"/>
        </w:rPr>
        <w:t>en</w:t>
      </w:r>
      <w:r>
        <w:rPr>
          <w:lang w:val="fr-CH"/>
        </w:rPr>
        <w:t xml:space="preserve">t être soumis au groupe consultatif correspondant qui les transmettra au </w:t>
      </w:r>
      <w:r w:rsidR="00294E91">
        <w:rPr>
          <w:lang w:val="fr-CH"/>
        </w:rPr>
        <w:t>G</w:t>
      </w:r>
      <w:r>
        <w:rPr>
          <w:lang w:val="fr-CH"/>
        </w:rPr>
        <w:t>roupe</w:t>
      </w:r>
      <w:r w:rsidRPr="0069555A">
        <w:rPr>
          <w:lang w:val="fr-CH"/>
        </w:rPr>
        <w:t xml:space="preserve"> </w:t>
      </w:r>
      <w:r w:rsidRPr="00205DD3">
        <w:rPr>
          <w:lang w:val="fr-CH"/>
        </w:rPr>
        <w:t>EG-RTI</w:t>
      </w:r>
      <w:r>
        <w:rPr>
          <w:lang w:val="fr-CH"/>
        </w:rPr>
        <w:t>.</w:t>
      </w:r>
    </w:p>
    <w:p w:rsidR="0050614C" w:rsidRPr="000176D9" w:rsidRDefault="0050614C" w:rsidP="0050614C">
      <w:pPr>
        <w:rPr>
          <w:lang w:val="fr-CH"/>
        </w:rPr>
      </w:pPr>
    </w:p>
    <w:p w:rsidR="008E6C95" w:rsidRDefault="008E6C95" w:rsidP="0050614C">
      <w:pPr>
        <w:jc w:val="center"/>
      </w:pPr>
      <w:r>
        <w:t>______________</w:t>
      </w:r>
    </w:p>
    <w:p w:rsidR="008E6C95" w:rsidRDefault="008E6C95" w:rsidP="0050614C"/>
    <w:sectPr w:rsidR="008E6C95"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8E" w:rsidRDefault="00E37F8E">
      <w:r>
        <w:separator/>
      </w:r>
    </w:p>
  </w:endnote>
  <w:endnote w:type="continuationSeparator" w:id="0">
    <w:p w:rsidR="00E37F8E" w:rsidRDefault="00E3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354758" w:rsidRDefault="00354758">
    <w:pPr>
      <w:pStyle w:val="Footer"/>
      <w:rPr>
        <w:lang w:val="fr-CH"/>
      </w:rPr>
    </w:pPr>
    <w:r>
      <w:fldChar w:fldCharType="begin"/>
    </w:r>
    <w:r w:rsidRPr="00354758">
      <w:rPr>
        <w:lang w:val="fr-CH"/>
      </w:rPr>
      <w:instrText xml:space="preserve"> FILENAME \p \* MERGEFORMAT </w:instrText>
    </w:r>
    <w:r>
      <w:fldChar w:fldCharType="separate"/>
    </w:r>
    <w:r>
      <w:rPr>
        <w:lang w:val="fr-CH"/>
      </w:rPr>
      <w:t>P:\FRA\SG\CONSEIL\EG-ITR-1\000\008F.docx</w:t>
    </w:r>
    <w:r>
      <w:fldChar w:fldCharType="end"/>
    </w:r>
    <w:r w:rsidR="00732045" w:rsidRPr="00354758">
      <w:rPr>
        <w:lang w:val="fr-CH"/>
      </w:rPr>
      <w:tab/>
    </w:r>
    <w:r w:rsidR="002F1B76">
      <w:fldChar w:fldCharType="begin"/>
    </w:r>
    <w:r w:rsidR="00732045">
      <w:instrText xml:space="preserve"> savedate \@ dd.MM.yy </w:instrText>
    </w:r>
    <w:r w:rsidR="002F1B76">
      <w:fldChar w:fldCharType="separate"/>
    </w:r>
    <w:r w:rsidR="00586E71">
      <w:t>30.01.17</w:t>
    </w:r>
    <w:r w:rsidR="002F1B76">
      <w:fldChar w:fldCharType="end"/>
    </w:r>
    <w:r w:rsidR="00732045" w:rsidRPr="00354758">
      <w:rPr>
        <w:lang w:val="fr-CH"/>
      </w:rPr>
      <w:tab/>
    </w:r>
    <w:r w:rsidR="002F1B76">
      <w:fldChar w:fldCharType="begin"/>
    </w:r>
    <w:r w:rsidR="00732045">
      <w:instrText xml:space="preserve"> printdate \@ dd.MM.yy </w:instrText>
    </w:r>
    <w:r w:rsidR="002F1B76">
      <w:fldChar w:fldCharType="separate"/>
    </w:r>
    <w:r>
      <w:t>30.01.17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586E71" w:rsidRDefault="00354758" w:rsidP="009514F6">
    <w:pPr>
      <w:pStyle w:val="Footer"/>
      <w:rPr>
        <w:color w:val="F2F2F2" w:themeColor="background1" w:themeShade="F2"/>
        <w:lang w:val="fr-CH"/>
      </w:rPr>
    </w:pPr>
    <w:r w:rsidRPr="00586E71">
      <w:rPr>
        <w:color w:val="F2F2F2" w:themeColor="background1" w:themeShade="F2"/>
      </w:rPr>
      <w:fldChar w:fldCharType="begin"/>
    </w:r>
    <w:r w:rsidRPr="00586E71">
      <w:rPr>
        <w:color w:val="F2F2F2" w:themeColor="background1" w:themeShade="F2"/>
        <w:lang w:val="fr-CH"/>
      </w:rPr>
      <w:instrText xml:space="preserve"> FILENAME \p \* MERGEFORMAT </w:instrText>
    </w:r>
    <w:r w:rsidRPr="00586E71">
      <w:rPr>
        <w:color w:val="F2F2F2" w:themeColor="background1" w:themeShade="F2"/>
      </w:rPr>
      <w:fldChar w:fldCharType="separate"/>
    </w:r>
    <w:r w:rsidRPr="00586E71">
      <w:rPr>
        <w:color w:val="F2F2F2" w:themeColor="background1" w:themeShade="F2"/>
        <w:lang w:val="fr-CH"/>
      </w:rPr>
      <w:t>P:\FRA\SG\CONSEIL\EG-ITR-1\000\008F.docx</w:t>
    </w:r>
    <w:r w:rsidRPr="00586E71">
      <w:rPr>
        <w:color w:val="F2F2F2" w:themeColor="background1" w:themeShade="F2"/>
      </w:rPr>
      <w:fldChar w:fldCharType="end"/>
    </w:r>
    <w:r w:rsidR="008E6C95" w:rsidRPr="00586E71">
      <w:rPr>
        <w:color w:val="F2F2F2" w:themeColor="background1" w:themeShade="F2"/>
        <w:lang w:val="fr-CH"/>
      </w:rPr>
      <w:t xml:space="preserve"> (</w:t>
    </w:r>
    <w:r w:rsidR="009514F6" w:rsidRPr="00586E71">
      <w:rPr>
        <w:color w:val="F2F2F2" w:themeColor="background1" w:themeShade="F2"/>
        <w:lang w:val="fr-CH"/>
      </w:rPr>
      <w:t>411805</w:t>
    </w:r>
    <w:r w:rsidR="008E6C95" w:rsidRPr="00586E71">
      <w:rPr>
        <w:color w:val="F2F2F2" w:themeColor="background1" w:themeShade="F2"/>
        <w:lang w:val="fr-CH"/>
      </w:rPr>
      <w:t>)</w:t>
    </w:r>
    <w:r w:rsidR="00732045" w:rsidRPr="00586E71">
      <w:rPr>
        <w:color w:val="F2F2F2" w:themeColor="background1" w:themeShade="F2"/>
        <w:lang w:val="fr-CH"/>
      </w:rPr>
      <w:tab/>
    </w:r>
    <w:r w:rsidR="002F1B76" w:rsidRPr="00586E71">
      <w:rPr>
        <w:color w:val="F2F2F2" w:themeColor="background1" w:themeShade="F2"/>
      </w:rPr>
      <w:fldChar w:fldCharType="begin"/>
    </w:r>
    <w:r w:rsidR="00732045" w:rsidRPr="00586E71">
      <w:rPr>
        <w:color w:val="F2F2F2" w:themeColor="background1" w:themeShade="F2"/>
      </w:rPr>
      <w:instrText xml:space="preserve"> savedate \@ dd.MM.yy </w:instrText>
    </w:r>
    <w:r w:rsidR="002F1B76" w:rsidRPr="00586E71">
      <w:rPr>
        <w:color w:val="F2F2F2" w:themeColor="background1" w:themeShade="F2"/>
      </w:rPr>
      <w:fldChar w:fldCharType="separate"/>
    </w:r>
    <w:r w:rsidR="00586E71" w:rsidRPr="00586E71">
      <w:rPr>
        <w:color w:val="F2F2F2" w:themeColor="background1" w:themeShade="F2"/>
      </w:rPr>
      <w:t>30.01.17</w:t>
    </w:r>
    <w:r w:rsidR="002F1B76" w:rsidRPr="00586E71">
      <w:rPr>
        <w:color w:val="F2F2F2" w:themeColor="background1" w:themeShade="F2"/>
      </w:rPr>
      <w:fldChar w:fldCharType="end"/>
    </w:r>
    <w:r w:rsidR="00732045" w:rsidRPr="00586E71">
      <w:rPr>
        <w:color w:val="F2F2F2" w:themeColor="background1" w:themeShade="F2"/>
        <w:lang w:val="fr-CH"/>
      </w:rPr>
      <w:tab/>
    </w:r>
    <w:r w:rsidR="002F1B76" w:rsidRPr="00586E71">
      <w:rPr>
        <w:color w:val="F2F2F2" w:themeColor="background1" w:themeShade="F2"/>
      </w:rPr>
      <w:fldChar w:fldCharType="begin"/>
    </w:r>
    <w:r w:rsidR="00732045" w:rsidRPr="00586E71">
      <w:rPr>
        <w:color w:val="F2F2F2" w:themeColor="background1" w:themeShade="F2"/>
      </w:rPr>
      <w:instrText xml:space="preserve"> printdate \@ dd.MM.yy </w:instrText>
    </w:r>
    <w:r w:rsidR="002F1B76" w:rsidRPr="00586E71">
      <w:rPr>
        <w:color w:val="F2F2F2" w:themeColor="background1" w:themeShade="F2"/>
      </w:rPr>
      <w:fldChar w:fldCharType="separate"/>
    </w:r>
    <w:r w:rsidRPr="00586E71">
      <w:rPr>
        <w:color w:val="F2F2F2" w:themeColor="background1" w:themeShade="F2"/>
      </w:rPr>
      <w:t>30.01.17</w:t>
    </w:r>
    <w:r w:rsidR="002F1B76" w:rsidRPr="00586E71">
      <w:rPr>
        <w:color w:val="F2F2F2" w:themeColor="background1" w:themeShade="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586E71" w:rsidRDefault="00751C94" w:rsidP="000412BE">
    <w:pPr>
      <w:pStyle w:val="Footer"/>
      <w:rPr>
        <w:color w:val="F2F2F2" w:themeColor="background1" w:themeShade="F2"/>
        <w:lang w:val="fr-CH"/>
      </w:rPr>
    </w:pPr>
    <w:r w:rsidRPr="00586E71">
      <w:rPr>
        <w:color w:val="F2F2F2" w:themeColor="background1" w:themeShade="F2"/>
      </w:rPr>
      <w:fldChar w:fldCharType="begin"/>
    </w:r>
    <w:r w:rsidRPr="00586E71">
      <w:rPr>
        <w:color w:val="F2F2F2" w:themeColor="background1" w:themeShade="F2"/>
        <w:lang w:val="fr-CH"/>
      </w:rPr>
      <w:instrText xml:space="preserve"> FILENAME \p \* MERGEFORMAT </w:instrText>
    </w:r>
    <w:r w:rsidRPr="00586E71">
      <w:rPr>
        <w:color w:val="F2F2F2" w:themeColor="background1" w:themeShade="F2"/>
      </w:rPr>
      <w:fldChar w:fldCharType="separate"/>
    </w:r>
    <w:r w:rsidR="00354758" w:rsidRPr="00586E71">
      <w:rPr>
        <w:color w:val="F2F2F2" w:themeColor="background1" w:themeShade="F2"/>
        <w:lang w:val="fr-CH"/>
      </w:rPr>
      <w:t>P:\FRA\SG\CONSEIL\EG-ITR-1\000\008F.docx</w:t>
    </w:r>
    <w:r w:rsidRPr="00586E71">
      <w:rPr>
        <w:color w:val="F2F2F2" w:themeColor="background1" w:themeShade="F2"/>
      </w:rPr>
      <w:fldChar w:fldCharType="end"/>
    </w:r>
    <w:r w:rsidR="00B4739E" w:rsidRPr="00586E71">
      <w:rPr>
        <w:color w:val="F2F2F2" w:themeColor="background1" w:themeShade="F2"/>
        <w:lang w:val="fr-CH"/>
      </w:rPr>
      <w:t xml:space="preserve"> (</w:t>
    </w:r>
    <w:r w:rsidR="000412BE" w:rsidRPr="00586E71">
      <w:rPr>
        <w:color w:val="F2F2F2" w:themeColor="background1" w:themeShade="F2"/>
        <w:lang w:val="fr-CH"/>
      </w:rPr>
      <w:t>411805</w:t>
    </w:r>
    <w:r w:rsidR="00B4739E" w:rsidRPr="00586E71">
      <w:rPr>
        <w:color w:val="F2F2F2" w:themeColor="background1" w:themeShade="F2"/>
        <w:lang w:val="fr-CH"/>
      </w:rPr>
      <w:t>)</w:t>
    </w:r>
    <w:r w:rsidR="00B4739E" w:rsidRPr="00586E71">
      <w:rPr>
        <w:color w:val="F2F2F2" w:themeColor="background1" w:themeShade="F2"/>
        <w:lang w:val="fr-CH"/>
      </w:rPr>
      <w:tab/>
    </w:r>
    <w:r w:rsidR="00B4739E" w:rsidRPr="00586E71">
      <w:rPr>
        <w:color w:val="F2F2F2" w:themeColor="background1" w:themeShade="F2"/>
      </w:rPr>
      <w:fldChar w:fldCharType="begin"/>
    </w:r>
    <w:r w:rsidR="00B4739E" w:rsidRPr="00586E71">
      <w:rPr>
        <w:color w:val="F2F2F2" w:themeColor="background1" w:themeShade="F2"/>
      </w:rPr>
      <w:instrText xml:space="preserve"> savedate \@ dd.MM.yy </w:instrText>
    </w:r>
    <w:r w:rsidR="00B4739E" w:rsidRPr="00586E71">
      <w:rPr>
        <w:color w:val="F2F2F2" w:themeColor="background1" w:themeShade="F2"/>
      </w:rPr>
      <w:fldChar w:fldCharType="separate"/>
    </w:r>
    <w:r w:rsidR="00586E71" w:rsidRPr="00586E71">
      <w:rPr>
        <w:color w:val="F2F2F2" w:themeColor="background1" w:themeShade="F2"/>
      </w:rPr>
      <w:t>30.01.17</w:t>
    </w:r>
    <w:r w:rsidR="00B4739E" w:rsidRPr="00586E71">
      <w:rPr>
        <w:color w:val="F2F2F2" w:themeColor="background1" w:themeShade="F2"/>
      </w:rPr>
      <w:fldChar w:fldCharType="end"/>
    </w:r>
    <w:r w:rsidR="00B4739E" w:rsidRPr="00586E71">
      <w:rPr>
        <w:color w:val="F2F2F2" w:themeColor="background1" w:themeShade="F2"/>
        <w:lang w:val="fr-CH"/>
      </w:rPr>
      <w:tab/>
    </w:r>
    <w:r w:rsidR="00B4739E" w:rsidRPr="00586E71">
      <w:rPr>
        <w:color w:val="F2F2F2" w:themeColor="background1" w:themeShade="F2"/>
      </w:rPr>
      <w:fldChar w:fldCharType="begin"/>
    </w:r>
    <w:r w:rsidR="00B4739E" w:rsidRPr="00586E71">
      <w:rPr>
        <w:color w:val="F2F2F2" w:themeColor="background1" w:themeShade="F2"/>
      </w:rPr>
      <w:instrText xml:space="preserve"> printdate \@ dd.MM.yy </w:instrText>
    </w:r>
    <w:r w:rsidR="00B4739E" w:rsidRPr="00586E71">
      <w:rPr>
        <w:color w:val="F2F2F2" w:themeColor="background1" w:themeShade="F2"/>
      </w:rPr>
      <w:fldChar w:fldCharType="separate"/>
    </w:r>
    <w:r w:rsidR="00354758" w:rsidRPr="00586E71">
      <w:rPr>
        <w:color w:val="F2F2F2" w:themeColor="background1" w:themeShade="F2"/>
      </w:rPr>
      <w:t>30.01.17</w:t>
    </w:r>
    <w:r w:rsidR="00B4739E" w:rsidRPr="00586E71">
      <w:rPr>
        <w:color w:val="F2F2F2" w:themeColor="background1" w:themeShade="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8E" w:rsidRDefault="00E37F8E">
      <w:r>
        <w:t>____________________</w:t>
      </w:r>
    </w:p>
  </w:footnote>
  <w:footnote w:type="continuationSeparator" w:id="0">
    <w:p w:rsidR="00E37F8E" w:rsidRDefault="00E37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8E6C95">
    <w:pPr>
      <w:pStyle w:val="Header"/>
    </w:pPr>
    <w:r>
      <w:fldChar w:fldCharType="begin"/>
    </w:r>
    <w:r>
      <w:instrText>PAGE</w:instrText>
    </w:r>
    <w:r>
      <w:fldChar w:fldCharType="separate"/>
    </w:r>
    <w:r w:rsidR="00586E7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1" w15:restartNumberingAfterBreak="0">
    <w:nsid w:val="58853F01"/>
    <w:multiLevelType w:val="hybridMultilevel"/>
    <w:tmpl w:val="A7D40F44"/>
    <w:lvl w:ilvl="0" w:tplc="605AE41A">
      <w:start w:val="1"/>
      <w:numFmt w:val="lowerLetter"/>
      <w:lvlText w:val="%1)"/>
      <w:lvlJc w:val="left"/>
      <w:pPr>
        <w:ind w:left="720" w:hanging="360"/>
      </w:pPr>
      <w:rPr>
        <w:rFonts w:cs="Times New Roman"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98E2BA4"/>
    <w:multiLevelType w:val="hybridMultilevel"/>
    <w:tmpl w:val="723E466E"/>
    <w:lvl w:ilvl="0" w:tplc="605AE41A">
      <w:start w:val="1"/>
      <w:numFmt w:val="lowerLetter"/>
      <w:lvlText w:val="%1)"/>
      <w:lvlJc w:val="left"/>
      <w:pPr>
        <w:ind w:left="720" w:hanging="360"/>
      </w:pPr>
      <w:rPr>
        <w:rFonts w:cs="Times New Roman"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6A993614"/>
    <w:multiLevelType w:val="hybridMultilevel"/>
    <w:tmpl w:val="95882C90"/>
    <w:lvl w:ilvl="0" w:tplc="605AE41A">
      <w:start w:val="1"/>
      <w:numFmt w:val="lowerLetter"/>
      <w:lvlText w:val="%1)"/>
      <w:lvlJc w:val="left"/>
      <w:pPr>
        <w:ind w:left="720" w:hanging="360"/>
      </w:pPr>
      <w:rPr>
        <w:rFonts w:cs="Times New Roman"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565531-31A3-4671-A2D6-713CF161E8DF}"/>
    <w:docVar w:name="dgnword-eventsink" w:val="673737072"/>
  </w:docVars>
  <w:rsids>
    <w:rsidRoot w:val="00E37F8E"/>
    <w:rsid w:val="000176D9"/>
    <w:rsid w:val="000412BE"/>
    <w:rsid w:val="00043BD0"/>
    <w:rsid w:val="00072970"/>
    <w:rsid w:val="000C689D"/>
    <w:rsid w:val="000D0D0A"/>
    <w:rsid w:val="00103163"/>
    <w:rsid w:val="00115D93"/>
    <w:rsid w:val="001247A8"/>
    <w:rsid w:val="001378C0"/>
    <w:rsid w:val="0018694A"/>
    <w:rsid w:val="001A3287"/>
    <w:rsid w:val="001D4C31"/>
    <w:rsid w:val="001E4D21"/>
    <w:rsid w:val="00205DD3"/>
    <w:rsid w:val="00207CD1"/>
    <w:rsid w:val="002477A2"/>
    <w:rsid w:val="00263A51"/>
    <w:rsid w:val="00267E02"/>
    <w:rsid w:val="00294E91"/>
    <w:rsid w:val="002A5D44"/>
    <w:rsid w:val="002E0BC4"/>
    <w:rsid w:val="002F1B76"/>
    <w:rsid w:val="00303812"/>
    <w:rsid w:val="00325D76"/>
    <w:rsid w:val="00354758"/>
    <w:rsid w:val="00355FF5"/>
    <w:rsid w:val="00361350"/>
    <w:rsid w:val="00384C2A"/>
    <w:rsid w:val="004038CB"/>
    <w:rsid w:val="00403FE2"/>
    <w:rsid w:val="0040546F"/>
    <w:rsid w:val="0042404A"/>
    <w:rsid w:val="0044618F"/>
    <w:rsid w:val="0046769A"/>
    <w:rsid w:val="00475FB3"/>
    <w:rsid w:val="00486F6B"/>
    <w:rsid w:val="004C37A9"/>
    <w:rsid w:val="004E1D78"/>
    <w:rsid w:val="004E746E"/>
    <w:rsid w:val="004F259E"/>
    <w:rsid w:val="0050614C"/>
    <w:rsid w:val="00511F1D"/>
    <w:rsid w:val="00540615"/>
    <w:rsid w:val="00540A6D"/>
    <w:rsid w:val="00571EEA"/>
    <w:rsid w:val="00575417"/>
    <w:rsid w:val="005768E1"/>
    <w:rsid w:val="00586E71"/>
    <w:rsid w:val="005C3890"/>
    <w:rsid w:val="005D27F3"/>
    <w:rsid w:val="005F7BFE"/>
    <w:rsid w:val="00600017"/>
    <w:rsid w:val="00604606"/>
    <w:rsid w:val="006210E4"/>
    <w:rsid w:val="006235CA"/>
    <w:rsid w:val="00647F74"/>
    <w:rsid w:val="006643AB"/>
    <w:rsid w:val="0069555A"/>
    <w:rsid w:val="007210CD"/>
    <w:rsid w:val="00730FBD"/>
    <w:rsid w:val="00732045"/>
    <w:rsid w:val="007369DB"/>
    <w:rsid w:val="00751C94"/>
    <w:rsid w:val="00777F7A"/>
    <w:rsid w:val="007956C2"/>
    <w:rsid w:val="007A187E"/>
    <w:rsid w:val="007C72C2"/>
    <w:rsid w:val="007D4436"/>
    <w:rsid w:val="007F257A"/>
    <w:rsid w:val="007F3665"/>
    <w:rsid w:val="00800037"/>
    <w:rsid w:val="00861D73"/>
    <w:rsid w:val="0086423C"/>
    <w:rsid w:val="0086655A"/>
    <w:rsid w:val="008A4E87"/>
    <w:rsid w:val="008B063E"/>
    <w:rsid w:val="008D76E6"/>
    <w:rsid w:val="008E6C95"/>
    <w:rsid w:val="0092392D"/>
    <w:rsid w:val="0093234A"/>
    <w:rsid w:val="009514F6"/>
    <w:rsid w:val="00971CA5"/>
    <w:rsid w:val="009A6B31"/>
    <w:rsid w:val="009C307F"/>
    <w:rsid w:val="00A2113E"/>
    <w:rsid w:val="00A23A51"/>
    <w:rsid w:val="00A24607"/>
    <w:rsid w:val="00A25CD3"/>
    <w:rsid w:val="00A33B44"/>
    <w:rsid w:val="00A82767"/>
    <w:rsid w:val="00AA09D6"/>
    <w:rsid w:val="00AA332F"/>
    <w:rsid w:val="00AA7BBB"/>
    <w:rsid w:val="00AB64A8"/>
    <w:rsid w:val="00AC0266"/>
    <w:rsid w:val="00AD24EC"/>
    <w:rsid w:val="00B309F9"/>
    <w:rsid w:val="00B32B60"/>
    <w:rsid w:val="00B36C71"/>
    <w:rsid w:val="00B4739E"/>
    <w:rsid w:val="00B61619"/>
    <w:rsid w:val="00BB4545"/>
    <w:rsid w:val="00BD5873"/>
    <w:rsid w:val="00C04BE3"/>
    <w:rsid w:val="00C25D29"/>
    <w:rsid w:val="00C27A7C"/>
    <w:rsid w:val="00CA08ED"/>
    <w:rsid w:val="00CE57FB"/>
    <w:rsid w:val="00CE66B2"/>
    <w:rsid w:val="00CF183B"/>
    <w:rsid w:val="00D161D8"/>
    <w:rsid w:val="00D375CD"/>
    <w:rsid w:val="00D553A2"/>
    <w:rsid w:val="00D774D3"/>
    <w:rsid w:val="00D904E8"/>
    <w:rsid w:val="00DA08C3"/>
    <w:rsid w:val="00DB5A3E"/>
    <w:rsid w:val="00DC22AA"/>
    <w:rsid w:val="00DC3CE5"/>
    <w:rsid w:val="00DF74DD"/>
    <w:rsid w:val="00E25AD0"/>
    <w:rsid w:val="00E37F8E"/>
    <w:rsid w:val="00EB6350"/>
    <w:rsid w:val="00EC7676"/>
    <w:rsid w:val="00F020C1"/>
    <w:rsid w:val="00F15B57"/>
    <w:rsid w:val="00F427DB"/>
    <w:rsid w:val="00FA42E7"/>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004B75A-EE1C-40DD-9998-663506B1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E37F8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ormal1">
    <w:name w:val="Normal1"/>
    <w:rsid w:val="008E6C95"/>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uiPriority w:val="99"/>
    <w:rsid w:val="008E6C95"/>
    <w:rPr>
      <w:rFonts w:ascii="Calibri" w:hAnsi="Calibri"/>
      <w:sz w:val="24"/>
      <w:lang w:val="fr-FR" w:eastAsia="en-US"/>
    </w:rPr>
  </w:style>
  <w:style w:type="paragraph" w:styleId="ListParagraph">
    <w:name w:val="List Paragraph"/>
    <w:basedOn w:val="Normal"/>
    <w:uiPriority w:val="34"/>
    <w:qFormat/>
    <w:rsid w:val="00777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WCIT-2012/fr" TargetMode="External"/><Relationship Id="rId13" Type="http://schemas.openxmlformats.org/officeDocument/2006/relationships/hyperlink" Target="http://www.itu.int/en/council/eg-itrs/Pages/default.aspx"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fr/ITU-T/wtsa16/Pag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fr/council/2016/Pages/default.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tu.int/fr/plenipotentiary/2014/Pages/defaul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fr/wcit-12/Pages/default.aspx"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1</TotalTime>
  <Pages>2</Pages>
  <Words>774</Words>
  <Characters>4752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PARTICIPATION DES GROUPES CONSULTATIFS ET DES COMMISSIONS D'ÉTUDES DES TROIS SECTEURS DE L'UNION AUX TRAVAUX DU GROUPE D'EXPERTS SUR LE RÈGLEMENT DES TÉLÉCOMMUNICATIONS INTERNATIONALES</vt:lpstr>
    </vt:vector>
  </TitlesOfParts>
  <Manager>Secrétariat général - Pool</Manager>
  <Company>Union internationale des télécommunications (UIT)</Company>
  <LinksUpToDate>false</LinksUpToDate>
  <CharactersWithSpaces>5515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RCC</dc:title>
  <dc:subject>Conseil 2017</dc:subject>
  <dc:creator>Note de liaison</dc:creator>
  <cp:keywords>EG-ITRs, CWGs</cp:keywords>
  <dc:description>Document EG-ITRs 1/8-F  Pour: Source: Groupe EG-RTI_x000d_Date du document: 10 janvier 2017_x000d_Enregistré par ITU51009305 à 11:05:38 le 30/01/2017</dc:description>
  <cp:lastModifiedBy>Brouard, Ricarda</cp:lastModifiedBy>
  <cp:revision>2</cp:revision>
  <cp:lastPrinted>2017-01-30T09:49:00Z</cp:lastPrinted>
  <dcterms:created xsi:type="dcterms:W3CDTF">2017-02-01T10:01:00Z</dcterms:created>
  <dcterms:modified xsi:type="dcterms:W3CDTF">2017-02-01T10:01:00Z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EG-ITRs 1/8-F</vt:lpwstr>
  </property>
  <property fmtid="{D5CDD505-2E9C-101B-9397-08002B2CF9AE}" pid="3" name="Docdate">
    <vt:lpwstr>10 janvier 2017</vt:lpwstr>
  </property>
  <property fmtid="{D5CDD505-2E9C-101B-9397-08002B2CF9AE}" pid="4" name="Docorlang">
    <vt:lpwstr>Original: russe</vt:lpwstr>
  </property>
  <property fmtid="{D5CDD505-2E9C-101B-9397-08002B2CF9AE}" pid="5" name="Docbluepink">
    <vt:lpwstr/>
  </property>
  <property fmtid="{D5CDD505-2E9C-101B-9397-08002B2CF9AE}" pid="6" name="Docdest">
    <vt:lpwstr>Source: Groupe EG-RTI</vt:lpwstr>
  </property>
  <property fmtid="{D5CDD505-2E9C-101B-9397-08002B2CF9AE}" pid="7" name="Docauthor">
    <vt:lpwstr>Note de liaison</vt:lpwstr>
  </property>
</Properties>
</file>